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Cambria" w:cs="Cambria" w:eastAsia="Cambria" w:hAnsi="Cambria"/>
          <w:b/>
          <w:bCs/>
          <w:caps/>
          <w:color w:val="8A6D1E"/>
          <w:sz w:val="26"/>
          <w:szCs w:val="26"/>
        </w:rPr>
        <w:t xml:space="preserve">CRIDORA</w:t>
      </w:r>
    </w:p>
    <w:p>
      <w:pPr>
        <w:spacing w:after="400"/>
        <w:jc w:val="center"/>
      </w:pPr>
      <w:r>
        <w:rPr>
          <w:rFonts w:ascii="Cambria" w:cs="Cambria" w:eastAsia="Cambria" w:hAnsi="Cambria"/>
          <w:i/>
          <w:iCs/>
          <w:color w:val="555555"/>
          <w:sz w:val="20"/>
          <w:szCs w:val="20"/>
        </w:rPr>
        <w:t xml:space="preserve">UAE Bullion Marketplace</w:t>
      </w:r>
    </w:p>
    <w:p>
      <w:pPr>
        <w:spacing w:after="200"/>
        <w:jc w:val="center"/>
      </w:pPr>
      <w:r>
        <w:rPr>
          <w:rFonts w:ascii="Cambria" w:cs="Cambria" w:eastAsia="Cambria" w:hAnsi="Cambria"/>
          <w:b/>
          <w:bCs/>
          <w:color w:val="1A1A1A"/>
          <w:sz w:val="44"/>
          <w:szCs w:val="44"/>
        </w:rPr>
        <w:t xml:space="preserve">VENDOR MARKETPLACE AGREEMENT</w:t>
      </w:r>
    </w:p>
    <w:p>
      <w:pPr>
        <w:spacing w:after="600"/>
        <w:jc w:val="center"/>
      </w:pPr>
      <w:r>
        <w:rPr>
          <w:rFonts w:ascii="Cambria" w:cs="Cambria" w:eastAsia="Cambria" w:hAnsi="Cambria"/>
          <w:i/>
          <w:iCs/>
          <w:color w:val="555555"/>
          <w:sz w:val="20"/>
          <w:szCs w:val="20"/>
        </w:rPr>
        <w:t xml:space="preserve">A binding agreement governing the sale of physical precious metal through the Cridora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D1E" w:sz="8"/>
              <w:left w:val="single" w:color="8A6D1E" w:sz="8"/>
              <w:bottom w:val="single" w:color="8A6D1E" w:sz="8"/>
              <w:right w:val="single" w:color="8A6D1E" w:sz="8"/>
            </w:tcBorders>
            <w:shd w:fill="FBEFD9" w:val="clear"/>
            <w:tcMar>
              <w:top w:type="dxa" w:w="160"/>
              <w:left w:type="dxa" w:w="200"/>
              <w:bottom w:type="dxa" w:w="160"/>
              <w:right w:type="dxa" w:w="200"/>
            </w:tcMar>
          </w:tcPr>
          <w:p>
            <w:pPr>
              <w:spacing w:after="120"/>
            </w:pPr>
            <w:r>
              <w:rPr>
                <w:rFonts w:ascii="Cambria" w:cs="Cambria" w:eastAsia="Cambria" w:hAnsi="Cambria"/>
                <w:b/>
                <w:bCs/>
                <w:color w:val="1A1A1A"/>
                <w:sz w:val="20"/>
                <w:szCs w:val="20"/>
              </w:rPr>
              <w:t xml:space="preserve">DRAFT TEMPLATE — NOT LEGAL ADVICE</w:t>
            </w:r>
          </w:p>
          <w:p>
            <w:pPr>
              <w:spacing w:line="264"/>
              <w:jc w:val="both"/>
            </w:pPr>
            <w:r>
              <w:rPr>
                <w:rFonts w:ascii="Cambria" w:cs="Cambria" w:eastAsia="Cambria" w:hAnsi="Cambria"/>
                <w:color w:val="1A1A1A"/>
                <w:sz w:val="19"/>
                <w:szCs w:val="19"/>
              </w:rPr>
              <w:t xml:space="preserve">This document is a draft template prepared for business planning purposes only. It does not constitute legal, tax, or regulatory advice and must not be used, circulated, or signed with any actual vendor in its current form. Before use, this Agreement must be reviewed and adapted by a licensed UAE-qualified lawyer, who should confirm: (a) the correct contracting entity and its licensing jurisdiction (mainland UAE, DMCC, or other free zone); (b) whether a DMCC gold and precious metals trading licence or equivalent authorisation is required for Cridora's activities; (c) current UAE anti-money laundering and countering the financing of terrorism (“AML/CFT”) obligations applicable to dealers in precious metals and stones; and (d) current UAE VAT and data protection requirements. Cridora and its personnel are not a law firm and assume no liability for reliance on this template.</w:t>
            </w:r>
          </w:p>
        </w:tc>
      </w:tr>
    </w:tbl>
    <w:p>
      <w:pPr>
        <w:spacing w:after="500"/>
      </w:pPr>
    </w:p>
    <w:p>
      <w:pPr>
        <w:spacing w:after="60"/>
      </w:pPr>
      <w:r>
        <w:rPr>
          <w:rFonts w:ascii="Cambria" w:cs="Cambria" w:eastAsia="Cambria" w:hAnsi="Cambria"/>
          <w:b/>
          <w:bCs/>
          <w:color w:val="1A1A1A"/>
          <w:sz w:val="22"/>
          <w:szCs w:val="22"/>
        </w:rPr>
        <w:t xml:space="preserve">Effective Date:  _______________________</w:t>
      </w:r>
    </w:p>
    <w:p>
      <w:pPr>
        <w:spacing w:after="60"/>
      </w:pPr>
      <w:r>
        <w:rPr>
          <w:rFonts w:ascii="Cambria" w:cs="Cambria" w:eastAsia="Cambria" w:hAnsi="Cambria"/>
          <w:b/>
          <w:bCs/>
          <w:color w:val="1A1A1A"/>
          <w:sz w:val="22"/>
          <w:szCs w:val="22"/>
        </w:rPr>
        <w:t xml:space="preserve">Agreement Reference No.:  _______________________</w:t>
      </w:r>
    </w:p>
    <w:p>
      <w:pPr>
        <w:sectPr>
          <w:pgSz w:w="12240" w:h="15840" w:orient="portrait"/>
          <w:pgMar w:top="1440" w:right="1440" w:bottom="1440" w:left="1440" w:header="708" w:footer="708" w:gutter="0"/>
          <w:pgNumType/>
          <w:docGrid w:linePitch="360"/>
        </w:sectPr>
      </w:pPr>
    </w:p>
    <w:p>
      <w:pPr>
        <w:spacing w:after="200"/>
      </w:pPr>
      <w:r>
        <w:rPr>
          <w:rFonts w:ascii="Cambria" w:cs="Cambria" w:eastAsia="Cambria" w:hAnsi="Cambria"/>
          <w:b/>
          <w:bCs/>
          <w:color w:val="1A1A1A"/>
          <w:sz w:val="22"/>
          <w:szCs w:val="22"/>
        </w:rPr>
        <w:t xml:space="preserve">THIS VENDOR MARKETPLACE AGREEMENT</w:t>
      </w:r>
      <w:r>
        <w:rPr>
          <w:rFonts w:ascii="Cambria" w:cs="Cambria" w:eastAsia="Cambria" w:hAnsi="Cambria"/>
          <w:color w:val="1A1A1A"/>
          <w:sz w:val="22"/>
          <w:szCs w:val="22"/>
        </w:rPr>
        <w:t xml:space="preserve"> (this “Agreement”) is made and entered into as of the Effective Date stated on the cover page, by and between:</w:t>
      </w:r>
    </w:p>
    <w:p>
      <w:pPr>
        <w:spacing w:after="160" w:line="276"/>
        <w:jc w:val="both"/>
      </w:pPr>
      <w:r>
        <w:rPr>
          <w:rFonts w:ascii="Cambria" w:cs="Cambria" w:eastAsia="Cambria" w:hAnsi="Cambria"/>
          <w:color w:val="1A1A1A"/>
          <w:sz w:val="22"/>
          <w:szCs w:val="22"/>
        </w:rPr>
        <w:t xml:space="preserve">(1) CRIDORA [LEGAL ENTITY NAME TO BE CONFIRMED], a company established under the laws of the United Arab Emirates, holding trade licence number [•], with its registered office at [•], United Arab Emirates (“Cridora”); and</w:t>
      </w:r>
    </w:p>
    <w:p>
      <w:pPr>
        <w:spacing w:after="160" w:line="276"/>
        <w:jc w:val="both"/>
      </w:pPr>
      <w:r>
        <w:rPr>
          <w:rFonts w:ascii="Cambria" w:cs="Cambria" w:eastAsia="Cambria" w:hAnsi="Cambria"/>
          <w:color w:val="1A1A1A"/>
          <w:sz w:val="22"/>
          <w:szCs w:val="22"/>
        </w:rPr>
        <w:t xml:space="preserve">(2) [VENDOR LEGAL NAME], a company established under the laws of the United Arab Emirates, holding trade licence number [•], with its registered office at [•], United Arab Emirates (the “Vendor”),</w:t>
      </w:r>
    </w:p>
    <w:p>
      <w:pPr>
        <w:spacing w:after="160" w:line="276"/>
        <w:jc w:val="both"/>
      </w:pPr>
      <w:r>
        <w:rPr>
          <w:rFonts w:ascii="Cambria" w:cs="Cambria" w:eastAsia="Cambria" w:hAnsi="Cambria"/>
          <w:color w:val="1A1A1A"/>
          <w:sz w:val="22"/>
          <w:szCs w:val="22"/>
        </w:rPr>
        <w:t xml:space="preserve">each a “Party” and together the “Parties.”</w:t>
      </w:r>
    </w:p>
    <w:p>
      <w:pPr>
        <w:keepNext/>
        <w:pBdr>
          <w:bottom w:val="single" w:color="D8CFA8" w:sz="4" w:space="4"/>
        </w:pBdr>
        <w:spacing w:after="120" w:before="280"/>
      </w:pPr>
      <w:r>
        <w:rPr>
          <w:rFonts w:ascii="Cambria" w:cs="Cambria" w:eastAsia="Cambria" w:hAnsi="Cambria"/>
          <w:b/>
          <w:bCs/>
          <w:color w:val="1A1A1A"/>
          <w:sz w:val="24"/>
          <w:szCs w:val="24"/>
        </w:rPr>
        <w:t xml:space="preserve">RECITALS</w:t>
      </w:r>
    </w:p>
    <w:p>
      <w:pPr>
        <w:spacing w:after="160" w:line="276"/>
        <w:jc w:val="both"/>
      </w:pPr>
      <w:r>
        <w:rPr>
          <w:rFonts w:ascii="Cambria" w:cs="Cambria" w:eastAsia="Cambria" w:hAnsi="Cambria"/>
          <w:color w:val="1A1A1A"/>
          <w:sz w:val="22"/>
          <w:szCs w:val="22"/>
        </w:rPr>
        <w:t xml:space="preserve">A. Cridora operates an online marketplace (the “Platform”) through which KYC-verified customers may purchase and sell back physical gold, silver, platinum, and palladium bullion listed by KYB-verified vendors, denominated in UAE Dirhams (AED).</w:t>
      </w:r>
    </w:p>
    <w:p>
      <w:pPr>
        <w:spacing w:after="160" w:line="276"/>
        <w:jc w:val="both"/>
      </w:pPr>
      <w:r>
        <w:rPr>
          <w:rFonts w:ascii="Cambria" w:cs="Cambria" w:eastAsia="Cambria" w:hAnsi="Cambria"/>
          <w:color w:val="1A1A1A"/>
          <w:sz w:val="22"/>
          <w:szCs w:val="22"/>
        </w:rPr>
        <w:t xml:space="preserve">B. Cridora does not itself buy, sell, or take custody of bullion. Cridora provides vendor verification, order matching, price discovery, and payment settlement infrastructure connecting Vendor directly with customers.</w:t>
      </w:r>
    </w:p>
    <w:p>
      <w:pPr>
        <w:spacing w:after="160" w:line="276"/>
        <w:jc w:val="both"/>
      </w:pPr>
      <w:r>
        <w:rPr>
          <w:rFonts w:ascii="Cambria" w:cs="Cambria" w:eastAsia="Cambria" w:hAnsi="Cambria"/>
          <w:color w:val="1A1A1A"/>
          <w:sz w:val="22"/>
          <w:szCs w:val="22"/>
        </w:rPr>
        <w:t xml:space="preserve">C. Vendor wishes to list and sell physical precious metal products through the Platform, and to participate in Cridora’s guaranteed sell-back programme, on the terms set out in this Agreement.</w:t>
      </w:r>
    </w:p>
    <w:p>
      <w:pPr>
        <w:spacing w:after="160" w:line="276"/>
        <w:jc w:val="both"/>
      </w:pPr>
      <w:r>
        <w:rPr>
          <w:rFonts w:ascii="Cambria" w:cs="Cambria" w:eastAsia="Cambria" w:hAnsi="Cambria"/>
          <w:color w:val="1A1A1A"/>
          <w:sz w:val="22"/>
          <w:szCs w:val="22"/>
        </w:rPr>
        <w:t xml:space="preserve">D. The Parties therefore agree as follows.</w:t>
      </w:r>
    </w:p>
    <w:p>
      <w:pPr>
        <w:keepNext/>
        <w:pBdr>
          <w:bottom w:val="single" w:color="8A6D1E" w:sz="10" w:space="6"/>
        </w:pBdr>
        <w:spacing w:after="240" w:before="480"/>
      </w:pPr>
      <w:r>
        <w:rPr>
          <w:rFonts w:ascii="Cambria" w:cs="Cambria" w:eastAsia="Cambria" w:hAnsi="Cambria"/>
          <w:b/>
          <w:bCs/>
          <w:color w:val="8A6D1E"/>
          <w:sz w:val="30"/>
          <w:szCs w:val="30"/>
        </w:rPr>
        <w:t xml:space="preserve">1.  </w:t>
      </w:r>
      <w:r>
        <w:rPr>
          <w:rFonts w:ascii="Cambria" w:cs="Cambria" w:eastAsia="Cambria" w:hAnsi="Cambria"/>
          <w:b/>
          <w:bCs/>
          <w:color w:val="1A1A1A"/>
          <w:sz w:val="30"/>
          <w:szCs w:val="30"/>
        </w:rPr>
        <w:t xml:space="preserve">DEFINITIONS AND INTERPRETATION</w:t>
      </w:r>
    </w:p>
    <w:p>
      <w:pPr>
        <w:spacing w:after="140" w:line="276"/>
        <w:ind w:left="360"/>
        <w:jc w:val="both"/>
      </w:pPr>
      <w:r>
        <w:rPr>
          <w:rFonts w:ascii="Cambria" w:cs="Cambria" w:eastAsia="Cambria" w:hAnsi="Cambria"/>
          <w:b/>
          <w:bCs/>
          <w:color w:val="1A1A1A"/>
          <w:sz w:val="22"/>
          <w:szCs w:val="22"/>
        </w:rPr>
        <w:t xml:space="preserve">1.1  </w:t>
      </w:r>
      <w:r>
        <w:rPr>
          <w:rFonts w:ascii="Cambria" w:cs="Cambria" w:eastAsia="Cambria" w:hAnsi="Cambria"/>
          <w:color w:val="1A1A1A"/>
          <w:sz w:val="22"/>
          <w:szCs w:val="22"/>
        </w:rPr>
        <w:t xml:space="preserve">In this Agreement, the following terms have the meanings set out below. Other capitalised terms are defined where they first appear.</w:t>
      </w:r>
    </w:p>
    <w:p>
      <w:pPr>
        <w:spacing w:after="140" w:line="276"/>
        <w:ind w:left="360" w:hanging="360"/>
        <w:jc w:val="both"/>
      </w:pPr>
      <w:r>
        <w:rPr>
          <w:rFonts w:ascii="Cambria" w:cs="Cambria" w:eastAsia="Cambria" w:hAnsi="Cambria"/>
          <w:b/>
          <w:bCs/>
          <w:color w:val="1A1A1A"/>
          <w:sz w:val="22"/>
          <w:szCs w:val="22"/>
        </w:rPr>
        <w:t xml:space="preserve">“Applicable Law”</w:t>
      </w:r>
      <w:r>
        <w:rPr>
          <w:rFonts w:ascii="Cambria" w:cs="Cambria" w:eastAsia="Cambria" w:hAnsi="Cambria"/>
          <w:color w:val="1A1A1A"/>
          <w:sz w:val="22"/>
          <w:szCs w:val="22"/>
        </w:rPr>
        <w:t xml:space="preserve"> means all federal and local laws, regulations, decrees, cabinet resolutions, and binding regulatory guidance of the United Arab Emirates applicable to the Parties or the transactions contemplated by this Agreement, including AML/CFT, VAT, consumer protection, and data protection law.</w:t>
      </w:r>
    </w:p>
    <w:p>
      <w:pPr>
        <w:spacing w:after="140" w:line="276"/>
        <w:ind w:left="360" w:hanging="360"/>
        <w:jc w:val="both"/>
      </w:pPr>
      <w:r>
        <w:rPr>
          <w:rFonts w:ascii="Cambria" w:cs="Cambria" w:eastAsia="Cambria" w:hAnsi="Cambria"/>
          <w:b/>
          <w:bCs/>
          <w:color w:val="1A1A1A"/>
          <w:sz w:val="22"/>
          <w:szCs w:val="22"/>
        </w:rPr>
        <w:t xml:space="preserve">“Business Day”</w:t>
      </w:r>
      <w:r>
        <w:rPr>
          <w:rFonts w:ascii="Cambria" w:cs="Cambria" w:eastAsia="Cambria" w:hAnsi="Cambria"/>
          <w:color w:val="1A1A1A"/>
          <w:sz w:val="22"/>
          <w:szCs w:val="22"/>
        </w:rPr>
        <w:t xml:space="preserve"> means a day on which the Platform's settlement systems process transactions, with each such day bounded according to the Platform's configured business-day timezone (currently Asia/Dubai).</w:t>
      </w:r>
    </w:p>
    <w:p>
      <w:pPr>
        <w:spacing w:after="140" w:line="276"/>
        <w:ind w:left="360" w:hanging="360"/>
        <w:jc w:val="both"/>
      </w:pPr>
      <w:r>
        <w:rPr>
          <w:rFonts w:ascii="Cambria" w:cs="Cambria" w:eastAsia="Cambria" w:hAnsi="Cambria"/>
          <w:b/>
          <w:bCs/>
          <w:color w:val="1A1A1A"/>
          <w:sz w:val="22"/>
          <w:szCs w:val="22"/>
        </w:rPr>
        <w:t xml:space="preserve">“Buy Order”</w:t>
      </w:r>
      <w:r>
        <w:rPr>
          <w:rFonts w:ascii="Cambria" w:cs="Cambria" w:eastAsia="Cambria" w:hAnsi="Cambria"/>
          <w:color w:val="1A1A1A"/>
          <w:sz w:val="22"/>
          <w:szCs w:val="22"/>
        </w:rPr>
        <w:t xml:space="preserve"> means an order placed by a customer through the Platform to purchase a Listing from Vendor.</w:t>
      </w:r>
    </w:p>
    <w:p>
      <w:pPr>
        <w:spacing w:after="140" w:line="276"/>
        <w:ind w:left="360" w:hanging="360"/>
        <w:jc w:val="both"/>
      </w:pPr>
      <w:r>
        <w:rPr>
          <w:rFonts w:ascii="Cambria" w:cs="Cambria" w:eastAsia="Cambria" w:hAnsi="Cambria"/>
          <w:b/>
          <w:bCs/>
          <w:color w:val="1A1A1A"/>
          <w:sz w:val="22"/>
          <w:szCs w:val="22"/>
        </w:rPr>
        <w:t xml:space="preserve">“EOD Ledger”</w:t>
      </w:r>
      <w:r>
        <w:rPr>
          <w:rFonts w:ascii="Cambria" w:cs="Cambria" w:eastAsia="Cambria" w:hAnsi="Cambria"/>
          <w:color w:val="1A1A1A"/>
          <w:sz w:val="22"/>
          <w:szCs w:val="22"/>
        </w:rPr>
        <w:t xml:space="preserve"> means the per-vendor, per-Business-Day settlement record generated by the Platform reflecting buy revenue, sell-back deductions, net position before any Held Amount, the Held Amount, and the amount payable to Vendor for that Business Day.</w:t>
      </w:r>
    </w:p>
    <w:p>
      <w:pPr>
        <w:spacing w:after="140" w:line="276"/>
        <w:ind w:left="360" w:hanging="360"/>
        <w:jc w:val="both"/>
      </w:pPr>
      <w:r>
        <w:rPr>
          <w:rFonts w:ascii="Cambria" w:cs="Cambria" w:eastAsia="Cambria" w:hAnsi="Cambria"/>
          <w:b/>
          <w:bCs/>
          <w:color w:val="1A1A1A"/>
          <w:sz w:val="22"/>
          <w:szCs w:val="22"/>
        </w:rPr>
        <w:t xml:space="preserve">“Held Amount”</w:t>
      </w:r>
      <w:r>
        <w:rPr>
          <w:rFonts w:ascii="Cambria" w:cs="Cambria" w:eastAsia="Cambria" w:hAnsi="Cambria"/>
          <w:color w:val="1A1A1A"/>
          <w:sz w:val="22"/>
          <w:szCs w:val="22"/>
        </w:rPr>
        <w:t xml:space="preserve"> means the portion of Vendor's positive daily net position that Cridora retains at end-of-day under clause 10.3 to fund the guaranteed sell-back programme.</w:t>
      </w:r>
    </w:p>
    <w:p>
      <w:pPr>
        <w:spacing w:after="140" w:line="276"/>
        <w:ind w:left="360" w:hanging="360"/>
        <w:jc w:val="both"/>
      </w:pPr>
      <w:r>
        <w:rPr>
          <w:rFonts w:ascii="Cambria" w:cs="Cambria" w:eastAsia="Cambria" w:hAnsi="Cambria"/>
          <w:b/>
          <w:bCs/>
          <w:color w:val="1A1A1A"/>
          <w:sz w:val="22"/>
          <w:szCs w:val="22"/>
        </w:rPr>
        <w:t xml:space="preserve">“KYB”</w:t>
      </w:r>
      <w:r>
        <w:rPr>
          <w:rFonts w:ascii="Cambria" w:cs="Cambria" w:eastAsia="Cambria" w:hAnsi="Cambria"/>
          <w:color w:val="1A1A1A"/>
          <w:sz w:val="22"/>
          <w:szCs w:val="22"/>
        </w:rPr>
        <w:t xml:space="preserve"> means the “know your business” vendor verification process described in clause 4, including verification of the documents listed in clause 4.2.</w:t>
      </w:r>
    </w:p>
    <w:p>
      <w:pPr>
        <w:spacing w:after="140" w:line="276"/>
        <w:ind w:left="360" w:hanging="360"/>
        <w:jc w:val="both"/>
      </w:pPr>
      <w:r>
        <w:rPr>
          <w:rFonts w:ascii="Cambria" w:cs="Cambria" w:eastAsia="Cambria" w:hAnsi="Cambria"/>
          <w:b/>
          <w:bCs/>
          <w:color w:val="1A1A1A"/>
          <w:sz w:val="22"/>
          <w:szCs w:val="22"/>
        </w:rPr>
        <w:t xml:space="preserve">“Listing”</w:t>
      </w:r>
      <w:r>
        <w:rPr>
          <w:rFonts w:ascii="Cambria" w:cs="Cambria" w:eastAsia="Cambria" w:hAnsi="Cambria"/>
          <w:color w:val="1A1A1A"/>
          <w:sz w:val="22"/>
          <w:szCs w:val="22"/>
        </w:rPr>
        <w:t xml:space="preserve"> means a product listing created by Vendor on the Platform, including the metal type, weight, purity, pricing basis, buyback rate, and applicable fees for that product.</w:t>
      </w:r>
    </w:p>
    <w:p>
      <w:pPr>
        <w:spacing w:after="140" w:line="276"/>
        <w:ind w:left="360" w:hanging="360"/>
        <w:jc w:val="both"/>
      </w:pPr>
      <w:r>
        <w:rPr>
          <w:rFonts w:ascii="Cambria" w:cs="Cambria" w:eastAsia="Cambria" w:hAnsi="Cambria"/>
          <w:b/>
          <w:bCs/>
          <w:color w:val="1A1A1A"/>
          <w:sz w:val="22"/>
          <w:szCs w:val="22"/>
        </w:rPr>
        <w:t xml:space="preserve">“Platform Fee”</w:t>
      </w:r>
      <w:r>
        <w:rPr>
          <w:rFonts w:ascii="Cambria" w:cs="Cambria" w:eastAsia="Cambria" w:hAnsi="Cambria"/>
          <w:color w:val="1A1A1A"/>
          <w:sz w:val="22"/>
          <w:szCs w:val="22"/>
        </w:rPr>
        <w:t xml:space="preserve"> means the fee described in clause 10.1, charged to the customer on each Buy Order.</w:t>
      </w:r>
    </w:p>
    <w:p>
      <w:pPr>
        <w:spacing w:after="140" w:line="276"/>
        <w:ind w:left="360" w:hanging="360"/>
        <w:jc w:val="both"/>
      </w:pPr>
      <w:r>
        <w:rPr>
          <w:rFonts w:ascii="Cambria" w:cs="Cambria" w:eastAsia="Cambria" w:hAnsi="Cambria"/>
          <w:b/>
          <w:bCs/>
          <w:color w:val="1A1A1A"/>
          <w:sz w:val="22"/>
          <w:szCs w:val="22"/>
        </w:rPr>
        <w:t xml:space="preserve">“Sell-Back Order”</w:t>
      </w:r>
      <w:r>
        <w:rPr>
          <w:rFonts w:ascii="Cambria" w:cs="Cambria" w:eastAsia="Cambria" w:hAnsi="Cambria"/>
          <w:color w:val="1A1A1A"/>
          <w:sz w:val="22"/>
          <w:szCs w:val="22"/>
        </w:rPr>
        <w:t xml:space="preserve"> means a request submitted by a customer to sell back to Vendor, at the price then quoted, metal originally purchased through the Platform.</w:t>
      </w:r>
    </w:p>
    <w:p>
      <w:pPr>
        <w:spacing w:after="140" w:line="276"/>
        <w:ind w:left="360" w:hanging="360"/>
        <w:jc w:val="both"/>
      </w:pPr>
      <w:r>
        <w:rPr>
          <w:rFonts w:ascii="Cambria" w:cs="Cambria" w:eastAsia="Cambria" w:hAnsi="Cambria"/>
          <w:b/>
          <w:bCs/>
          <w:color w:val="1A1A1A"/>
          <w:sz w:val="22"/>
          <w:szCs w:val="22"/>
        </w:rPr>
        <w:t xml:space="preserve">“Sell-Back Share”</w:t>
      </w:r>
      <w:r>
        <w:rPr>
          <w:rFonts w:ascii="Cambria" w:cs="Cambria" w:eastAsia="Cambria" w:hAnsi="Cambria"/>
          <w:color w:val="1A1A1A"/>
          <w:sz w:val="22"/>
          <w:szCs w:val="22"/>
        </w:rPr>
        <w:t xml:space="preserve"> means the percentage of Vendor's profit on a Sell-Back Order that Cridora retains, as described in clause 10.2.</w:t>
      </w:r>
    </w:p>
    <w:p>
      <w:pPr>
        <w:spacing w:after="140" w:line="276"/>
        <w:ind w:left="360" w:hanging="360"/>
        <w:jc w:val="both"/>
      </w:pPr>
      <w:r>
        <w:rPr>
          <w:rFonts w:ascii="Cambria" w:cs="Cambria" w:eastAsia="Cambria" w:hAnsi="Cambria"/>
          <w:b/>
          <w:bCs/>
          <w:color w:val="1A1A1A"/>
          <w:sz w:val="22"/>
          <w:szCs w:val="22"/>
        </w:rPr>
        <w:t xml:space="preserve">“Settlement”</w:t>
      </w:r>
      <w:r>
        <w:rPr>
          <w:rFonts w:ascii="Cambria" w:cs="Cambria" w:eastAsia="Cambria" w:hAnsi="Cambria"/>
          <w:color w:val="1A1A1A"/>
          <w:sz w:val="22"/>
          <w:szCs w:val="22"/>
        </w:rPr>
        <w:t xml:space="preserve"> means the process by which amounts owed between Cridora and Vendor for a given Business Day are calculated, reconciled, and paid, as described in clause 11.</w:t>
      </w:r>
    </w:p>
    <w:p>
      <w:pPr>
        <w:keepNext/>
        <w:pBdr>
          <w:bottom w:val="single" w:color="8A6D1E" w:sz="10" w:space="6"/>
        </w:pBdr>
        <w:spacing w:after="240" w:before="480"/>
      </w:pPr>
      <w:r>
        <w:rPr>
          <w:rFonts w:ascii="Cambria" w:cs="Cambria" w:eastAsia="Cambria" w:hAnsi="Cambria"/>
          <w:b/>
          <w:bCs/>
          <w:color w:val="8A6D1E"/>
          <w:sz w:val="30"/>
          <w:szCs w:val="30"/>
        </w:rPr>
        <w:t xml:space="preserve">2.  </w:t>
      </w:r>
      <w:r>
        <w:rPr>
          <w:rFonts w:ascii="Cambria" w:cs="Cambria" w:eastAsia="Cambria" w:hAnsi="Cambria"/>
          <w:b/>
          <w:bCs/>
          <w:color w:val="1A1A1A"/>
          <w:sz w:val="30"/>
          <w:szCs w:val="30"/>
        </w:rPr>
        <w:t xml:space="preserve">APPOINTMENT AND NON-EXCLUSIVITY</w:t>
      </w:r>
    </w:p>
    <w:p>
      <w:pPr>
        <w:spacing w:after="140" w:line="276"/>
        <w:ind w:left="360"/>
        <w:jc w:val="both"/>
      </w:pPr>
      <w:r>
        <w:rPr>
          <w:rFonts w:ascii="Cambria" w:cs="Cambria" w:eastAsia="Cambria" w:hAnsi="Cambria"/>
          <w:b/>
          <w:bCs/>
          <w:color w:val="1A1A1A"/>
          <w:sz w:val="22"/>
          <w:szCs w:val="22"/>
        </w:rPr>
        <w:t xml:space="preserve">2.1  </w:t>
      </w:r>
      <w:r>
        <w:rPr>
          <w:rFonts w:ascii="Cambria" w:cs="Cambria" w:eastAsia="Cambria" w:hAnsi="Cambria"/>
          <w:color w:val="1A1A1A"/>
          <w:sz w:val="22"/>
          <w:szCs w:val="22"/>
        </w:rPr>
        <w:t xml:space="preserve">Cridora appoints Vendor, and Vendor accepts appointment, as a non-exclusive seller of physical precious metal products on the Platform, subject to Vendor maintaining verified KYB status at all times.</w:t>
      </w:r>
    </w:p>
    <w:p>
      <w:pPr>
        <w:spacing w:after="140" w:line="276"/>
        <w:ind w:left="360"/>
        <w:jc w:val="both"/>
      </w:pPr>
      <w:r>
        <w:rPr>
          <w:rFonts w:ascii="Cambria" w:cs="Cambria" w:eastAsia="Cambria" w:hAnsi="Cambria"/>
          <w:b/>
          <w:bCs/>
          <w:color w:val="1A1A1A"/>
          <w:sz w:val="22"/>
          <w:szCs w:val="22"/>
        </w:rPr>
        <w:t xml:space="preserve">2.2  </w:t>
      </w:r>
      <w:r>
        <w:rPr>
          <w:rFonts w:ascii="Cambria" w:cs="Cambria" w:eastAsia="Cambria" w:hAnsi="Cambria"/>
          <w:color w:val="1A1A1A"/>
          <w:sz w:val="22"/>
          <w:szCs w:val="22"/>
        </w:rPr>
        <w:t xml:space="preserve">This Agreement does not restrict Vendor from selling the same or similar products through other channels, whether online or offline, unless the Parties separately agree in writing to exclusivity for a defined product range, territory, or period.</w:t>
      </w:r>
    </w:p>
    <w:p>
      <w:pPr>
        <w:spacing w:after="140" w:line="276"/>
        <w:ind w:left="360"/>
        <w:jc w:val="both"/>
      </w:pPr>
      <w:r>
        <w:rPr>
          <w:rFonts w:ascii="Cambria" w:cs="Cambria" w:eastAsia="Cambria" w:hAnsi="Cambria"/>
          <w:b/>
          <w:bCs/>
          <w:color w:val="1A1A1A"/>
          <w:sz w:val="22"/>
          <w:szCs w:val="22"/>
        </w:rPr>
        <w:t xml:space="preserve">2.3  </w:t>
      </w:r>
      <w:r>
        <w:rPr>
          <w:rFonts w:ascii="Cambria" w:cs="Cambria" w:eastAsia="Cambria" w:hAnsi="Cambria"/>
          <w:color w:val="1A1A1A"/>
          <w:sz w:val="22"/>
          <w:szCs w:val="22"/>
        </w:rPr>
        <w:t xml:space="preserve">Nothing in this Agreement creates a partnership, joint venture, agency, or employment relationship between the Parties. Vendor acts at all times as an independent contractor and remains solely responsible for its own business, staff, and operations.</w:t>
      </w:r>
    </w:p>
    <w:p>
      <w:pPr>
        <w:keepNext/>
        <w:pBdr>
          <w:bottom w:val="single" w:color="8A6D1E" w:sz="10" w:space="6"/>
        </w:pBdr>
        <w:spacing w:after="240" w:before="480"/>
      </w:pPr>
      <w:r>
        <w:rPr>
          <w:rFonts w:ascii="Cambria" w:cs="Cambria" w:eastAsia="Cambria" w:hAnsi="Cambria"/>
          <w:b/>
          <w:bCs/>
          <w:color w:val="8A6D1E"/>
          <w:sz w:val="30"/>
          <w:szCs w:val="30"/>
        </w:rPr>
        <w:t xml:space="preserve">3.  </w:t>
      </w:r>
      <w:r>
        <w:rPr>
          <w:rFonts w:ascii="Cambria" w:cs="Cambria" w:eastAsia="Cambria" w:hAnsi="Cambria"/>
          <w:b/>
          <w:bCs/>
          <w:color w:val="1A1A1A"/>
          <w:sz w:val="30"/>
          <w:szCs w:val="30"/>
        </w:rPr>
        <w:t xml:space="preserve">PLATFORM ACCOUNT AND LIVE SALES DESK</w:t>
      </w:r>
    </w:p>
    <w:p>
      <w:pPr>
        <w:spacing w:after="140" w:line="276"/>
        <w:ind w:left="360"/>
        <w:jc w:val="both"/>
      </w:pPr>
      <w:r>
        <w:rPr>
          <w:rFonts w:ascii="Cambria" w:cs="Cambria" w:eastAsia="Cambria" w:hAnsi="Cambria"/>
          <w:b/>
          <w:bCs/>
          <w:color w:val="1A1A1A"/>
          <w:sz w:val="22"/>
          <w:szCs w:val="22"/>
        </w:rPr>
        <w:t xml:space="preserve">3.1  </w:t>
      </w:r>
      <w:r>
        <w:rPr>
          <w:rFonts w:ascii="Cambria" w:cs="Cambria" w:eastAsia="Cambria" w:hAnsi="Cambria"/>
          <w:color w:val="1A1A1A"/>
          <w:sz w:val="22"/>
          <w:szCs w:val="22"/>
        </w:rPr>
        <w:t xml:space="preserve">Vendor will be granted access to a vendor dashboard, including catalogue management tools, a live order queue (the “Live Sales Desk”), settlement records, and payout confirmation tools.</w:t>
      </w:r>
    </w:p>
    <w:p>
      <w:pPr>
        <w:spacing w:after="140" w:line="276"/>
        <w:ind w:left="360"/>
        <w:jc w:val="both"/>
      </w:pPr>
      <w:r>
        <w:rPr>
          <w:rFonts w:ascii="Cambria" w:cs="Cambria" w:eastAsia="Cambria" w:hAnsi="Cambria"/>
          <w:b/>
          <w:bCs/>
          <w:color w:val="1A1A1A"/>
          <w:sz w:val="22"/>
          <w:szCs w:val="22"/>
        </w:rPr>
        <w:t xml:space="preserve">3.2  </w:t>
      </w:r>
      <w:r>
        <w:rPr>
          <w:rFonts w:ascii="Cambria" w:cs="Cambria" w:eastAsia="Cambria" w:hAnsi="Cambria"/>
          <w:color w:val="1A1A1A"/>
          <w:sz w:val="22"/>
          <w:szCs w:val="22"/>
        </w:rPr>
        <w:t xml:space="preserve">Each incoming Buy Order routed to Vendor through the Live Sales Desk carries a limited acceptance window (currently sixty (60) seconds, as configured by Cridora from time to time) within which Vendor must accept or reject the order.</w:t>
      </w:r>
    </w:p>
    <w:p>
      <w:pPr>
        <w:spacing w:after="140" w:line="276"/>
        <w:ind w:left="360"/>
        <w:jc w:val="both"/>
      </w:pPr>
      <w:r>
        <w:rPr>
          <w:rFonts w:ascii="Cambria" w:cs="Cambria" w:eastAsia="Cambria" w:hAnsi="Cambria"/>
          <w:b/>
          <w:bCs/>
          <w:color w:val="1A1A1A"/>
          <w:sz w:val="22"/>
          <w:szCs w:val="22"/>
        </w:rPr>
        <w:t xml:space="preserve">3.3  </w:t>
      </w:r>
      <w:r>
        <w:rPr>
          <w:rFonts w:ascii="Cambria" w:cs="Cambria" w:eastAsia="Cambria" w:hAnsi="Cambria"/>
          <w:color w:val="1A1A1A"/>
          <w:sz w:val="22"/>
          <w:szCs w:val="22"/>
        </w:rPr>
        <w:t xml:space="preserve">An order not accepted within the applicable window automatically expires and is released back to the marketplace. Cridora may track expiry and non-acceptance rates and may treat a materially elevated non-acceptance rate as a ground for review under clause 15.</w:t>
      </w:r>
    </w:p>
    <w:p>
      <w:pPr>
        <w:spacing w:after="140" w:line="276"/>
        <w:ind w:left="360"/>
        <w:jc w:val="both"/>
      </w:pPr>
      <w:r>
        <w:rPr>
          <w:rFonts w:ascii="Cambria" w:cs="Cambria" w:eastAsia="Cambria" w:hAnsi="Cambria"/>
          <w:b/>
          <w:bCs/>
          <w:color w:val="1A1A1A"/>
          <w:sz w:val="22"/>
          <w:szCs w:val="22"/>
        </w:rPr>
        <w:t xml:space="preserve">3.4  </w:t>
      </w:r>
      <w:r>
        <w:rPr>
          <w:rFonts w:ascii="Cambria" w:cs="Cambria" w:eastAsia="Cambria" w:hAnsi="Cambria"/>
          <w:color w:val="1A1A1A"/>
          <w:sz w:val="22"/>
          <w:szCs w:val="22"/>
        </w:rPr>
        <w:t xml:space="preserve">Vendor must accept only orders it is able and willing to fulfil at the listed price, weight, and purity, and must fulfil every order it accepts in accordance with clause 8.</w:t>
      </w:r>
    </w:p>
    <w:p>
      <w:pPr>
        <w:keepNext/>
        <w:pBdr>
          <w:bottom w:val="single" w:color="8A6D1E" w:sz="10" w:space="6"/>
        </w:pBdr>
        <w:spacing w:after="240" w:before="480"/>
      </w:pPr>
      <w:r>
        <w:rPr>
          <w:rFonts w:ascii="Cambria" w:cs="Cambria" w:eastAsia="Cambria" w:hAnsi="Cambria"/>
          <w:b/>
          <w:bCs/>
          <w:color w:val="8A6D1E"/>
          <w:sz w:val="30"/>
          <w:szCs w:val="30"/>
        </w:rPr>
        <w:t xml:space="preserve">4.  </w:t>
      </w:r>
      <w:r>
        <w:rPr>
          <w:rFonts w:ascii="Cambria" w:cs="Cambria" w:eastAsia="Cambria" w:hAnsi="Cambria"/>
          <w:b/>
          <w:bCs/>
          <w:color w:val="1A1A1A"/>
          <w:sz w:val="30"/>
          <w:szCs w:val="30"/>
        </w:rPr>
        <w:t xml:space="preserve">KYB ONBOARDING AND ONGOING COMPLIANCE</w:t>
      </w:r>
    </w:p>
    <w:p>
      <w:pPr>
        <w:spacing w:after="140" w:line="276"/>
        <w:ind w:left="360"/>
        <w:jc w:val="both"/>
      </w:pPr>
      <w:r>
        <w:rPr>
          <w:rFonts w:ascii="Cambria" w:cs="Cambria" w:eastAsia="Cambria" w:hAnsi="Cambria"/>
          <w:b/>
          <w:bCs/>
          <w:color w:val="1A1A1A"/>
          <w:sz w:val="22"/>
          <w:szCs w:val="22"/>
        </w:rPr>
        <w:t xml:space="preserve">4.1  </w:t>
      </w:r>
      <w:r>
        <w:rPr>
          <w:rFonts w:ascii="Cambria" w:cs="Cambria" w:eastAsia="Cambria" w:hAnsi="Cambria"/>
          <w:color w:val="1A1A1A"/>
          <w:sz w:val="22"/>
          <w:szCs w:val="22"/>
        </w:rPr>
        <w:t xml:space="preserve">Vendor may not list products or accept orders on the Platform until its KYB verification is approved by Cridora. Cridora may suspend trading access immediately if any required document lapses, is rejected, or is not renewed on request.</w:t>
      </w:r>
    </w:p>
    <w:p>
      <w:pPr>
        <w:spacing w:after="140" w:line="276"/>
        <w:ind w:left="360"/>
        <w:jc w:val="both"/>
      </w:pPr>
      <w:r>
        <w:rPr>
          <w:rFonts w:ascii="Cambria" w:cs="Cambria" w:eastAsia="Cambria" w:hAnsi="Cambria"/>
          <w:b/>
          <w:bCs/>
          <w:color w:val="1A1A1A"/>
          <w:sz w:val="22"/>
          <w:szCs w:val="22"/>
        </w:rPr>
        <w:t xml:space="preserve">4.2  </w:t>
      </w:r>
      <w:r>
        <w:rPr>
          <w:rFonts w:ascii="Cambria" w:cs="Cambria" w:eastAsia="Cambria" w:hAnsi="Cambria"/>
          <w:color w:val="1A1A1A"/>
          <w:sz w:val="22"/>
          <w:szCs w:val="22"/>
        </w:rPr>
        <w:t xml:space="preserve">Vendor must submit, and keep current throughout the term of this Agreement, the following documents for independent review and approval by Cridora:</w:t>
      </w:r>
    </w:p>
    <w:p>
      <w:pPr>
        <w:pStyle w:val="ListParagraph"/>
        <w:numPr>
          <w:ilvl w:val="0"/>
          <w:numId w:val="2"/>
        </w:numPr>
        <w:spacing w:after="90" w:line="264"/>
        <w:jc w:val="both"/>
      </w:pPr>
      <w:r>
        <w:rPr>
          <w:rFonts w:ascii="Cambria" w:cs="Cambria" w:eastAsia="Cambria" w:hAnsi="Cambria"/>
          <w:color w:val="1A1A1A"/>
          <w:sz w:val="22"/>
          <w:szCs w:val="22"/>
        </w:rPr>
        <w:t xml:space="preserve">A valid UAE Trade Licence covering the trading of precious metals;</w:t>
      </w:r>
    </w:p>
    <w:p>
      <w:pPr>
        <w:pStyle w:val="ListParagraph"/>
        <w:numPr>
          <w:ilvl w:val="0"/>
          <w:numId w:val="2"/>
        </w:numPr>
        <w:spacing w:after="90" w:line="264"/>
        <w:jc w:val="both"/>
      </w:pPr>
      <w:r>
        <w:rPr>
          <w:rFonts w:ascii="Cambria" w:cs="Cambria" w:eastAsia="Cambria" w:hAnsi="Cambria"/>
          <w:color w:val="1A1A1A"/>
          <w:sz w:val="22"/>
          <w:szCs w:val="22"/>
        </w:rPr>
        <w:t xml:space="preserve">A Company Registration Certificate (or equivalent constitutional document);</w:t>
      </w:r>
    </w:p>
    <w:p>
      <w:pPr>
        <w:pStyle w:val="ListParagraph"/>
        <w:numPr>
          <w:ilvl w:val="0"/>
          <w:numId w:val="2"/>
        </w:numPr>
        <w:spacing w:after="90" w:line="264"/>
        <w:jc w:val="both"/>
      </w:pPr>
      <w:r>
        <w:rPr>
          <w:rFonts w:ascii="Cambria" w:cs="Cambria" w:eastAsia="Cambria" w:hAnsi="Cambria"/>
          <w:color w:val="1A1A1A"/>
          <w:sz w:val="22"/>
          <w:szCs w:val="22"/>
        </w:rPr>
        <w:t xml:space="preserve">Valid government-issued identification for the beneficial owner(s) and/or authorised director(s); and</w:t>
      </w:r>
    </w:p>
    <w:p>
      <w:pPr>
        <w:pStyle w:val="ListParagraph"/>
        <w:numPr>
          <w:ilvl w:val="0"/>
          <w:numId w:val="2"/>
        </w:numPr>
        <w:spacing w:after="90" w:line="264"/>
        <w:jc w:val="both"/>
      </w:pPr>
      <w:r>
        <w:rPr>
          <w:rFonts w:ascii="Cambria" w:cs="Cambria" w:eastAsia="Cambria" w:hAnsi="Cambria"/>
          <w:color w:val="1A1A1A"/>
          <w:sz w:val="22"/>
          <w:szCs w:val="22"/>
        </w:rPr>
        <w:t xml:space="preserve">Proof of a bank account held in the Vendor's corporate name, to which Settlement payouts will be made.</w:t>
      </w:r>
    </w:p>
    <w:p>
      <w:pPr>
        <w:spacing w:after="140" w:line="276"/>
        <w:ind w:left="360"/>
        <w:jc w:val="both"/>
      </w:pPr>
      <w:r>
        <w:rPr>
          <w:rFonts w:ascii="Cambria" w:cs="Cambria" w:eastAsia="Cambria" w:hAnsi="Cambria"/>
          <w:b/>
          <w:bCs/>
          <w:color w:val="1A1A1A"/>
          <w:sz w:val="22"/>
          <w:szCs w:val="22"/>
        </w:rPr>
        <w:t xml:space="preserve">4.3  </w:t>
      </w:r>
      <w:r>
        <w:rPr>
          <w:rFonts w:ascii="Cambria" w:cs="Cambria" w:eastAsia="Cambria" w:hAnsi="Cambria"/>
          <w:color w:val="1A1A1A"/>
          <w:sz w:val="22"/>
          <w:szCs w:val="22"/>
        </w:rPr>
        <w:t xml:space="preserve">Cridora will review each submitted document and mark it as pending, verified, or rejected, with a stated reason for any rejection. Vendor must promptly correct and re-submit any rejected document. Cridora may request re-verification of any document at any time, including on renewal, expiry, or a change of ownership or control of Vendor.</w:t>
      </w:r>
    </w:p>
    <w:p>
      <w:pPr>
        <w:spacing w:after="140" w:line="276"/>
        <w:ind w:left="360"/>
        <w:jc w:val="both"/>
      </w:pPr>
      <w:r>
        <w:rPr>
          <w:rFonts w:ascii="Cambria" w:cs="Cambria" w:eastAsia="Cambria" w:hAnsi="Cambria"/>
          <w:b/>
          <w:bCs/>
          <w:color w:val="1A1A1A"/>
          <w:sz w:val="22"/>
          <w:szCs w:val="22"/>
        </w:rPr>
        <w:t xml:space="preserve">4.4  </w:t>
      </w:r>
      <w:r>
        <w:rPr>
          <w:rFonts w:ascii="Cambria" w:cs="Cambria" w:eastAsia="Cambria" w:hAnsi="Cambria"/>
          <w:color w:val="1A1A1A"/>
          <w:sz w:val="22"/>
          <w:szCs w:val="22"/>
        </w:rPr>
        <w:t xml:space="preserve">Vendor represents and warrants that it is not, and none of its beneficial owners, directors, or authorised signatories are, subject to UAE or applicable international sanctions, and that it will cooperate promptly and in good faith with any Cridora request for information in connection with AML/CFT screening, source-of-funds enquiries, or source-of-metal enquiries, including those arising from Cridora's obligations as (or in support of) a Designated Non-Financial Business or Profession under UAE AML/CFT regulation.</w:t>
      </w:r>
    </w:p>
    <w:p>
      <w:pPr>
        <w:spacing w:after="140" w:line="276"/>
        <w:ind w:left="360"/>
        <w:jc w:val="both"/>
      </w:pPr>
      <w:r>
        <w:rPr>
          <w:rFonts w:ascii="Cambria" w:cs="Cambria" w:eastAsia="Cambria" w:hAnsi="Cambria"/>
          <w:b/>
          <w:bCs/>
          <w:color w:val="1A1A1A"/>
          <w:sz w:val="22"/>
          <w:szCs w:val="22"/>
        </w:rPr>
        <w:t xml:space="preserve">4.5  </w:t>
      </w:r>
      <w:r>
        <w:rPr>
          <w:rFonts w:ascii="Cambria" w:cs="Cambria" w:eastAsia="Cambria" w:hAnsi="Cambria"/>
          <w:color w:val="1A1A1A"/>
          <w:sz w:val="22"/>
          <w:szCs w:val="22"/>
        </w:rPr>
        <w:t xml:space="preserve">Vendor must notify Cridora promptly, and in any event within five (5) Business Days, of any change to its trade licence, beneficial ownership, directors, authorised signatories, or registered bank account.</w:t>
      </w:r>
    </w:p>
    <w:p>
      <w:pPr>
        <w:keepNext/>
        <w:pBdr>
          <w:bottom w:val="single" w:color="8A6D1E" w:sz="10" w:space="6"/>
        </w:pBdr>
        <w:spacing w:after="240" w:before="480"/>
      </w:pPr>
      <w:r>
        <w:rPr>
          <w:rFonts w:ascii="Cambria" w:cs="Cambria" w:eastAsia="Cambria" w:hAnsi="Cambria"/>
          <w:b/>
          <w:bCs/>
          <w:color w:val="8A6D1E"/>
          <w:sz w:val="30"/>
          <w:szCs w:val="30"/>
        </w:rPr>
        <w:t xml:space="preserve">5.  </w:t>
      </w:r>
      <w:r>
        <w:rPr>
          <w:rFonts w:ascii="Cambria" w:cs="Cambria" w:eastAsia="Cambria" w:hAnsi="Cambria"/>
          <w:b/>
          <w:bCs/>
          <w:color w:val="1A1A1A"/>
          <w:sz w:val="30"/>
          <w:szCs w:val="30"/>
        </w:rPr>
        <w:t xml:space="preserve">VENDOR REPRESENTATIONS AND WARRANTIES</w:t>
      </w:r>
    </w:p>
    <w:p>
      <w:pPr>
        <w:spacing w:after="140" w:line="276"/>
        <w:ind w:left="360"/>
        <w:jc w:val="both"/>
      </w:pPr>
      <w:r>
        <w:rPr>
          <w:rFonts w:ascii="Cambria" w:cs="Cambria" w:eastAsia="Cambria" w:hAnsi="Cambria"/>
          <w:b/>
          <w:bCs/>
          <w:color w:val="1A1A1A"/>
          <w:sz w:val="22"/>
          <w:szCs w:val="22"/>
        </w:rPr>
        <w:t xml:space="preserve">5.1  </w:t>
      </w:r>
      <w:r>
        <w:rPr>
          <w:rFonts w:ascii="Cambria" w:cs="Cambria" w:eastAsia="Cambria" w:hAnsi="Cambria"/>
          <w:color w:val="1A1A1A"/>
          <w:sz w:val="22"/>
          <w:szCs w:val="22"/>
        </w:rPr>
        <w:t xml:space="preserve">Vendor represents and warrants, on a continuing basis throughout the term of this Agreement, that:</w:t>
      </w:r>
    </w:p>
    <w:p>
      <w:pPr>
        <w:pStyle w:val="ListParagraph"/>
        <w:numPr>
          <w:ilvl w:val="0"/>
          <w:numId w:val="2"/>
        </w:numPr>
        <w:spacing w:after="90" w:line="264"/>
        <w:jc w:val="both"/>
      </w:pPr>
      <w:r>
        <w:rPr>
          <w:rFonts w:ascii="Cambria" w:cs="Cambria" w:eastAsia="Cambria" w:hAnsi="Cambria"/>
          <w:color w:val="1A1A1A"/>
          <w:sz w:val="22"/>
          <w:szCs w:val="22"/>
        </w:rPr>
        <w:t xml:space="preserve">it is duly licensed and authorised under Applicable Law to trade in physical gold, silver, platinum, and/or palladium bullion in the United Arab Emirates;</w:t>
      </w:r>
    </w:p>
    <w:p>
      <w:pPr>
        <w:pStyle w:val="ListParagraph"/>
        <w:numPr>
          <w:ilvl w:val="0"/>
          <w:numId w:val="2"/>
        </w:numPr>
        <w:spacing w:after="90" w:line="264"/>
        <w:jc w:val="both"/>
      </w:pPr>
      <w:r>
        <w:rPr>
          <w:rFonts w:ascii="Cambria" w:cs="Cambria" w:eastAsia="Cambria" w:hAnsi="Cambria"/>
          <w:color w:val="1A1A1A"/>
          <w:sz w:val="22"/>
          <w:szCs w:val="22"/>
        </w:rPr>
        <w:t xml:space="preserve">it has good, valid, and marketable title to all metal it lists on the Platform, free of any lien, encumbrance, or third-party claim, and full right and authority to sell such metal;</w:t>
      </w:r>
    </w:p>
    <w:p>
      <w:pPr>
        <w:pStyle w:val="ListParagraph"/>
        <w:numPr>
          <w:ilvl w:val="0"/>
          <w:numId w:val="2"/>
        </w:numPr>
        <w:spacing w:after="90" w:line="264"/>
        <w:jc w:val="both"/>
      </w:pPr>
      <w:r>
        <w:rPr>
          <w:rFonts w:ascii="Cambria" w:cs="Cambria" w:eastAsia="Cambria" w:hAnsi="Cambria"/>
          <w:color w:val="1A1A1A"/>
          <w:sz w:val="22"/>
          <w:szCs w:val="22"/>
        </w:rPr>
        <w:t xml:space="preserve">all metal supplied against an accepted order is genuine, is not counterfeit, plated, or adulterated, and conforms in metal type, weight, and purity to the corresponding Listing, within any tolerance stated in the Listing;</w:t>
      </w:r>
    </w:p>
    <w:p>
      <w:pPr>
        <w:pStyle w:val="ListParagraph"/>
        <w:numPr>
          <w:ilvl w:val="0"/>
          <w:numId w:val="2"/>
        </w:numPr>
        <w:spacing w:after="90" w:line="264"/>
        <w:jc w:val="both"/>
      </w:pPr>
      <w:r>
        <w:rPr>
          <w:rFonts w:ascii="Cambria" w:cs="Cambria" w:eastAsia="Cambria" w:hAnsi="Cambria"/>
          <w:color w:val="1A1A1A"/>
          <w:sz w:val="22"/>
          <w:szCs w:val="22"/>
        </w:rPr>
        <w:t xml:space="preserve">no metal listed or supplied by Vendor is stolen, is the proceeds of crime, or originates from a conflict-affected or high-risk area in a manner inconsistent with responsible sourcing expectations under Applicable Law;</w:t>
      </w:r>
    </w:p>
    <w:p>
      <w:pPr>
        <w:pStyle w:val="ListParagraph"/>
        <w:numPr>
          <w:ilvl w:val="0"/>
          <w:numId w:val="2"/>
        </w:numPr>
        <w:spacing w:after="90" w:line="264"/>
        <w:jc w:val="both"/>
      </w:pPr>
      <w:r>
        <w:rPr>
          <w:rFonts w:ascii="Cambria" w:cs="Cambria" w:eastAsia="Cambria" w:hAnsi="Cambria"/>
          <w:color w:val="1A1A1A"/>
          <w:sz w:val="22"/>
          <w:szCs w:val="22"/>
        </w:rPr>
        <w:t xml:space="preserve">it will comply with all Applicable Law in the conduct of its business on and in connection with the Platform, including AML/CFT, consumer protection, VAT, and product-labelling requirements; and</w:t>
      </w:r>
    </w:p>
    <w:p>
      <w:pPr>
        <w:pStyle w:val="ListParagraph"/>
        <w:numPr>
          <w:ilvl w:val="0"/>
          <w:numId w:val="2"/>
        </w:numPr>
        <w:spacing w:after="90" w:line="264"/>
        <w:jc w:val="both"/>
      </w:pPr>
      <w:r>
        <w:rPr>
          <w:rFonts w:ascii="Cambria" w:cs="Cambria" w:eastAsia="Cambria" w:hAnsi="Cambria"/>
          <w:color w:val="1A1A1A"/>
          <w:sz w:val="22"/>
          <w:szCs w:val="22"/>
        </w:rPr>
        <w:t xml:space="preserve">all information it provides to Cridora or to customers through the Platform, including in KYB documents and Listings, is true, complete, and not misleading.</w:t>
      </w:r>
    </w:p>
    <w:p>
      <w:pPr>
        <w:keepNext/>
        <w:pBdr>
          <w:bottom w:val="single" w:color="8A6D1E" w:sz="10" w:space="6"/>
        </w:pBdr>
        <w:spacing w:after="240" w:before="480"/>
      </w:pPr>
      <w:r>
        <w:rPr>
          <w:rFonts w:ascii="Cambria" w:cs="Cambria" w:eastAsia="Cambria" w:hAnsi="Cambria"/>
          <w:b/>
          <w:bCs/>
          <w:color w:val="8A6D1E"/>
          <w:sz w:val="30"/>
          <w:szCs w:val="30"/>
        </w:rPr>
        <w:t xml:space="preserve">6.  </w:t>
      </w:r>
      <w:r>
        <w:rPr>
          <w:rFonts w:ascii="Cambria" w:cs="Cambria" w:eastAsia="Cambria" w:hAnsi="Cambria"/>
          <w:b/>
          <w:bCs/>
          <w:color w:val="1A1A1A"/>
          <w:sz w:val="30"/>
          <w:szCs w:val="30"/>
        </w:rPr>
        <w:t xml:space="preserve">LISTINGS AND CATALOGUE STANDARDS</w:t>
      </w:r>
    </w:p>
    <w:p>
      <w:pPr>
        <w:spacing w:after="140" w:line="276"/>
        <w:ind w:left="360"/>
        <w:jc w:val="both"/>
      </w:pPr>
      <w:r>
        <w:rPr>
          <w:rFonts w:ascii="Cambria" w:cs="Cambria" w:eastAsia="Cambria" w:hAnsi="Cambria"/>
          <w:b/>
          <w:bCs/>
          <w:color w:val="1A1A1A"/>
          <w:sz w:val="22"/>
          <w:szCs w:val="22"/>
        </w:rPr>
        <w:t xml:space="preserve">6.1  </w:t>
      </w:r>
      <w:r>
        <w:rPr>
          <w:rFonts w:ascii="Cambria" w:cs="Cambria" w:eastAsia="Cambria" w:hAnsi="Cambria"/>
          <w:color w:val="1A1A1A"/>
          <w:sz w:val="22"/>
          <w:szCs w:val="22"/>
        </w:rPr>
        <w:t xml:space="preserve">Each Listing must accurately state, at minimum: product name, metal type, weight in grams, purity, pricing basis (live spot-linked rate or manual rate), buyback rate per gram, and any applicable packaging, storage, or insurance fee, together with the correct VAT treatment (inclusive or exclusive) for that product.</w:t>
      </w:r>
    </w:p>
    <w:p>
      <w:pPr>
        <w:spacing w:after="140" w:line="276"/>
        <w:ind w:left="360"/>
        <w:jc w:val="both"/>
      </w:pPr>
      <w:r>
        <w:rPr>
          <w:rFonts w:ascii="Cambria" w:cs="Cambria" w:eastAsia="Cambria" w:hAnsi="Cambria"/>
          <w:b/>
          <w:bCs/>
          <w:color w:val="1A1A1A"/>
          <w:sz w:val="22"/>
          <w:szCs w:val="22"/>
        </w:rPr>
        <w:t xml:space="preserve">6.2  </w:t>
      </w:r>
      <w:r>
        <w:rPr>
          <w:rFonts w:ascii="Cambria" w:cs="Cambria" w:eastAsia="Cambria" w:hAnsi="Cambria"/>
          <w:color w:val="1A1A1A"/>
          <w:sz w:val="22"/>
          <w:szCs w:val="22"/>
        </w:rPr>
        <w:t xml:space="preserve">Vendor is solely responsible for keeping stock levels, prices, and buyback rates on the Platform current, and must promptly mark a product out of stock or remove it once it is no longer available at the listed terms.</w:t>
      </w:r>
    </w:p>
    <w:p>
      <w:pPr>
        <w:spacing w:after="140" w:line="276"/>
        <w:ind w:left="360"/>
        <w:jc w:val="both"/>
      </w:pPr>
      <w:r>
        <w:rPr>
          <w:rFonts w:ascii="Cambria" w:cs="Cambria" w:eastAsia="Cambria" w:hAnsi="Cambria"/>
          <w:b/>
          <w:bCs/>
          <w:color w:val="1A1A1A"/>
          <w:sz w:val="22"/>
          <w:szCs w:val="22"/>
        </w:rPr>
        <w:t xml:space="preserve">6.3  </w:t>
      </w:r>
      <w:r>
        <w:rPr>
          <w:rFonts w:ascii="Cambria" w:cs="Cambria" w:eastAsia="Cambria" w:hAnsi="Cambria"/>
          <w:color w:val="1A1A1A"/>
          <w:sz w:val="22"/>
          <w:szCs w:val="22"/>
        </w:rPr>
        <w:t xml:space="preserve">Product images must genuinely depict the listed product or a true representative sample. Vendor must not use misleading imagery, false certifications, or pricing designed to manipulate the Platform's comparison tools or search ranking.</w:t>
      </w:r>
    </w:p>
    <w:p>
      <w:pPr>
        <w:spacing w:after="140" w:line="276"/>
        <w:ind w:left="360"/>
        <w:jc w:val="both"/>
      </w:pPr>
      <w:r>
        <w:rPr>
          <w:rFonts w:ascii="Cambria" w:cs="Cambria" w:eastAsia="Cambria" w:hAnsi="Cambria"/>
          <w:b/>
          <w:bCs/>
          <w:color w:val="1A1A1A"/>
          <w:sz w:val="22"/>
          <w:szCs w:val="22"/>
        </w:rPr>
        <w:t xml:space="preserve">6.4  </w:t>
      </w:r>
      <w:r>
        <w:rPr>
          <w:rFonts w:ascii="Cambria" w:cs="Cambria" w:eastAsia="Cambria" w:hAnsi="Cambria"/>
          <w:color w:val="1A1A1A"/>
          <w:sz w:val="22"/>
          <w:szCs w:val="22"/>
        </w:rPr>
        <w:t xml:space="preserve">Cridora may remove or suspend any Listing that it reasonably believes is inaccurate, misleading, non-compliant with Applicable Law, or otherwise in breach of this Agreement, and will notify Vendor of the reason where practicable.</w:t>
      </w:r>
    </w:p>
    <w:p>
      <w:pPr>
        <w:keepNext/>
        <w:pBdr>
          <w:bottom w:val="single" w:color="8A6D1E" w:sz="10" w:space="6"/>
        </w:pBdr>
        <w:spacing w:after="240" w:before="480"/>
      </w:pPr>
      <w:r>
        <w:rPr>
          <w:rFonts w:ascii="Cambria" w:cs="Cambria" w:eastAsia="Cambria" w:hAnsi="Cambria"/>
          <w:b/>
          <w:bCs/>
          <w:color w:val="8A6D1E"/>
          <w:sz w:val="30"/>
          <w:szCs w:val="30"/>
        </w:rPr>
        <w:t xml:space="preserve">7.  </w:t>
      </w:r>
      <w:r>
        <w:rPr>
          <w:rFonts w:ascii="Cambria" w:cs="Cambria" w:eastAsia="Cambria" w:hAnsi="Cambria"/>
          <w:b/>
          <w:bCs/>
          <w:color w:val="1A1A1A"/>
          <w:sz w:val="30"/>
          <w:szCs w:val="30"/>
        </w:rPr>
        <w:t xml:space="preserve">ORDER ACCEPTANCE AND FULFILMENT</w:t>
      </w:r>
    </w:p>
    <w:p>
      <w:pPr>
        <w:spacing w:after="140" w:line="276"/>
        <w:ind w:left="360"/>
        <w:jc w:val="both"/>
      </w:pPr>
      <w:r>
        <w:rPr>
          <w:rFonts w:ascii="Cambria" w:cs="Cambria" w:eastAsia="Cambria" w:hAnsi="Cambria"/>
          <w:b/>
          <w:bCs/>
          <w:color w:val="1A1A1A"/>
          <w:sz w:val="22"/>
          <w:szCs w:val="22"/>
        </w:rPr>
        <w:t xml:space="preserve">7.1  </w:t>
      </w:r>
      <w:r>
        <w:rPr>
          <w:rFonts w:ascii="Cambria" w:cs="Cambria" w:eastAsia="Cambria" w:hAnsi="Cambria"/>
          <w:color w:val="1A1A1A"/>
          <w:sz w:val="22"/>
          <w:szCs w:val="22"/>
        </w:rPr>
        <w:t xml:space="preserve">By accepting a Buy Order on the Live Sales Desk, Vendor forms a binding sale contract with the customer for the metal, weight, purity, and price stated in the order, on the delivery or collection terms displayed on the Platform at the time of order.</w:t>
      </w:r>
    </w:p>
    <w:p>
      <w:pPr>
        <w:spacing w:after="140" w:line="276"/>
        <w:ind w:left="360"/>
        <w:jc w:val="both"/>
      </w:pPr>
      <w:r>
        <w:rPr>
          <w:rFonts w:ascii="Cambria" w:cs="Cambria" w:eastAsia="Cambria" w:hAnsi="Cambria"/>
          <w:b/>
          <w:bCs/>
          <w:color w:val="1A1A1A"/>
          <w:sz w:val="22"/>
          <w:szCs w:val="22"/>
        </w:rPr>
        <w:t xml:space="preserve">7.2  </w:t>
      </w:r>
      <w:r>
        <w:rPr>
          <w:rFonts w:ascii="Cambria" w:cs="Cambria" w:eastAsia="Cambria" w:hAnsi="Cambria"/>
          <w:color w:val="1A1A1A"/>
          <w:sz w:val="22"/>
          <w:szCs w:val="22"/>
        </w:rPr>
        <w:t xml:space="preserve">Vendor must fulfil every accepted Buy Order in the quantity, quality, and timeframe presented to the customer at checkout, and must not substitute metal of lower purity or weight without the customer's express consent obtained through the Platform.</w:t>
      </w:r>
    </w:p>
    <w:p>
      <w:pPr>
        <w:spacing w:after="140" w:line="276"/>
        <w:ind w:left="360"/>
        <w:jc w:val="both"/>
      </w:pPr>
      <w:r>
        <w:rPr>
          <w:rFonts w:ascii="Cambria" w:cs="Cambria" w:eastAsia="Cambria" w:hAnsi="Cambria"/>
          <w:b/>
          <w:bCs/>
          <w:color w:val="1A1A1A"/>
          <w:sz w:val="22"/>
          <w:szCs w:val="22"/>
        </w:rPr>
        <w:t xml:space="preserve">7.3  </w:t>
      </w:r>
      <w:r>
        <w:rPr>
          <w:rFonts w:ascii="Cambria" w:cs="Cambria" w:eastAsia="Cambria" w:hAnsi="Cambria"/>
          <w:color w:val="1A1A1A"/>
          <w:sz w:val="22"/>
          <w:szCs w:val="22"/>
        </w:rPr>
        <w:t xml:space="preserve">Repeated failure to fulfil accepted orders, or repeated non-response within the acceptance window under clause 3.2, is a material breach of this Agreement and may result in suspension under clause 15.</w:t>
      </w:r>
    </w:p>
    <w:p>
      <w:pPr>
        <w:keepNext/>
        <w:pBdr>
          <w:bottom w:val="single" w:color="8A6D1E" w:sz="10" w:space="6"/>
        </w:pBdr>
        <w:spacing w:after="240" w:before="480"/>
      </w:pPr>
      <w:r>
        <w:rPr>
          <w:rFonts w:ascii="Cambria" w:cs="Cambria" w:eastAsia="Cambria" w:hAnsi="Cambria"/>
          <w:b/>
          <w:bCs/>
          <w:color w:val="8A6D1E"/>
          <w:sz w:val="30"/>
          <w:szCs w:val="30"/>
        </w:rPr>
        <w:t xml:space="preserve">8.  </w:t>
      </w:r>
      <w:r>
        <w:rPr>
          <w:rFonts w:ascii="Cambria" w:cs="Cambria" w:eastAsia="Cambria" w:hAnsi="Cambria"/>
          <w:b/>
          <w:bCs/>
          <w:color w:val="1A1A1A"/>
          <w:sz w:val="30"/>
          <w:szCs w:val="30"/>
        </w:rPr>
        <w:t xml:space="preserve">NON-CUSTODIAL MODEL AND RISK OF LOSS</w:t>
      </w:r>
    </w:p>
    <w:p>
      <w:pPr>
        <w:spacing w:after="140" w:line="276"/>
        <w:ind w:left="360"/>
        <w:jc w:val="both"/>
      </w:pPr>
      <w:r>
        <w:rPr>
          <w:rFonts w:ascii="Cambria" w:cs="Cambria" w:eastAsia="Cambria" w:hAnsi="Cambria"/>
          <w:b/>
          <w:bCs/>
          <w:color w:val="1A1A1A"/>
          <w:sz w:val="22"/>
          <w:szCs w:val="22"/>
        </w:rPr>
        <w:t xml:space="preserve">8.1  </w:t>
      </w:r>
      <w:r>
        <w:rPr>
          <w:rFonts w:ascii="Cambria" w:cs="Cambria" w:eastAsia="Cambria" w:hAnsi="Cambria"/>
          <w:color w:val="1A1A1A"/>
          <w:sz w:val="22"/>
          <w:szCs w:val="22"/>
        </w:rPr>
        <w:t xml:space="preserve">The Parties acknowledge that Cridora operates on a strictly non-custodial basis: Cridora does not at any time take physical possession, custody, or control of any metal listed or sold on the Platform. Cridora's role is limited to (a) verifying customer and vendor identity, (b) facilitating price discovery and order matching, and (c) processing payment collection and Settlement as described in this Agreement.</w:t>
      </w:r>
    </w:p>
    <w:p>
      <w:pPr>
        <w:spacing w:after="140" w:line="276"/>
        <w:ind w:left="360"/>
        <w:jc w:val="both"/>
      </w:pPr>
      <w:r>
        <w:rPr>
          <w:rFonts w:ascii="Cambria" w:cs="Cambria" w:eastAsia="Cambria" w:hAnsi="Cambria"/>
          <w:b/>
          <w:bCs/>
          <w:color w:val="1A1A1A"/>
          <w:sz w:val="22"/>
          <w:szCs w:val="22"/>
        </w:rPr>
        <w:t xml:space="preserve">8.2  </w:t>
      </w:r>
      <w:r>
        <w:rPr>
          <w:rFonts w:ascii="Cambria" w:cs="Cambria" w:eastAsia="Cambria" w:hAnsi="Cambria"/>
          <w:color w:val="1A1A1A"/>
          <w:sz w:val="22"/>
          <w:szCs w:val="22"/>
        </w:rPr>
        <w:t xml:space="preserve">Vendor retains custody of, and sole responsibility and risk of loss for, all metal in its possession at all times prior to completed transfer to (or collection by) the customer in accordance with the order, and again from the point of any Sell-Back Order collection onward. Cridora is not a bailee, custodian, warehouseman, or insurer of any metal at any time.</w:t>
      </w:r>
    </w:p>
    <w:p>
      <w:pPr>
        <w:spacing w:after="140" w:line="276"/>
        <w:ind w:left="360"/>
        <w:jc w:val="both"/>
      </w:pPr>
      <w:r>
        <w:rPr>
          <w:rFonts w:ascii="Cambria" w:cs="Cambria" w:eastAsia="Cambria" w:hAnsi="Cambria"/>
          <w:b/>
          <w:bCs/>
          <w:color w:val="1A1A1A"/>
          <w:sz w:val="22"/>
          <w:szCs w:val="22"/>
        </w:rPr>
        <w:t xml:space="preserve">8.3  </w:t>
      </w:r>
      <w:r>
        <w:rPr>
          <w:rFonts w:ascii="Cambria" w:cs="Cambria" w:eastAsia="Cambria" w:hAnsi="Cambria"/>
          <w:color w:val="1A1A1A"/>
          <w:sz w:val="22"/>
          <w:szCs w:val="22"/>
        </w:rPr>
        <w:t xml:space="preserve">Vendor is solely responsible for the physical security, safe storage, and insurance of all metal in its possession, and for compliance with any Applicable Law governing the secure storage or transport of precious metals.</w:t>
      </w:r>
    </w:p>
    <w:p>
      <w:pPr>
        <w:keepNext/>
        <w:pBdr>
          <w:bottom w:val="single" w:color="8A6D1E" w:sz="10" w:space="6"/>
        </w:pBdr>
        <w:spacing w:after="240" w:before="480"/>
      </w:pPr>
      <w:r>
        <w:rPr>
          <w:rFonts w:ascii="Cambria" w:cs="Cambria" w:eastAsia="Cambria" w:hAnsi="Cambria"/>
          <w:b/>
          <w:bCs/>
          <w:color w:val="8A6D1E"/>
          <w:sz w:val="30"/>
          <w:szCs w:val="30"/>
        </w:rPr>
        <w:t xml:space="preserve">9.  </w:t>
      </w:r>
      <w:r>
        <w:rPr>
          <w:rFonts w:ascii="Cambria" w:cs="Cambria" w:eastAsia="Cambria" w:hAnsi="Cambria"/>
          <w:b/>
          <w:bCs/>
          <w:color w:val="1A1A1A"/>
          <w:sz w:val="30"/>
          <w:szCs w:val="30"/>
        </w:rPr>
        <w:t xml:space="preserve">GUARANTEED SELL-BACK OBLIGATION</w:t>
      </w:r>
    </w:p>
    <w:p>
      <w:pPr>
        <w:spacing w:after="140" w:line="276"/>
        <w:ind w:left="360"/>
        <w:jc w:val="both"/>
      </w:pPr>
      <w:r>
        <w:rPr>
          <w:rFonts w:ascii="Cambria" w:cs="Cambria" w:eastAsia="Cambria" w:hAnsi="Cambria"/>
          <w:b/>
          <w:bCs/>
          <w:color w:val="1A1A1A"/>
          <w:sz w:val="22"/>
          <w:szCs w:val="22"/>
        </w:rPr>
        <w:t xml:space="preserve">9.1  </w:t>
      </w:r>
      <w:r>
        <w:rPr>
          <w:rFonts w:ascii="Cambria" w:cs="Cambria" w:eastAsia="Cambria" w:hAnsi="Cambria"/>
          <w:color w:val="1A1A1A"/>
          <w:sz w:val="22"/>
          <w:szCs w:val="22"/>
        </w:rPr>
        <w:t xml:space="preserve">Vendor agrees to honour Sell-Back Orders for metal originally purchased through the Platform from Vendor, at the transparent, spot-linked buyback rate displayed on the Platform at the time the Sell-Back Order is submitted.</w:t>
      </w:r>
    </w:p>
    <w:p>
      <w:pPr>
        <w:spacing w:after="140" w:line="276"/>
        <w:ind w:left="360"/>
        <w:jc w:val="both"/>
      </w:pPr>
      <w:r>
        <w:rPr>
          <w:rFonts w:ascii="Cambria" w:cs="Cambria" w:eastAsia="Cambria" w:hAnsi="Cambria"/>
          <w:b/>
          <w:bCs/>
          <w:color w:val="1A1A1A"/>
          <w:sz w:val="22"/>
          <w:szCs w:val="22"/>
        </w:rPr>
        <w:t xml:space="preserve">9.2  </w:t>
      </w:r>
      <w:r>
        <w:rPr>
          <w:rFonts w:ascii="Cambria" w:cs="Cambria" w:eastAsia="Cambria" w:hAnsi="Cambria"/>
          <w:color w:val="1A1A1A"/>
          <w:sz w:val="22"/>
          <w:szCs w:val="22"/>
        </w:rPr>
        <w:t xml:space="preserve">Each Sell-Back Order carries a limited response window within which Vendor must accept or reject the request, consistent with the mechanics described in clause 3.2. Unjustified or repeated rejection of valid Sell-Back Orders is a material breach of this Agreement. Where Vendor unjustifiably rejects or otherwise fails to honour a valid Sell-Back Order, Cridora may, at its discretion, satisfy the customer directly or arrange for the buyback through another vendor, and may recover any resulting loss (including any price difference and reasonable costs) from Vendor by deduction from future Settlement amounts or as a debt due on demand, without prejudice to Cridora's other rights and remedies under this Agreement.</w:t>
      </w:r>
    </w:p>
    <w:p>
      <w:pPr>
        <w:spacing w:after="140" w:line="276"/>
        <w:ind w:left="360"/>
        <w:jc w:val="both"/>
      </w:pPr>
      <w:r>
        <w:rPr>
          <w:rFonts w:ascii="Cambria" w:cs="Cambria" w:eastAsia="Cambria" w:hAnsi="Cambria"/>
          <w:b/>
          <w:bCs/>
          <w:color w:val="1A1A1A"/>
          <w:sz w:val="22"/>
          <w:szCs w:val="22"/>
        </w:rPr>
        <w:t xml:space="preserve">9.3  </w:t>
      </w:r>
      <w:r>
        <w:rPr>
          <w:rFonts w:ascii="Cambria" w:cs="Cambria" w:eastAsia="Cambria" w:hAnsi="Cambria"/>
          <w:color w:val="1A1A1A"/>
          <w:sz w:val="22"/>
          <w:szCs w:val="22"/>
        </w:rPr>
        <w:t xml:space="preserve">Cridora's Sell-Back Share of the profit on each completed Sell-Back Order (being the positive difference between the buyback price and the customer's original purchase price) is deducted from Vendor's net payout at the time the Sell-Back Order is created, in accordance with clause 10.2.</w:t>
      </w:r>
    </w:p>
    <w:p>
      <w:pPr>
        <w:keepNext/>
        <w:pBdr>
          <w:bottom w:val="single" w:color="8A6D1E" w:sz="10" w:space="6"/>
        </w:pBdr>
        <w:spacing w:after="240" w:before="480"/>
      </w:pPr>
      <w:r>
        <w:rPr>
          <w:rFonts w:ascii="Cambria" w:cs="Cambria" w:eastAsia="Cambria" w:hAnsi="Cambria"/>
          <w:b/>
          <w:bCs/>
          <w:color w:val="8A6D1E"/>
          <w:sz w:val="30"/>
          <w:szCs w:val="30"/>
        </w:rPr>
        <w:t xml:space="preserve">10.  </w:t>
      </w:r>
      <w:r>
        <w:rPr>
          <w:rFonts w:ascii="Cambria" w:cs="Cambria" w:eastAsia="Cambria" w:hAnsi="Cambria"/>
          <w:b/>
          <w:bCs/>
          <w:color w:val="1A1A1A"/>
          <w:sz w:val="30"/>
          <w:szCs w:val="30"/>
        </w:rPr>
        <w:t xml:space="preserve">FEES AND COMMISSION</w:t>
      </w:r>
    </w:p>
    <w:p>
      <w:pPr>
        <w:spacing w:after="140" w:line="276"/>
        <w:ind w:left="360"/>
        <w:jc w:val="both"/>
      </w:pPr>
      <w:r>
        <w:rPr>
          <w:rFonts w:ascii="Cambria" w:cs="Cambria" w:eastAsia="Cambria" w:hAnsi="Cambria"/>
          <w:b/>
          <w:bCs/>
          <w:color w:val="1A1A1A"/>
          <w:sz w:val="22"/>
          <w:szCs w:val="22"/>
        </w:rPr>
        <w:t xml:space="preserve">10.1  </w:t>
      </w:r>
      <w:r>
        <w:rPr>
          <w:rFonts w:ascii="Cambria" w:cs="Cambria" w:eastAsia="Cambria" w:hAnsi="Cambria"/>
          <w:color w:val="1A1A1A"/>
          <w:sz w:val="22"/>
          <w:szCs w:val="22"/>
        </w:rPr>
        <w:t xml:space="preserve">Platform Fee. Cridora charges the customer a Platform Fee of zero point five zero per cent (0.50%) of the metal value on each Buy Order, added to the customer's checkout total. The Platform Fee is a customer-facing charge and is not deducted from amounts payable to Vendor.</w:t>
      </w:r>
    </w:p>
    <w:p>
      <w:pPr>
        <w:spacing w:after="140" w:line="276"/>
        <w:ind w:left="360"/>
        <w:jc w:val="both"/>
      </w:pPr>
      <w:r>
        <w:rPr>
          <w:rFonts w:ascii="Cambria" w:cs="Cambria" w:eastAsia="Cambria" w:hAnsi="Cambria"/>
          <w:b/>
          <w:bCs/>
          <w:color w:val="1A1A1A"/>
          <w:sz w:val="22"/>
          <w:szCs w:val="22"/>
        </w:rPr>
        <w:t xml:space="preserve">10.2  </w:t>
      </w:r>
      <w:r>
        <w:rPr>
          <w:rFonts w:ascii="Cambria" w:cs="Cambria" w:eastAsia="Cambria" w:hAnsi="Cambria"/>
          <w:color w:val="1A1A1A"/>
          <w:sz w:val="22"/>
          <w:szCs w:val="22"/>
        </w:rPr>
        <w:t xml:space="preserve">Sell-Back Share. On each completed Sell-Back Order, Cridora retains a Sell-Back Share of five per cent (5.00%) of Vendor's profit on that transaction (namely, the buyback price paid to the customer less the customer's original purchase cost, where positive). The Sell-Back Share is deducted from Vendor's net payout for that Sell-Back Order at the time it is created. No Sell-Back Share is charged where the transaction generates no profit.</w:t>
      </w:r>
    </w:p>
    <w:p>
      <w:pPr>
        <w:spacing w:after="140" w:line="276"/>
        <w:ind w:left="360"/>
        <w:jc w:val="both"/>
      </w:pPr>
      <w:r>
        <w:rPr>
          <w:rFonts w:ascii="Cambria" w:cs="Cambria" w:eastAsia="Cambria" w:hAnsi="Cambria"/>
          <w:b/>
          <w:bCs/>
          <w:color w:val="1A1A1A"/>
          <w:sz w:val="22"/>
          <w:szCs w:val="22"/>
        </w:rPr>
        <w:t xml:space="preserve">10.3  </w:t>
      </w:r>
      <w:r>
        <w:rPr>
          <w:rFonts w:ascii="Cambria" w:cs="Cambria" w:eastAsia="Cambria" w:hAnsi="Cambria"/>
          <w:color w:val="1A1A1A"/>
          <w:sz w:val="22"/>
          <w:szCs w:val="22"/>
        </w:rPr>
        <w:t xml:space="preserve">EOD Holding. At the close of each Business Day, Cridora retains a percentage (the “EOD Holding Percentage”, currently configured at zero per cent (0%) and adjustable by Cridora as described in clause 10.4) of Vendor's positive daily net position (buy revenue less sell-back deductions) as a Held Amount, to fund liquidity for the guaranteed sell-back programme under clause 9. Held Amounts are reflected in the EOD Ledger and released to Vendor in accordance with Cridora's then-current release policy, notified to Vendor separately from this Agreement.</w:t>
      </w:r>
    </w:p>
    <w:p>
      <w:pPr>
        <w:spacing w:after="140" w:line="276"/>
        <w:ind w:left="360"/>
        <w:jc w:val="both"/>
      </w:pPr>
      <w:r>
        <w:rPr>
          <w:rFonts w:ascii="Cambria" w:cs="Cambria" w:eastAsia="Cambria" w:hAnsi="Cambria"/>
          <w:b/>
          <w:bCs/>
          <w:color w:val="1A1A1A"/>
          <w:sz w:val="22"/>
          <w:szCs w:val="22"/>
        </w:rPr>
        <w:t xml:space="preserve">10.4  </w:t>
      </w:r>
      <w:r>
        <w:rPr>
          <w:rFonts w:ascii="Cambria" w:cs="Cambria" w:eastAsia="Cambria" w:hAnsi="Cambria"/>
          <w:color w:val="1A1A1A"/>
          <w:sz w:val="22"/>
          <w:szCs w:val="22"/>
        </w:rPr>
        <w:t xml:space="preserve">Fee Changes. Cridora may adjust the Platform Fee, the Sell-Back Share, and the EOD Holding Percentage from time to time by giving Vendor at least fourteen (14) days' prior written notice (which may be given through the vendor dashboard or by email). The percentages current as of the Effective Date are set out in Schedule 1. Continued use of the Platform after the effective date of a fee change constitutes acceptance of the revised fees.</w:t>
      </w:r>
    </w:p>
    <w:p>
      <w:pPr>
        <w:keepNext/>
        <w:pBdr>
          <w:bottom w:val="single" w:color="8A6D1E" w:sz="10" w:space="6"/>
        </w:pBdr>
        <w:spacing w:after="240" w:before="480"/>
      </w:pPr>
      <w:r>
        <w:rPr>
          <w:rFonts w:ascii="Cambria" w:cs="Cambria" w:eastAsia="Cambria" w:hAnsi="Cambria"/>
          <w:b/>
          <w:bCs/>
          <w:color w:val="8A6D1E"/>
          <w:sz w:val="30"/>
          <w:szCs w:val="30"/>
        </w:rPr>
        <w:t xml:space="preserve">11.  </w:t>
      </w:r>
      <w:r>
        <w:rPr>
          <w:rFonts w:ascii="Cambria" w:cs="Cambria" w:eastAsia="Cambria" w:hAnsi="Cambria"/>
          <w:b/>
          <w:bCs/>
          <w:color w:val="1A1A1A"/>
          <w:sz w:val="30"/>
          <w:szCs w:val="30"/>
        </w:rPr>
        <w:t xml:space="preserve">PAYMENT PROCESSING AND PAYOUTS</w:t>
      </w:r>
    </w:p>
    <w:p>
      <w:pPr>
        <w:spacing w:after="140" w:line="276"/>
        <w:ind w:left="360"/>
        <w:jc w:val="both"/>
      </w:pPr>
      <w:r>
        <w:rPr>
          <w:rFonts w:ascii="Cambria" w:cs="Cambria" w:eastAsia="Cambria" w:hAnsi="Cambria"/>
          <w:b/>
          <w:bCs/>
          <w:color w:val="1A1A1A"/>
          <w:sz w:val="22"/>
          <w:szCs w:val="22"/>
        </w:rPr>
        <w:t xml:space="preserve">11.1  </w:t>
      </w:r>
      <w:r>
        <w:rPr>
          <w:rFonts w:ascii="Cambria" w:cs="Cambria" w:eastAsia="Cambria" w:hAnsi="Cambria"/>
          <w:color w:val="1A1A1A"/>
          <w:sz w:val="22"/>
          <w:szCs w:val="22"/>
        </w:rPr>
        <w:t xml:space="preserve">Cridora is the merchant of record for all customer payments processed through the Platform's payment gateway. Customer funds are collected by Cridora, not paid directly to Vendor, and Vendor has no claim against the payment processor or the customer directly for amounts due to it; Vendor's sole recourse for amounts owed is against Cridora under this Agreement.</w:t>
      </w:r>
    </w:p>
    <w:p>
      <w:pPr>
        <w:spacing w:after="140" w:line="276"/>
        <w:ind w:left="360"/>
        <w:jc w:val="both"/>
      </w:pPr>
      <w:r>
        <w:rPr>
          <w:rFonts w:ascii="Cambria" w:cs="Cambria" w:eastAsia="Cambria" w:hAnsi="Cambria"/>
          <w:b/>
          <w:bCs/>
          <w:color w:val="1A1A1A"/>
          <w:sz w:val="22"/>
          <w:szCs w:val="22"/>
        </w:rPr>
        <w:t xml:space="preserve">11.2  </w:t>
      </w:r>
      <w:r>
        <w:rPr>
          <w:rFonts w:ascii="Cambria" w:cs="Cambria" w:eastAsia="Cambria" w:hAnsi="Cambria"/>
          <w:color w:val="1A1A1A"/>
          <w:sz w:val="22"/>
          <w:szCs w:val="22"/>
        </w:rPr>
        <w:t xml:space="preserve">For each Business Day on which Vendor has activity, Cridora will generate an EOD Ledger stating buy revenue, sell-back deductions, net position before any Held Amount, the Held Amount (if any), and the amount payable to Vendor for that Business Day.</w:t>
      </w:r>
    </w:p>
    <w:p>
      <w:pPr>
        <w:spacing w:after="140" w:line="276"/>
        <w:ind w:left="360"/>
        <w:jc w:val="both"/>
      </w:pPr>
      <w:r>
        <w:rPr>
          <w:rFonts w:ascii="Cambria" w:cs="Cambria" w:eastAsia="Cambria" w:hAnsi="Cambria"/>
          <w:b/>
          <w:bCs/>
          <w:color w:val="1A1A1A"/>
          <w:sz w:val="22"/>
          <w:szCs w:val="22"/>
        </w:rPr>
        <w:t xml:space="preserve">11.3  </w:t>
      </w:r>
      <w:r>
        <w:rPr>
          <w:rFonts w:ascii="Cambria" w:cs="Cambria" w:eastAsia="Cambria" w:hAnsi="Cambria"/>
          <w:color w:val="1A1A1A"/>
          <w:sz w:val="22"/>
          <w:szCs w:val="22"/>
        </w:rPr>
        <w:t xml:space="preserve">Cridora will process no more than one payout to Vendor per Business Day, by bank transfer to the account verified under clause 4.2. Cridora will upload proof of transfer to the vendor dashboard, and Vendor must confirm receipt of each payout in the dashboard before the corresponding EOD Ledger entry is closed and a final settlement statement is generated.</w:t>
      </w:r>
    </w:p>
    <w:p>
      <w:pPr>
        <w:spacing w:after="140" w:line="276"/>
        <w:ind w:left="360"/>
        <w:jc w:val="both"/>
      </w:pPr>
      <w:r>
        <w:rPr>
          <w:rFonts w:ascii="Cambria" w:cs="Cambria" w:eastAsia="Cambria" w:hAnsi="Cambria"/>
          <w:b/>
          <w:bCs/>
          <w:color w:val="1A1A1A"/>
          <w:sz w:val="22"/>
          <w:szCs w:val="22"/>
        </w:rPr>
        <w:t xml:space="preserve">11.4  </w:t>
      </w:r>
      <w:r>
        <w:rPr>
          <w:rFonts w:ascii="Cambria" w:cs="Cambria" w:eastAsia="Cambria" w:hAnsi="Cambria"/>
          <w:color w:val="1A1A1A"/>
          <w:sz w:val="22"/>
          <w:szCs w:val="22"/>
        </w:rPr>
        <w:t xml:space="preserve">If Vendor's net position for a Business Day is negative (for example, where Sell-Back Share deductions and other charges exceed buy revenue for that day), Vendor must repay the shortfall to Cridora using the repayment process made available in the vendor dashboard, including submission of proof of payment for Cridora's confirmation. Cridora may, at its discretion, net any outstanding repayment obligation against future amounts payable to Vendor.</w:t>
      </w:r>
    </w:p>
    <w:p>
      <w:pPr>
        <w:spacing w:after="140" w:line="276"/>
        <w:ind w:left="360"/>
        <w:jc w:val="both"/>
      </w:pPr>
      <w:r>
        <w:rPr>
          <w:rFonts w:ascii="Cambria" w:cs="Cambria" w:eastAsia="Cambria" w:hAnsi="Cambria"/>
          <w:b/>
          <w:bCs/>
          <w:color w:val="1A1A1A"/>
          <w:sz w:val="22"/>
          <w:szCs w:val="22"/>
        </w:rPr>
        <w:t xml:space="preserve">11.5  </w:t>
      </w:r>
      <w:r>
        <w:rPr>
          <w:rFonts w:ascii="Cambria" w:cs="Cambria" w:eastAsia="Cambria" w:hAnsi="Cambria"/>
          <w:color w:val="1A1A1A"/>
          <w:sz w:val="22"/>
          <w:szCs w:val="22"/>
        </w:rPr>
        <w:t xml:space="preserve">Vendor must promptly raise, in writing, any dispute as to the accuracy of an EOD Ledger entry, and in any event within thirty (30) days of the entry being generated, failing which the entry is deemed accepted.</w:t>
      </w:r>
    </w:p>
    <w:p>
      <w:pPr>
        <w:keepNext/>
        <w:pBdr>
          <w:bottom w:val="single" w:color="8A6D1E" w:sz="10" w:space="6"/>
        </w:pBdr>
        <w:spacing w:after="240" w:before="480"/>
      </w:pPr>
      <w:r>
        <w:rPr>
          <w:rFonts w:ascii="Cambria" w:cs="Cambria" w:eastAsia="Cambria" w:hAnsi="Cambria"/>
          <w:b/>
          <w:bCs/>
          <w:color w:val="8A6D1E"/>
          <w:sz w:val="30"/>
          <w:szCs w:val="30"/>
        </w:rPr>
        <w:t xml:space="preserve">12.  </w:t>
      </w:r>
      <w:r>
        <w:rPr>
          <w:rFonts w:ascii="Cambria" w:cs="Cambria" w:eastAsia="Cambria" w:hAnsi="Cambria"/>
          <w:b/>
          <w:bCs/>
          <w:color w:val="1A1A1A"/>
          <w:sz w:val="30"/>
          <w:szCs w:val="30"/>
        </w:rPr>
        <w:t xml:space="preserve">TAXES</w:t>
      </w:r>
    </w:p>
    <w:p>
      <w:pPr>
        <w:spacing w:after="140" w:line="276"/>
        <w:ind w:left="360"/>
        <w:jc w:val="both"/>
      </w:pPr>
      <w:r>
        <w:rPr>
          <w:rFonts w:ascii="Cambria" w:cs="Cambria" w:eastAsia="Cambria" w:hAnsi="Cambria"/>
          <w:b/>
          <w:bCs/>
          <w:color w:val="1A1A1A"/>
          <w:sz w:val="22"/>
          <w:szCs w:val="22"/>
        </w:rPr>
        <w:t xml:space="preserve">12.1  </w:t>
      </w:r>
      <w:r>
        <w:rPr>
          <w:rFonts w:ascii="Cambria" w:cs="Cambria" w:eastAsia="Cambria" w:hAnsi="Cambria"/>
          <w:color w:val="1A1A1A"/>
          <w:sz w:val="22"/>
          <w:szCs w:val="22"/>
        </w:rPr>
        <w:t xml:space="preserve">Vendor is solely responsible for determining and applying the correct VAT treatment to each Listing and completed sale, including any special treatment applicable to investment-grade precious metals under UAE Cabinet Decision No. 25 of 2018 and any applicable reverse-charge mechanism, and for its own registration, filing, and payment obligations under UAE Federal Decree-Law No. 8 of 2017 on Value Added Tax and its executive regulations.</w:t>
      </w:r>
    </w:p>
    <w:p>
      <w:pPr>
        <w:spacing w:after="140" w:line="276"/>
        <w:ind w:left="360"/>
        <w:jc w:val="both"/>
      </w:pPr>
      <w:r>
        <w:rPr>
          <w:rFonts w:ascii="Cambria" w:cs="Cambria" w:eastAsia="Cambria" w:hAnsi="Cambria"/>
          <w:b/>
          <w:bCs/>
          <w:color w:val="1A1A1A"/>
          <w:sz w:val="22"/>
          <w:szCs w:val="22"/>
        </w:rPr>
        <w:t xml:space="preserve">12.2  </w:t>
      </w:r>
      <w:r>
        <w:rPr>
          <w:rFonts w:ascii="Cambria" w:cs="Cambria" w:eastAsia="Cambria" w:hAnsi="Cambria"/>
          <w:color w:val="1A1A1A"/>
          <w:sz w:val="22"/>
          <w:szCs w:val="22"/>
        </w:rPr>
        <w:t xml:space="preserve">Vendor must provide Cridora with a valid UAE Tax Registration Number where applicable and must promptly notify Cridora of any change to its VAT registration status.</w:t>
      </w:r>
    </w:p>
    <w:p>
      <w:pPr>
        <w:spacing w:after="140" w:line="276"/>
        <w:ind w:left="360"/>
        <w:jc w:val="both"/>
      </w:pPr>
      <w:r>
        <w:rPr>
          <w:rFonts w:ascii="Cambria" w:cs="Cambria" w:eastAsia="Cambria" w:hAnsi="Cambria"/>
          <w:b/>
          <w:bCs/>
          <w:color w:val="1A1A1A"/>
          <w:sz w:val="22"/>
          <w:szCs w:val="22"/>
        </w:rPr>
        <w:t xml:space="preserve">12.3  </w:t>
      </w:r>
      <w:r>
        <w:rPr>
          <w:rFonts w:ascii="Cambria" w:cs="Cambria" w:eastAsia="Cambria" w:hAnsi="Cambria"/>
          <w:color w:val="1A1A1A"/>
          <w:sz w:val="22"/>
          <w:szCs w:val="22"/>
        </w:rPr>
        <w:t xml:space="preserve">Cridora is not responsible for, and makes no representation as to, the correctness of Vendor's tax treatment of any transaction. Nothing in this Agreement or in the Platform's fee calculations constitutes tax advice.</w:t>
      </w:r>
    </w:p>
    <w:p>
      <w:pPr>
        <w:keepNext/>
        <w:pBdr>
          <w:bottom w:val="single" w:color="8A6D1E" w:sz="10" w:space="6"/>
        </w:pBdr>
        <w:spacing w:after="240" w:before="480"/>
      </w:pPr>
      <w:r>
        <w:rPr>
          <w:rFonts w:ascii="Cambria" w:cs="Cambria" w:eastAsia="Cambria" w:hAnsi="Cambria"/>
          <w:b/>
          <w:bCs/>
          <w:color w:val="8A6D1E"/>
          <w:sz w:val="30"/>
          <w:szCs w:val="30"/>
        </w:rPr>
        <w:t xml:space="preserve">13.  </w:t>
      </w:r>
      <w:r>
        <w:rPr>
          <w:rFonts w:ascii="Cambria" w:cs="Cambria" w:eastAsia="Cambria" w:hAnsi="Cambria"/>
          <w:b/>
          <w:bCs/>
          <w:color w:val="1A1A1A"/>
          <w:sz w:val="30"/>
          <w:szCs w:val="30"/>
        </w:rPr>
        <w:t xml:space="preserve">DATA PROTECTION AND CONFIDENTIALITY</w:t>
      </w:r>
    </w:p>
    <w:p>
      <w:pPr>
        <w:spacing w:after="140" w:line="276"/>
        <w:ind w:left="360"/>
        <w:jc w:val="both"/>
      </w:pPr>
      <w:r>
        <w:rPr>
          <w:rFonts w:ascii="Cambria" w:cs="Cambria" w:eastAsia="Cambria" w:hAnsi="Cambria"/>
          <w:b/>
          <w:bCs/>
          <w:color w:val="1A1A1A"/>
          <w:sz w:val="22"/>
          <w:szCs w:val="22"/>
        </w:rPr>
        <w:t xml:space="preserve">13.1  </w:t>
      </w:r>
      <w:r>
        <w:rPr>
          <w:rFonts w:ascii="Cambria" w:cs="Cambria" w:eastAsia="Cambria" w:hAnsi="Cambria"/>
          <w:color w:val="1A1A1A"/>
          <w:sz w:val="22"/>
          <w:szCs w:val="22"/>
        </w:rPr>
        <w:t xml:space="preserve">Vendor must handle any customer personal data made available to it through the Platform (for example, in connection with order fulfilment) solely for the purpose of fulfilling that order, and in accordance with UAE Federal Decree-Law No. 45 of 2021 on the Protection of Personal Data and any implementing regulations, and must not retain, use, or disclose such data for any other purpose, including direct marketing, without the customer's separate consent.</w:t>
      </w:r>
    </w:p>
    <w:p>
      <w:pPr>
        <w:spacing w:after="140" w:line="276"/>
        <w:ind w:left="360"/>
        <w:jc w:val="both"/>
      </w:pPr>
      <w:r>
        <w:rPr>
          <w:rFonts w:ascii="Cambria" w:cs="Cambria" w:eastAsia="Cambria" w:hAnsi="Cambria"/>
          <w:b/>
          <w:bCs/>
          <w:color w:val="1A1A1A"/>
          <w:sz w:val="22"/>
          <w:szCs w:val="22"/>
        </w:rPr>
        <w:t xml:space="preserve">13.2  </w:t>
      </w:r>
      <w:r>
        <w:rPr>
          <w:rFonts w:ascii="Cambria" w:cs="Cambria" w:eastAsia="Cambria" w:hAnsi="Cambria"/>
          <w:color w:val="1A1A1A"/>
          <w:sz w:val="22"/>
          <w:szCs w:val="22"/>
        </w:rPr>
        <w:t xml:space="preserve">Each Party must keep confidential all non-public business, technical, financial, and pricing information of the other Party disclosed in connection with this Agreement (“Confidential Information”), and must use it solely to perform its obligations under this Agreement. This obligation survives termination of this Agreement for a period of three (3) years, except for trade secrets and Cridora's pricing methodologies and platform technology, which remain confidential indefinitely.</w:t>
      </w:r>
    </w:p>
    <w:p>
      <w:pPr>
        <w:spacing w:after="140" w:line="276"/>
        <w:ind w:left="360"/>
        <w:jc w:val="both"/>
      </w:pPr>
      <w:r>
        <w:rPr>
          <w:rFonts w:ascii="Cambria" w:cs="Cambria" w:eastAsia="Cambria" w:hAnsi="Cambria"/>
          <w:b/>
          <w:bCs/>
          <w:color w:val="1A1A1A"/>
          <w:sz w:val="22"/>
          <w:szCs w:val="22"/>
        </w:rPr>
        <w:t xml:space="preserve">13.3  </w:t>
      </w:r>
      <w:r>
        <w:rPr>
          <w:rFonts w:ascii="Cambria" w:cs="Cambria" w:eastAsia="Cambria" w:hAnsi="Cambria"/>
          <w:color w:val="1A1A1A"/>
          <w:sz w:val="22"/>
          <w:szCs w:val="22"/>
        </w:rPr>
        <w:t xml:space="preserve">Confidential Information does not include information that is or becomes public through no fault of the receiving Party, was already lawfully known to the receiving Party, or is independently developed without reference to the disclosing Party's Confidential Information.</w:t>
      </w:r>
    </w:p>
    <w:p>
      <w:pPr>
        <w:keepNext/>
        <w:pBdr>
          <w:bottom w:val="single" w:color="8A6D1E" w:sz="10" w:space="6"/>
        </w:pBdr>
        <w:spacing w:after="240" w:before="480"/>
      </w:pPr>
      <w:r>
        <w:rPr>
          <w:rFonts w:ascii="Cambria" w:cs="Cambria" w:eastAsia="Cambria" w:hAnsi="Cambria"/>
          <w:b/>
          <w:bCs/>
          <w:color w:val="8A6D1E"/>
          <w:sz w:val="30"/>
          <w:szCs w:val="30"/>
        </w:rPr>
        <w:t xml:space="preserve">14.  </w:t>
      </w:r>
      <w:r>
        <w:rPr>
          <w:rFonts w:ascii="Cambria" w:cs="Cambria" w:eastAsia="Cambria" w:hAnsi="Cambria"/>
          <w:b/>
          <w:bCs/>
          <w:color w:val="1A1A1A"/>
          <w:sz w:val="30"/>
          <w:szCs w:val="30"/>
        </w:rPr>
        <w:t xml:space="preserve">INTELLECTUAL PROPERTY</w:t>
      </w:r>
    </w:p>
    <w:p>
      <w:pPr>
        <w:spacing w:after="140" w:line="276"/>
        <w:ind w:left="360"/>
        <w:jc w:val="both"/>
      </w:pPr>
      <w:r>
        <w:rPr>
          <w:rFonts w:ascii="Cambria" w:cs="Cambria" w:eastAsia="Cambria" w:hAnsi="Cambria"/>
          <w:b/>
          <w:bCs/>
          <w:color w:val="1A1A1A"/>
          <w:sz w:val="22"/>
          <w:szCs w:val="22"/>
        </w:rPr>
        <w:t xml:space="preserve">14.1  </w:t>
      </w:r>
      <w:r>
        <w:rPr>
          <w:rFonts w:ascii="Cambria" w:cs="Cambria" w:eastAsia="Cambria" w:hAnsi="Cambria"/>
          <w:color w:val="1A1A1A"/>
          <w:sz w:val="22"/>
          <w:szCs w:val="22"/>
        </w:rPr>
        <w:t xml:space="preserve">Cridora and its licensors retain all right, title, and interest in and to the Platform, the Cridora name, logo, and brand assets, and all underlying software, technology, and pricing methodologies. Nothing in this Agreement transfers any such right to Vendor.</w:t>
      </w:r>
    </w:p>
    <w:p>
      <w:pPr>
        <w:spacing w:after="140" w:line="276"/>
        <w:ind w:left="360"/>
        <w:jc w:val="both"/>
      </w:pPr>
      <w:r>
        <w:rPr>
          <w:rFonts w:ascii="Cambria" w:cs="Cambria" w:eastAsia="Cambria" w:hAnsi="Cambria"/>
          <w:b/>
          <w:bCs/>
          <w:color w:val="1A1A1A"/>
          <w:sz w:val="22"/>
          <w:szCs w:val="22"/>
        </w:rPr>
        <w:t xml:space="preserve">14.2  </w:t>
      </w:r>
      <w:r>
        <w:rPr>
          <w:rFonts w:ascii="Cambria" w:cs="Cambria" w:eastAsia="Cambria" w:hAnsi="Cambria"/>
          <w:color w:val="1A1A1A"/>
          <w:sz w:val="22"/>
          <w:szCs w:val="22"/>
        </w:rPr>
        <w:t xml:space="preserve">Cridora grants Vendor a limited, non-exclusive, non-transferable, revocable licence to use the Cridora name and marks solely to identify Vendor's presence on the Platform (for example, “Available on Cridora”) in Vendor's own marketing, subject to any brand guidelines Cridora provides. This licence terminates automatically on termination of this Agreement.</w:t>
      </w:r>
    </w:p>
    <w:p>
      <w:pPr>
        <w:keepNext/>
        <w:pBdr>
          <w:bottom w:val="single" w:color="8A6D1E" w:sz="10" w:space="6"/>
        </w:pBdr>
        <w:spacing w:after="240" w:before="480"/>
      </w:pPr>
      <w:r>
        <w:rPr>
          <w:rFonts w:ascii="Cambria" w:cs="Cambria" w:eastAsia="Cambria" w:hAnsi="Cambria"/>
          <w:b/>
          <w:bCs/>
          <w:color w:val="8A6D1E"/>
          <w:sz w:val="30"/>
          <w:szCs w:val="30"/>
        </w:rPr>
        <w:t xml:space="preserve">15.  </w:t>
      </w:r>
      <w:r>
        <w:rPr>
          <w:rFonts w:ascii="Cambria" w:cs="Cambria" w:eastAsia="Cambria" w:hAnsi="Cambria"/>
          <w:b/>
          <w:bCs/>
          <w:color w:val="1A1A1A"/>
          <w:sz w:val="30"/>
          <w:szCs w:val="30"/>
        </w:rPr>
        <w:t xml:space="preserve">TERM, SUSPENSION, AND TERMINATION</w:t>
      </w:r>
    </w:p>
    <w:p>
      <w:pPr>
        <w:spacing w:after="140" w:line="276"/>
        <w:ind w:left="360"/>
        <w:jc w:val="both"/>
      </w:pPr>
      <w:r>
        <w:rPr>
          <w:rFonts w:ascii="Cambria" w:cs="Cambria" w:eastAsia="Cambria" w:hAnsi="Cambria"/>
          <w:b/>
          <w:bCs/>
          <w:color w:val="1A1A1A"/>
          <w:sz w:val="22"/>
          <w:szCs w:val="22"/>
        </w:rPr>
        <w:t xml:space="preserve">15.1  </w:t>
      </w:r>
      <w:r>
        <w:rPr>
          <w:rFonts w:ascii="Cambria" w:cs="Cambria" w:eastAsia="Cambria" w:hAnsi="Cambria"/>
          <w:color w:val="1A1A1A"/>
          <w:sz w:val="22"/>
          <w:szCs w:val="22"/>
        </w:rPr>
        <w:t xml:space="preserve">This Agreement commences on the Effective Date and continues for an initial term of twelve (12) months, renewing automatically for successive twelve (12)-month terms unless either Party gives the other at least thirty (30) days' written notice of non-renewal before the end of the then-current term.</w:t>
      </w:r>
    </w:p>
    <w:p>
      <w:pPr>
        <w:spacing w:after="140" w:line="276"/>
        <w:ind w:left="360"/>
        <w:jc w:val="both"/>
      </w:pPr>
      <w:r>
        <w:rPr>
          <w:rFonts w:ascii="Cambria" w:cs="Cambria" w:eastAsia="Cambria" w:hAnsi="Cambria"/>
          <w:b/>
          <w:bCs/>
          <w:color w:val="1A1A1A"/>
          <w:sz w:val="22"/>
          <w:szCs w:val="22"/>
        </w:rPr>
        <w:t xml:space="preserve">15.2  </w:t>
      </w:r>
      <w:r>
        <w:rPr>
          <w:rFonts w:ascii="Cambria" w:cs="Cambria" w:eastAsia="Cambria" w:hAnsi="Cambria"/>
          <w:color w:val="1A1A1A"/>
          <w:sz w:val="22"/>
          <w:szCs w:val="22"/>
        </w:rPr>
        <w:t xml:space="preserve">Either Party may terminate this Agreement for convenience on sixty (60) days' prior written notice to the other Party.</w:t>
      </w:r>
    </w:p>
    <w:p>
      <w:pPr>
        <w:spacing w:after="140" w:line="276"/>
        <w:ind w:left="360"/>
        <w:jc w:val="both"/>
      </w:pPr>
      <w:r>
        <w:rPr>
          <w:rFonts w:ascii="Cambria" w:cs="Cambria" w:eastAsia="Cambria" w:hAnsi="Cambria"/>
          <w:b/>
          <w:bCs/>
          <w:color w:val="1A1A1A"/>
          <w:sz w:val="22"/>
          <w:szCs w:val="22"/>
        </w:rPr>
        <w:t xml:space="preserve">15.3  </w:t>
      </w:r>
      <w:r>
        <w:rPr>
          <w:rFonts w:ascii="Cambria" w:cs="Cambria" w:eastAsia="Cambria" w:hAnsi="Cambria"/>
          <w:color w:val="1A1A1A"/>
          <w:sz w:val="22"/>
          <w:szCs w:val="22"/>
        </w:rPr>
        <w:t xml:space="preserve">Cridora may suspend Vendor's access to the Platform immediately, without prior notice, by disabling Vendor's trading access, where Cridora reasonably believes any of the following has occurred:</w:t>
      </w:r>
    </w:p>
    <w:p>
      <w:pPr>
        <w:pStyle w:val="ListParagraph"/>
        <w:numPr>
          <w:ilvl w:val="0"/>
          <w:numId w:val="2"/>
        </w:numPr>
        <w:spacing w:after="90" w:line="264"/>
        <w:jc w:val="both"/>
      </w:pPr>
      <w:r>
        <w:rPr>
          <w:rFonts w:ascii="Cambria" w:cs="Cambria" w:eastAsia="Cambria" w:hAnsi="Cambria"/>
          <w:color w:val="1A1A1A"/>
          <w:sz w:val="22"/>
          <w:szCs w:val="22"/>
        </w:rPr>
        <w:t xml:space="preserve">Vendor's KYB verification is rejected, lapses, or is not renewed on request under clause 4;</w:t>
      </w:r>
    </w:p>
    <w:p>
      <w:pPr>
        <w:pStyle w:val="ListParagraph"/>
        <w:numPr>
          <w:ilvl w:val="0"/>
          <w:numId w:val="2"/>
        </w:numPr>
        <w:spacing w:after="90" w:line="264"/>
        <w:jc w:val="both"/>
      </w:pPr>
      <w:r>
        <w:rPr>
          <w:rFonts w:ascii="Cambria" w:cs="Cambria" w:eastAsia="Cambria" w:hAnsi="Cambria"/>
          <w:color w:val="1A1A1A"/>
          <w:sz w:val="22"/>
          <w:szCs w:val="22"/>
        </w:rPr>
        <w:t xml:space="preserve">Vendor has supplied counterfeit, misdescribed, or materially non-conforming metal, or has otherwise breached the warranties in clause 5;</w:t>
      </w:r>
    </w:p>
    <w:p>
      <w:pPr>
        <w:pStyle w:val="ListParagraph"/>
        <w:numPr>
          <w:ilvl w:val="0"/>
          <w:numId w:val="2"/>
        </w:numPr>
        <w:spacing w:after="90" w:line="264"/>
        <w:jc w:val="both"/>
      </w:pPr>
      <w:r>
        <w:rPr>
          <w:rFonts w:ascii="Cambria" w:cs="Cambria" w:eastAsia="Cambria" w:hAnsi="Cambria"/>
          <w:color w:val="1A1A1A"/>
          <w:sz w:val="22"/>
          <w:szCs w:val="22"/>
        </w:rPr>
        <w:t xml:space="preserve">Vendor has repeatedly failed to accept, fulfil, or honour Buy Orders or Sell-Back Orders as required by clauses 7 and 9;</w:t>
      </w:r>
    </w:p>
    <w:p>
      <w:pPr>
        <w:pStyle w:val="ListParagraph"/>
        <w:numPr>
          <w:ilvl w:val="0"/>
          <w:numId w:val="2"/>
        </w:numPr>
        <w:spacing w:after="90" w:line="264"/>
        <w:jc w:val="both"/>
      </w:pPr>
      <w:r>
        <w:rPr>
          <w:rFonts w:ascii="Cambria" w:cs="Cambria" w:eastAsia="Cambria" w:hAnsi="Cambria"/>
          <w:color w:val="1A1A1A"/>
          <w:sz w:val="22"/>
          <w:szCs w:val="22"/>
        </w:rPr>
        <w:t xml:space="preserve">Vendor is, or Cridora reasonably suspects Vendor to be, involved in fraud, money laundering, sanctions violations, or other conduct giving rise to AML/CFT concern;</w:t>
      </w:r>
    </w:p>
    <w:p>
      <w:pPr>
        <w:pStyle w:val="ListParagraph"/>
        <w:numPr>
          <w:ilvl w:val="0"/>
          <w:numId w:val="2"/>
        </w:numPr>
        <w:spacing w:after="90" w:line="264"/>
        <w:jc w:val="both"/>
      </w:pPr>
      <w:r>
        <w:rPr>
          <w:rFonts w:ascii="Cambria" w:cs="Cambria" w:eastAsia="Cambria" w:hAnsi="Cambria"/>
          <w:color w:val="1A1A1A"/>
          <w:sz w:val="22"/>
          <w:szCs w:val="22"/>
        </w:rPr>
        <w:t xml:space="preserve">Vendor becomes insolvent, enters liquidation or administration, or has a receiver appointed over its assets; or</w:t>
      </w:r>
    </w:p>
    <w:p>
      <w:pPr>
        <w:pStyle w:val="ListParagraph"/>
        <w:numPr>
          <w:ilvl w:val="0"/>
          <w:numId w:val="2"/>
        </w:numPr>
        <w:spacing w:after="90" w:line="264"/>
        <w:jc w:val="both"/>
      </w:pPr>
      <w:r>
        <w:rPr>
          <w:rFonts w:ascii="Cambria" w:cs="Cambria" w:eastAsia="Cambria" w:hAnsi="Cambria"/>
          <w:color w:val="1A1A1A"/>
          <w:sz w:val="22"/>
          <w:szCs w:val="22"/>
        </w:rPr>
        <w:t xml:space="preserve">Vendor is otherwise in material breach of this Agreement and, where the breach is capable of remedy, has failed to remedy it within fourteen (14) days of written notice.</w:t>
      </w:r>
    </w:p>
    <w:p>
      <w:pPr>
        <w:spacing w:after="140" w:line="276"/>
        <w:ind w:left="360"/>
        <w:jc w:val="both"/>
      </w:pPr>
      <w:r>
        <w:rPr>
          <w:rFonts w:ascii="Cambria" w:cs="Cambria" w:eastAsia="Cambria" w:hAnsi="Cambria"/>
          <w:b/>
          <w:bCs/>
          <w:color w:val="1A1A1A"/>
          <w:sz w:val="22"/>
          <w:szCs w:val="22"/>
        </w:rPr>
        <w:t xml:space="preserve">15.4  </w:t>
      </w:r>
      <w:r>
        <w:rPr>
          <w:rFonts w:ascii="Cambria" w:cs="Cambria" w:eastAsia="Cambria" w:hAnsi="Cambria"/>
          <w:color w:val="1A1A1A"/>
          <w:sz w:val="22"/>
          <w:szCs w:val="22"/>
        </w:rPr>
        <w:t xml:space="preserve">A suspension under clause 15.3 is currently effected operationally by disabling Vendor's trading access on the Platform at Cridora's sole discretion pending investigation, and does not itself terminate this Agreement. Cridora will notify Vendor of the reason for suspension and, where the underlying ground is remedied to Cridora's reasonable satisfaction, may reinstate access. Cridora may convert a suspension into termination under clause 15.3 grounds by written notice at any time.</w:t>
      </w:r>
    </w:p>
    <w:p>
      <w:pPr>
        <w:keepNext/>
        <w:pBdr>
          <w:bottom w:val="single" w:color="8A6D1E" w:sz="10" w:space="6"/>
        </w:pBdr>
        <w:spacing w:after="240" w:before="480"/>
      </w:pPr>
      <w:r>
        <w:rPr>
          <w:rFonts w:ascii="Cambria" w:cs="Cambria" w:eastAsia="Cambria" w:hAnsi="Cambria"/>
          <w:b/>
          <w:bCs/>
          <w:color w:val="8A6D1E"/>
          <w:sz w:val="30"/>
          <w:szCs w:val="30"/>
        </w:rPr>
        <w:t xml:space="preserve">16.  </w:t>
      </w:r>
      <w:r>
        <w:rPr>
          <w:rFonts w:ascii="Cambria" w:cs="Cambria" w:eastAsia="Cambria" w:hAnsi="Cambria"/>
          <w:b/>
          <w:bCs/>
          <w:color w:val="1A1A1A"/>
          <w:sz w:val="30"/>
          <w:szCs w:val="30"/>
        </w:rPr>
        <w:t xml:space="preserve">EFFECT OF TERMINATION</w:t>
      </w:r>
    </w:p>
    <w:p>
      <w:pPr>
        <w:spacing w:after="140" w:line="276"/>
        <w:ind w:left="360"/>
        <w:jc w:val="both"/>
      </w:pPr>
      <w:r>
        <w:rPr>
          <w:rFonts w:ascii="Cambria" w:cs="Cambria" w:eastAsia="Cambria" w:hAnsi="Cambria"/>
          <w:b/>
          <w:bCs/>
          <w:color w:val="1A1A1A"/>
          <w:sz w:val="22"/>
          <w:szCs w:val="22"/>
        </w:rPr>
        <w:t xml:space="preserve">16.1  </w:t>
      </w:r>
      <w:r>
        <w:rPr>
          <w:rFonts w:ascii="Cambria" w:cs="Cambria" w:eastAsia="Cambria" w:hAnsi="Cambria"/>
          <w:color w:val="1A1A1A"/>
          <w:sz w:val="22"/>
          <w:szCs w:val="22"/>
        </w:rPr>
        <w:t xml:space="preserve">On termination or expiry of this Agreement for any reason, Vendor's Listings will be removed from the Platform and Vendor may not accept new Buy Orders or Sell-Back Orders, but must complete fulfilment of any orders already accepted prior to the effective date of termination, unless the Parties agree otherwise.</w:t>
      </w:r>
    </w:p>
    <w:p>
      <w:pPr>
        <w:spacing w:after="140" w:line="276"/>
        <w:ind w:left="360"/>
        <w:jc w:val="both"/>
      </w:pPr>
      <w:r>
        <w:rPr>
          <w:rFonts w:ascii="Cambria" w:cs="Cambria" w:eastAsia="Cambria" w:hAnsi="Cambria"/>
          <w:b/>
          <w:bCs/>
          <w:color w:val="1A1A1A"/>
          <w:sz w:val="22"/>
          <w:szCs w:val="22"/>
        </w:rPr>
        <w:t xml:space="preserve">16.2  </w:t>
      </w:r>
      <w:r>
        <w:rPr>
          <w:rFonts w:ascii="Cambria" w:cs="Cambria" w:eastAsia="Cambria" w:hAnsi="Cambria"/>
          <w:color w:val="1A1A1A"/>
          <w:sz w:val="22"/>
          <w:szCs w:val="22"/>
        </w:rPr>
        <w:t xml:space="preserve">Cridora will finalise any outstanding EOD Ledger entries and process any final Settlement payout (or seek any outstanding repayment) due as of the effective date of termination, within a commercially reasonable time and subject to completion of any pending orders and any applicable holding period under clause 10.3.</w:t>
      </w:r>
    </w:p>
    <w:p>
      <w:pPr>
        <w:spacing w:after="140" w:line="276"/>
        <w:ind w:left="360"/>
        <w:jc w:val="both"/>
      </w:pPr>
      <w:r>
        <w:rPr>
          <w:rFonts w:ascii="Cambria" w:cs="Cambria" w:eastAsia="Cambria" w:hAnsi="Cambria"/>
          <w:b/>
          <w:bCs/>
          <w:color w:val="1A1A1A"/>
          <w:sz w:val="22"/>
          <w:szCs w:val="22"/>
        </w:rPr>
        <w:t xml:space="preserve">16.3  </w:t>
      </w:r>
      <w:r>
        <w:rPr>
          <w:rFonts w:ascii="Cambria" w:cs="Cambria" w:eastAsia="Cambria" w:hAnsi="Cambria"/>
          <w:color w:val="1A1A1A"/>
          <w:sz w:val="22"/>
          <w:szCs w:val="22"/>
        </w:rPr>
        <w:t xml:space="preserve">Clauses 8 (Non-Custodial Model and Risk of Loss), 12 (Taxes), 13 (Data Protection and Confidentiality), 14.1, 16, 17 (Liability and Indemnification), 20 (Dispute Resolution and Governing Law), and 21 (General Provisions), together with any accrued rights or liabilities, survive termination or expiry of this Agreement.</w:t>
      </w:r>
    </w:p>
    <w:p>
      <w:pPr>
        <w:keepNext/>
        <w:pBdr>
          <w:bottom w:val="single" w:color="8A6D1E" w:sz="10" w:space="6"/>
        </w:pBdr>
        <w:spacing w:after="240" w:before="480"/>
      </w:pPr>
      <w:r>
        <w:rPr>
          <w:rFonts w:ascii="Cambria" w:cs="Cambria" w:eastAsia="Cambria" w:hAnsi="Cambria"/>
          <w:b/>
          <w:bCs/>
          <w:color w:val="8A6D1E"/>
          <w:sz w:val="30"/>
          <w:szCs w:val="30"/>
        </w:rPr>
        <w:t xml:space="preserve">17.  </w:t>
      </w:r>
      <w:r>
        <w:rPr>
          <w:rFonts w:ascii="Cambria" w:cs="Cambria" w:eastAsia="Cambria" w:hAnsi="Cambria"/>
          <w:b/>
          <w:bCs/>
          <w:color w:val="1A1A1A"/>
          <w:sz w:val="30"/>
          <w:szCs w:val="30"/>
        </w:rPr>
        <w:t xml:space="preserve">LIABILITY AND INDEMNIFICATION</w:t>
      </w:r>
    </w:p>
    <w:p>
      <w:pPr>
        <w:spacing w:after="140" w:line="276"/>
        <w:ind w:left="360"/>
        <w:jc w:val="both"/>
      </w:pPr>
      <w:r>
        <w:rPr>
          <w:rFonts w:ascii="Cambria" w:cs="Cambria" w:eastAsia="Cambria" w:hAnsi="Cambria"/>
          <w:b/>
          <w:bCs/>
          <w:color w:val="1A1A1A"/>
          <w:sz w:val="22"/>
          <w:szCs w:val="22"/>
        </w:rPr>
        <w:t xml:space="preserve">17.1  </w:t>
      </w:r>
      <w:r>
        <w:rPr>
          <w:rFonts w:ascii="Cambria" w:cs="Cambria" w:eastAsia="Cambria" w:hAnsi="Cambria"/>
          <w:color w:val="1A1A1A"/>
          <w:sz w:val="22"/>
          <w:szCs w:val="22"/>
        </w:rPr>
        <w:t xml:space="preserve">Vendor must indemnify and hold Cridora harmless from and against any claim, loss, liability, fine, or expense (including reasonable legal fees) arising out of or in connection with: (a) any metal supplied by Vendor being counterfeit, stolen, or materially non-conforming to its Listing; (b) Vendor's failure to fulfil or honour an accepted Buy Order or Sell-Back Order; (c) Vendor's breach of any representation, warranty, or obligation under this Agreement; or (d) Vendor's breach of Applicable Law.</w:t>
      </w:r>
    </w:p>
    <w:p>
      <w:pPr>
        <w:spacing w:after="140" w:line="276"/>
        <w:ind w:left="360"/>
        <w:jc w:val="both"/>
      </w:pPr>
      <w:r>
        <w:rPr>
          <w:rFonts w:ascii="Cambria" w:cs="Cambria" w:eastAsia="Cambria" w:hAnsi="Cambria"/>
          <w:b/>
          <w:bCs/>
          <w:color w:val="1A1A1A"/>
          <w:sz w:val="22"/>
          <w:szCs w:val="22"/>
        </w:rPr>
        <w:t xml:space="preserve">17.2  </w:t>
      </w:r>
      <w:r>
        <w:rPr>
          <w:rFonts w:ascii="Cambria" w:cs="Cambria" w:eastAsia="Cambria" w:hAnsi="Cambria"/>
          <w:color w:val="1A1A1A"/>
          <w:sz w:val="22"/>
          <w:szCs w:val="22"/>
        </w:rPr>
        <w:t xml:space="preserve">Given that Cridora does not take custody of metal and acts solely as a verification, matching, and settlement facilitator, Cridora's total aggregate liability to Vendor under or in connection with this Agreement, however arising, is limited to the total fees actually retained by Cridora from Vendor's transactions in the three (3) months immediately preceding the event giving rise to the claim.</w:t>
      </w:r>
    </w:p>
    <w:p>
      <w:pPr>
        <w:spacing w:after="140" w:line="276"/>
        <w:ind w:left="360"/>
        <w:jc w:val="both"/>
      </w:pPr>
      <w:r>
        <w:rPr>
          <w:rFonts w:ascii="Cambria" w:cs="Cambria" w:eastAsia="Cambria" w:hAnsi="Cambria"/>
          <w:b/>
          <w:bCs/>
          <w:color w:val="1A1A1A"/>
          <w:sz w:val="22"/>
          <w:szCs w:val="22"/>
        </w:rPr>
        <w:t xml:space="preserve">17.3  </w:t>
      </w:r>
      <w:r>
        <w:rPr>
          <w:rFonts w:ascii="Cambria" w:cs="Cambria" w:eastAsia="Cambria" w:hAnsi="Cambria"/>
          <w:color w:val="1A1A1A"/>
          <w:sz w:val="22"/>
          <w:szCs w:val="22"/>
        </w:rPr>
        <w:t xml:space="preserve">Neither Party excludes or limits liability for death or personal injury caused by its negligence, for fraud or fraudulent misrepresentation, or for any liability that cannot be excluded or limited under Applicable Law. The limitation in clause 17.2 does not apply to Vendor's indemnification obligations under clause 17.1 or to either Party's breach of confidentiality under clause 13.</w:t>
      </w:r>
    </w:p>
    <w:p>
      <w:pPr>
        <w:spacing w:after="140" w:line="276"/>
        <w:ind w:left="360"/>
        <w:jc w:val="both"/>
      </w:pPr>
      <w:r>
        <w:rPr>
          <w:rFonts w:ascii="Cambria" w:cs="Cambria" w:eastAsia="Cambria" w:hAnsi="Cambria"/>
          <w:b/>
          <w:bCs/>
          <w:color w:val="1A1A1A"/>
          <w:sz w:val="22"/>
          <w:szCs w:val="22"/>
        </w:rPr>
        <w:t xml:space="preserve">17.4  </w:t>
      </w:r>
      <w:r>
        <w:rPr>
          <w:rFonts w:ascii="Cambria" w:cs="Cambria" w:eastAsia="Cambria" w:hAnsi="Cambria"/>
          <w:color w:val="1A1A1A"/>
          <w:sz w:val="22"/>
          <w:szCs w:val="22"/>
        </w:rPr>
        <w:t xml:space="preserve">Neither Party is liable to the other for any indirect, consequential, or special loss, including loss of profit or loss of goodwill, except in the case of fraud, gross negligence, or wilful misconduct.</w:t>
      </w:r>
    </w:p>
    <w:p>
      <w:pPr>
        <w:keepNext/>
        <w:pBdr>
          <w:bottom w:val="single" w:color="8A6D1E" w:sz="10" w:space="6"/>
        </w:pBdr>
        <w:spacing w:after="240" w:before="480"/>
      </w:pPr>
      <w:r>
        <w:rPr>
          <w:rFonts w:ascii="Cambria" w:cs="Cambria" w:eastAsia="Cambria" w:hAnsi="Cambria"/>
          <w:b/>
          <w:bCs/>
          <w:color w:val="8A6D1E"/>
          <w:sz w:val="30"/>
          <w:szCs w:val="30"/>
        </w:rPr>
        <w:t xml:space="preserve">18.  </w:t>
      </w:r>
      <w:r>
        <w:rPr>
          <w:rFonts w:ascii="Cambria" w:cs="Cambria" w:eastAsia="Cambria" w:hAnsi="Cambria"/>
          <w:b/>
          <w:bCs/>
          <w:color w:val="1A1A1A"/>
          <w:sz w:val="30"/>
          <w:szCs w:val="30"/>
        </w:rPr>
        <w:t xml:space="preserve">INSURANCE</w:t>
      </w:r>
    </w:p>
    <w:p>
      <w:pPr>
        <w:spacing w:after="140" w:line="276"/>
        <w:ind w:left="360"/>
        <w:jc w:val="both"/>
      </w:pPr>
      <w:r>
        <w:rPr>
          <w:rFonts w:ascii="Cambria" w:cs="Cambria" w:eastAsia="Cambria" w:hAnsi="Cambria"/>
          <w:b/>
          <w:bCs/>
          <w:color w:val="1A1A1A"/>
          <w:sz w:val="22"/>
          <w:szCs w:val="22"/>
        </w:rPr>
        <w:t xml:space="preserve">18.1  </w:t>
      </w:r>
      <w:r>
        <w:rPr>
          <w:rFonts w:ascii="Cambria" w:cs="Cambria" w:eastAsia="Cambria" w:hAnsi="Cambria"/>
          <w:color w:val="1A1A1A"/>
          <w:sz w:val="22"/>
          <w:szCs w:val="22"/>
        </w:rPr>
        <w:t xml:space="preserve">Because Vendor retains custody and risk of loss of its metal inventory at all times (clause 8), Vendor must maintain, throughout the term of this Agreement, adequate insurance covering its inventory, business premises, transport of metal, and general commercial liability, in amounts consistent with prudent practice for a bullion dealer of its size, and must provide evidence of such cover to Cridora on reasonable request.</w:t>
      </w:r>
    </w:p>
    <w:p>
      <w:pPr>
        <w:keepNext/>
        <w:pBdr>
          <w:bottom w:val="single" w:color="8A6D1E" w:sz="10" w:space="6"/>
        </w:pBdr>
        <w:spacing w:after="240" w:before="480"/>
      </w:pPr>
      <w:r>
        <w:rPr>
          <w:rFonts w:ascii="Cambria" w:cs="Cambria" w:eastAsia="Cambria" w:hAnsi="Cambria"/>
          <w:b/>
          <w:bCs/>
          <w:color w:val="8A6D1E"/>
          <w:sz w:val="30"/>
          <w:szCs w:val="30"/>
        </w:rPr>
        <w:t xml:space="preserve">19.  </w:t>
      </w:r>
      <w:r>
        <w:rPr>
          <w:rFonts w:ascii="Cambria" w:cs="Cambria" w:eastAsia="Cambria" w:hAnsi="Cambria"/>
          <w:b/>
          <w:bCs/>
          <w:color w:val="1A1A1A"/>
          <w:sz w:val="30"/>
          <w:szCs w:val="30"/>
        </w:rPr>
        <w:t xml:space="preserve">FORCE MAJEURE</w:t>
      </w:r>
    </w:p>
    <w:p>
      <w:pPr>
        <w:spacing w:after="140" w:line="276"/>
        <w:ind w:left="360"/>
        <w:jc w:val="both"/>
      </w:pPr>
      <w:r>
        <w:rPr>
          <w:rFonts w:ascii="Cambria" w:cs="Cambria" w:eastAsia="Cambria" w:hAnsi="Cambria"/>
          <w:b/>
          <w:bCs/>
          <w:color w:val="1A1A1A"/>
          <w:sz w:val="22"/>
          <w:szCs w:val="22"/>
        </w:rPr>
        <w:t xml:space="preserve">19.1  </w:t>
      </w:r>
      <w:r>
        <w:rPr>
          <w:rFonts w:ascii="Cambria" w:cs="Cambria" w:eastAsia="Cambria" w:hAnsi="Cambria"/>
          <w:color w:val="1A1A1A"/>
          <w:sz w:val="22"/>
          <w:szCs w:val="22"/>
        </w:rPr>
        <w:t xml:space="preserve">Neither Party is liable for any delay or failure to perform its obligations (other than payment obligations) under this Agreement to the extent caused by circumstances beyond its reasonable control, including natural disaster, war, civil unrest, act of government, pandemic, or failure of a third-party payment or telecommunications system, provided the affected Party notifies the other promptly and uses reasonable efforts to mitigate the effect.</w:t>
      </w:r>
    </w:p>
    <w:p>
      <w:pPr>
        <w:keepNext/>
        <w:pBdr>
          <w:bottom w:val="single" w:color="8A6D1E" w:sz="10" w:space="6"/>
        </w:pBdr>
        <w:spacing w:after="240" w:before="480"/>
      </w:pPr>
      <w:r>
        <w:rPr>
          <w:rFonts w:ascii="Cambria" w:cs="Cambria" w:eastAsia="Cambria" w:hAnsi="Cambria"/>
          <w:b/>
          <w:bCs/>
          <w:color w:val="8A6D1E"/>
          <w:sz w:val="30"/>
          <w:szCs w:val="30"/>
        </w:rPr>
        <w:t xml:space="preserve">20.  </w:t>
      </w:r>
      <w:r>
        <w:rPr>
          <w:rFonts w:ascii="Cambria" w:cs="Cambria" w:eastAsia="Cambria" w:hAnsi="Cambria"/>
          <w:b/>
          <w:bCs/>
          <w:color w:val="1A1A1A"/>
          <w:sz w:val="30"/>
          <w:szCs w:val="30"/>
        </w:rPr>
        <w:t xml:space="preserve">DISPUTE RESOLUTION AND GOVERNING LAW</w:t>
      </w:r>
    </w:p>
    <w:p>
      <w:pPr>
        <w:spacing w:after="140" w:line="276"/>
        <w:ind w:left="360"/>
        <w:jc w:val="both"/>
      </w:pPr>
      <w:r>
        <w:rPr>
          <w:rFonts w:ascii="Cambria" w:cs="Cambria" w:eastAsia="Cambria" w:hAnsi="Cambria"/>
          <w:b/>
          <w:bCs/>
          <w:color w:val="1A1A1A"/>
          <w:sz w:val="22"/>
          <w:szCs w:val="22"/>
        </w:rPr>
        <w:t xml:space="preserve">20.1  </w:t>
      </w:r>
      <w:r>
        <w:rPr>
          <w:rFonts w:ascii="Cambria" w:cs="Cambria" w:eastAsia="Cambria" w:hAnsi="Cambria"/>
          <w:color w:val="1A1A1A"/>
          <w:sz w:val="22"/>
          <w:szCs w:val="22"/>
        </w:rPr>
        <w:t xml:space="preserve">This Agreement is governed by, and must be construed in accordance with, the federal laws of the United Arab Emirates and the laws of the Emirate of Dubai as applied therein.</w:t>
      </w:r>
    </w:p>
    <w:p>
      <w:pPr>
        <w:spacing w:after="140" w:line="276"/>
        <w:ind w:left="360"/>
        <w:jc w:val="both"/>
      </w:pPr>
      <w:r>
        <w:rPr>
          <w:rFonts w:ascii="Cambria" w:cs="Cambria" w:eastAsia="Cambria" w:hAnsi="Cambria"/>
          <w:b/>
          <w:bCs/>
          <w:color w:val="1A1A1A"/>
          <w:sz w:val="22"/>
          <w:szCs w:val="22"/>
        </w:rPr>
        <w:t xml:space="preserve">20.2  </w:t>
      </w:r>
      <w:r>
        <w:rPr>
          <w:rFonts w:ascii="Cambria" w:cs="Cambria" w:eastAsia="Cambria" w:hAnsi="Cambria"/>
          <w:color w:val="1A1A1A"/>
          <w:sz w:val="22"/>
          <w:szCs w:val="22"/>
        </w:rPr>
        <w:t xml:space="preserve">The Parties will first attempt in good faith to resolve any dispute arising out of or in connection with this Agreement through negotiation between senior representatives within thirty (30) days of either Party giving written notice of the dispute.</w:t>
      </w:r>
    </w:p>
    <w:p>
      <w:pPr>
        <w:spacing w:after="140" w:line="276"/>
        <w:ind w:left="360"/>
        <w:jc w:val="both"/>
      </w:pPr>
      <w:r>
        <w:rPr>
          <w:rFonts w:ascii="Cambria" w:cs="Cambria" w:eastAsia="Cambria" w:hAnsi="Cambria"/>
          <w:b/>
          <w:bCs/>
          <w:color w:val="1A1A1A"/>
          <w:sz w:val="22"/>
          <w:szCs w:val="22"/>
        </w:rPr>
        <w:t xml:space="preserve">20.3  </w:t>
      </w:r>
      <w:r>
        <w:rPr>
          <w:rFonts w:ascii="Cambria" w:cs="Cambria" w:eastAsia="Cambria" w:hAnsi="Cambria"/>
          <w:color w:val="1A1A1A"/>
          <w:sz w:val="22"/>
          <w:szCs w:val="22"/>
        </w:rPr>
        <w:t xml:space="preserve">Any dispute not resolved under clause 20.2 must be referred to and finally resolved by arbitration administered by the Dubai International Arbitration Centre (DIAC) under the DIAC Arbitration Rules then in force, by a sole arbitrator, seated in Dubai, United Arab Emirates, conducted in the English language. The arbitral award is final and binding on the Parties.</w:t>
      </w:r>
    </w:p>
    <w:p>
      <w:pPr>
        <w:spacing w:after="140" w:line="276"/>
        <w:ind w:left="360"/>
        <w:jc w:val="both"/>
      </w:pPr>
      <w:r>
        <w:rPr>
          <w:rFonts w:ascii="Cambria" w:cs="Cambria" w:eastAsia="Cambria" w:hAnsi="Cambria"/>
          <w:b/>
          <w:bCs/>
          <w:color w:val="1A1A1A"/>
          <w:sz w:val="22"/>
          <w:szCs w:val="22"/>
        </w:rPr>
        <w:t xml:space="preserve">20.4  </w:t>
      </w:r>
      <w:r>
        <w:rPr>
          <w:rFonts w:ascii="Cambria" w:cs="Cambria" w:eastAsia="Cambria" w:hAnsi="Cambria"/>
          <w:color w:val="1A1A1A"/>
          <w:sz w:val="22"/>
          <w:szCs w:val="22"/>
        </w:rPr>
        <w:t xml:space="preserve">Nothing in this clause 20 prevents either Party from seeking urgent interim or injunctive relief from a competent court in the United Arab Emirates.</w:t>
      </w:r>
    </w:p>
    <w:p>
      <w:pPr>
        <w:keepNext/>
        <w:pBdr>
          <w:bottom w:val="single" w:color="8A6D1E" w:sz="10" w:space="6"/>
        </w:pBdr>
        <w:spacing w:after="240" w:before="480"/>
      </w:pPr>
      <w:r>
        <w:rPr>
          <w:rFonts w:ascii="Cambria" w:cs="Cambria" w:eastAsia="Cambria" w:hAnsi="Cambria"/>
          <w:b/>
          <w:bCs/>
          <w:color w:val="8A6D1E"/>
          <w:sz w:val="30"/>
          <w:szCs w:val="30"/>
        </w:rPr>
        <w:t xml:space="preserve">21.  </w:t>
      </w:r>
      <w:r>
        <w:rPr>
          <w:rFonts w:ascii="Cambria" w:cs="Cambria" w:eastAsia="Cambria" w:hAnsi="Cambria"/>
          <w:b/>
          <w:bCs/>
          <w:color w:val="1A1A1A"/>
          <w:sz w:val="30"/>
          <w:szCs w:val="30"/>
        </w:rPr>
        <w:t xml:space="preserve">GENERAL PROVISIONS</w:t>
      </w:r>
    </w:p>
    <w:p>
      <w:pPr>
        <w:spacing w:after="140" w:line="276"/>
        <w:ind w:left="360"/>
        <w:jc w:val="both"/>
      </w:pPr>
      <w:r>
        <w:rPr>
          <w:rFonts w:ascii="Cambria" w:cs="Cambria" w:eastAsia="Cambria" w:hAnsi="Cambria"/>
          <w:b/>
          <w:bCs/>
          <w:color w:val="1A1A1A"/>
          <w:sz w:val="22"/>
          <w:szCs w:val="22"/>
        </w:rPr>
        <w:t xml:space="preserve">21.1  </w:t>
      </w:r>
      <w:r>
        <w:rPr>
          <w:rFonts w:ascii="Cambria" w:cs="Cambria" w:eastAsia="Cambria" w:hAnsi="Cambria"/>
          <w:color w:val="1A1A1A"/>
          <w:sz w:val="22"/>
          <w:szCs w:val="22"/>
        </w:rPr>
        <w:t xml:space="preserve">Entire Agreement. This Agreement, together with its Schedule and any policies referenced in the vendor dashboard, constitutes the entire agreement between the Parties regarding its subject matter and supersedes all prior discussions, proposals, and agreements, written or oral, on that subject.</w:t>
      </w:r>
    </w:p>
    <w:p>
      <w:pPr>
        <w:spacing w:after="140" w:line="276"/>
        <w:ind w:left="360"/>
        <w:jc w:val="both"/>
      </w:pPr>
      <w:r>
        <w:rPr>
          <w:rFonts w:ascii="Cambria" w:cs="Cambria" w:eastAsia="Cambria" w:hAnsi="Cambria"/>
          <w:b/>
          <w:bCs/>
          <w:color w:val="1A1A1A"/>
          <w:sz w:val="22"/>
          <w:szCs w:val="22"/>
        </w:rPr>
        <w:t xml:space="preserve">21.2  </w:t>
      </w:r>
      <w:r>
        <w:rPr>
          <w:rFonts w:ascii="Cambria" w:cs="Cambria" w:eastAsia="Cambria" w:hAnsi="Cambria"/>
          <w:color w:val="1A1A1A"/>
          <w:sz w:val="22"/>
          <w:szCs w:val="22"/>
        </w:rPr>
        <w:t xml:space="preserve">Amendment. Except for fee changes under clause 10.4 and updates to operational policies referenced in the vendor dashboard (which take effect on the notice periods stated in those policies or in clause 10.4), this Agreement may only be amended by written agreement signed by both Parties.</w:t>
      </w:r>
    </w:p>
    <w:p>
      <w:pPr>
        <w:spacing w:after="140" w:line="276"/>
        <w:ind w:left="360"/>
        <w:jc w:val="both"/>
      </w:pPr>
      <w:r>
        <w:rPr>
          <w:rFonts w:ascii="Cambria" w:cs="Cambria" w:eastAsia="Cambria" w:hAnsi="Cambria"/>
          <w:b/>
          <w:bCs/>
          <w:color w:val="1A1A1A"/>
          <w:sz w:val="22"/>
          <w:szCs w:val="22"/>
        </w:rPr>
        <w:t xml:space="preserve">21.3  </w:t>
      </w:r>
      <w:r>
        <w:rPr>
          <w:rFonts w:ascii="Cambria" w:cs="Cambria" w:eastAsia="Cambria" w:hAnsi="Cambria"/>
          <w:color w:val="1A1A1A"/>
          <w:sz w:val="22"/>
          <w:szCs w:val="22"/>
        </w:rPr>
        <w:t xml:space="preserve">Assignment. Vendor may not assign, transfer, or subcontract any of its rights or obligations under this Agreement without Cridora's prior written consent. Cridora may assign this Agreement to an affiliate or to a successor in connection with a merger, reorganisation, or sale of substantially all of its business, on written notice to Vendor.</w:t>
      </w:r>
    </w:p>
    <w:p>
      <w:pPr>
        <w:spacing w:after="140" w:line="276"/>
        <w:ind w:left="360"/>
        <w:jc w:val="both"/>
      </w:pPr>
      <w:r>
        <w:rPr>
          <w:rFonts w:ascii="Cambria" w:cs="Cambria" w:eastAsia="Cambria" w:hAnsi="Cambria"/>
          <w:b/>
          <w:bCs/>
          <w:color w:val="1A1A1A"/>
          <w:sz w:val="22"/>
          <w:szCs w:val="22"/>
        </w:rPr>
        <w:t xml:space="preserve">21.4  </w:t>
      </w:r>
      <w:r>
        <w:rPr>
          <w:rFonts w:ascii="Cambria" w:cs="Cambria" w:eastAsia="Cambria" w:hAnsi="Cambria"/>
          <w:color w:val="1A1A1A"/>
          <w:sz w:val="22"/>
          <w:szCs w:val="22"/>
        </w:rPr>
        <w:t xml:space="preserve">Notices. Notices under this Agreement must be given in writing and delivered by email to the addresses designated by each Party (which, for Vendor, may include the vendor dashboard notification system) or by hand or courier to the registered addresses stated on the cover page, and are deemed received on confirmed delivery.</w:t>
      </w:r>
    </w:p>
    <w:p>
      <w:pPr>
        <w:spacing w:after="140" w:line="276"/>
        <w:ind w:left="360"/>
        <w:jc w:val="both"/>
      </w:pPr>
      <w:r>
        <w:rPr>
          <w:rFonts w:ascii="Cambria" w:cs="Cambria" w:eastAsia="Cambria" w:hAnsi="Cambria"/>
          <w:b/>
          <w:bCs/>
          <w:color w:val="1A1A1A"/>
          <w:sz w:val="22"/>
          <w:szCs w:val="22"/>
        </w:rPr>
        <w:t xml:space="preserve">21.5  </w:t>
      </w:r>
      <w:r>
        <w:rPr>
          <w:rFonts w:ascii="Cambria" w:cs="Cambria" w:eastAsia="Cambria" w:hAnsi="Cambria"/>
          <w:color w:val="1A1A1A"/>
          <w:sz w:val="22"/>
          <w:szCs w:val="22"/>
        </w:rPr>
        <w:t xml:space="preserve">Severability. If any provision of this Agreement is held invalid or unenforceable, the remaining provisions continue in full force, and the Parties will negotiate in good faith a replacement provision that most closely reflects the original commercial intent.</w:t>
      </w:r>
    </w:p>
    <w:p>
      <w:pPr>
        <w:spacing w:after="140" w:line="276"/>
        <w:ind w:left="360"/>
        <w:jc w:val="both"/>
      </w:pPr>
      <w:r>
        <w:rPr>
          <w:rFonts w:ascii="Cambria" w:cs="Cambria" w:eastAsia="Cambria" w:hAnsi="Cambria"/>
          <w:b/>
          <w:bCs/>
          <w:color w:val="1A1A1A"/>
          <w:sz w:val="22"/>
          <w:szCs w:val="22"/>
        </w:rPr>
        <w:t xml:space="preserve">21.6  </w:t>
      </w:r>
      <w:r>
        <w:rPr>
          <w:rFonts w:ascii="Cambria" w:cs="Cambria" w:eastAsia="Cambria" w:hAnsi="Cambria"/>
          <w:color w:val="1A1A1A"/>
          <w:sz w:val="22"/>
          <w:szCs w:val="22"/>
        </w:rPr>
        <w:t xml:space="preserve">No Waiver. No failure or delay by either Party in exercising any right under this Agreement operates as a waiver of that right.</w:t>
      </w:r>
    </w:p>
    <w:p>
      <w:pPr>
        <w:spacing w:after="140" w:line="276"/>
        <w:ind w:left="360"/>
        <w:jc w:val="both"/>
      </w:pPr>
      <w:r>
        <w:rPr>
          <w:rFonts w:ascii="Cambria" w:cs="Cambria" w:eastAsia="Cambria" w:hAnsi="Cambria"/>
          <w:b/>
          <w:bCs/>
          <w:color w:val="1A1A1A"/>
          <w:sz w:val="22"/>
          <w:szCs w:val="22"/>
        </w:rPr>
        <w:t xml:space="preserve">21.7  </w:t>
      </w:r>
      <w:r>
        <w:rPr>
          <w:rFonts w:ascii="Cambria" w:cs="Cambria" w:eastAsia="Cambria" w:hAnsi="Cambria"/>
          <w:color w:val="1A1A1A"/>
          <w:sz w:val="22"/>
          <w:szCs w:val="22"/>
        </w:rPr>
        <w:t xml:space="preserve">Counterparts and Electronic Signature. This Agreement may be executed in counterparts, including by electronic or digital signature, each of which is deemed an original and all of which together constitute one instrument.</w:t>
      </w:r>
    </w:p>
    <w:p>
      <w:r>
        <w:br w:type="page"/>
      </w:r>
    </w:p>
    <w:p>
      <w:pPr>
        <w:keepNext/>
        <w:pBdr>
          <w:bottom w:val="single" w:color="8A6D1E" w:sz="10" w:space="6"/>
        </w:pBdr>
        <w:spacing w:after="240" w:before="480"/>
      </w:pPr>
      <w:r>
        <w:rPr>
          <w:rFonts w:ascii="Cambria" w:cs="Cambria" w:eastAsia="Cambria" w:hAnsi="Cambria"/>
          <w:b/>
          <w:bCs/>
          <w:color w:val="8A6D1E"/>
          <w:sz w:val="30"/>
          <w:szCs w:val="30"/>
        </w:rPr>
        <w:t xml:space="preserve">22.  </w:t>
      </w:r>
      <w:r>
        <w:rPr>
          <w:rFonts w:ascii="Cambria" w:cs="Cambria" w:eastAsia="Cambria" w:hAnsi="Cambria"/>
          <w:b/>
          <w:bCs/>
          <w:color w:val="1A1A1A"/>
          <w:sz w:val="30"/>
          <w:szCs w:val="30"/>
        </w:rPr>
        <w:t xml:space="preserve">EXECUTION</w:t>
      </w:r>
    </w:p>
    <w:p>
      <w:pPr>
        <w:spacing w:after="160" w:line="276"/>
        <w:jc w:val="both"/>
      </w:pPr>
      <w:r>
        <w:rPr>
          <w:rFonts w:ascii="Cambria" w:cs="Cambria" w:eastAsia="Cambria" w:hAnsi="Cambria"/>
          <w:color w:val="1A1A1A"/>
          <w:sz w:val="22"/>
          <w:szCs w:val="22"/>
        </w:rPr>
        <w:t xml:space="preserve">IN WITNESS WHEREOF, the Parties have executed this Agreement as of the Effective Date stated on the cover page.</w:t>
      </w:r>
    </w:p>
    <w:p>
      <w:pPr>
        <w:spacing w:after="3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9360"/>
            <w:gridSpan w:val="2"/>
            <w:tcMar>
              <w:top w:type="dxa" w:w="40"/>
              <w:left w:type="dxa" w:w="0"/>
              <w:bottom w:type="dxa" w:w="200"/>
              <w:right w:type="dxa" w:w="0"/>
            </w:tcMar>
          </w:tcPr>
          <w:p>
            <w:r>
              <w:rPr>
                <w:rFonts w:ascii="Cambria" w:cs="Cambria" w:eastAsia="Cambria" w:hAnsi="Cambria"/>
                <w:b/>
                <w:bCs/>
                <w:color w:val="1A1A1A"/>
                <w:sz w:val="22"/>
                <w:szCs w:val="22"/>
              </w:rPr>
              <w:t xml:space="preserve">For and on behalf of CRIDORA</w:t>
            </w:r>
          </w:p>
        </w:tc>
      </w:tr>
      <w:tr>
        <w:tc>
          <w:tcPr>
            <w:tcW w:type="dxa" w:w="4680"/>
            <w:tcMar>
              <w:top w:type="dxa" w:w="40"/>
              <w:left w:type="dxa" w:w="0"/>
              <w:bottom w:type="dxa" w:w="40"/>
              <w:right w:type="dxa" w:w="120"/>
            </w:tcMar>
          </w:tcPr>
          <w:p>
            <w:pPr>
              <w:spacing w:after="320"/>
            </w:pPr>
            <w:r>
              <w:rPr>
                <w:rFonts w:ascii="Cambria" w:cs="Cambria" w:eastAsia="Cambria" w:hAnsi="Cambria"/>
                <w:color w:val="1A1A1A"/>
                <w:sz w:val="22"/>
                <w:szCs w:val="22"/>
              </w:rPr>
              <w:t xml:space="preserve">Signature: _______________________________</w:t>
            </w:r>
          </w:p>
          <w:p>
            <w:pPr>
              <w:spacing w:after="320"/>
            </w:pPr>
            <w:r>
              <w:rPr>
                <w:rFonts w:ascii="Cambria" w:cs="Cambria" w:eastAsia="Cambria" w:hAnsi="Cambria"/>
                <w:color w:val="1A1A1A"/>
                <w:sz w:val="22"/>
                <w:szCs w:val="22"/>
              </w:rPr>
              <w:t xml:space="preserve">Name: _______________________________</w:t>
            </w:r>
          </w:p>
          <w:p>
            <w:pPr>
              <w:spacing w:after="320"/>
            </w:pPr>
            <w:r>
              <w:rPr>
                <w:rFonts w:ascii="Cambria" w:cs="Cambria" w:eastAsia="Cambria" w:hAnsi="Cambria"/>
                <w:color w:val="1A1A1A"/>
                <w:sz w:val="22"/>
                <w:szCs w:val="22"/>
              </w:rPr>
              <w:t xml:space="preserve">Title: _______________________________</w:t>
            </w:r>
          </w:p>
          <w:p>
            <w:r>
              <w:rPr>
                <w:rFonts w:ascii="Cambria" w:cs="Cambria" w:eastAsia="Cambria" w:hAnsi="Cambria"/>
                <w:color w:val="1A1A1A"/>
                <w:sz w:val="22"/>
                <w:szCs w:val="22"/>
              </w:rPr>
              <w:t xml:space="preserve">Date: _______________________________</w:t>
            </w:r>
          </w:p>
        </w:tc>
        <w:tc>
          <w:tcPr>
            <w:tcW w:type="dxa" w:w="4680"/>
            <w:tcMar>
              <w:top w:type="dxa" w:w="40"/>
              <w:left w:type="dxa" w:w="120"/>
              <w:bottom w:type="dxa" w:w="40"/>
              <w:right w:type="dxa" w:w="0"/>
            </w:tcMar>
          </w:tcPr>
          <w:p/>
        </w:tc>
      </w:tr>
    </w:tbl>
    <w:p>
      <w:pPr>
        <w:spacing w:after="4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9360"/>
            <w:gridSpan w:val="2"/>
            <w:tcMar>
              <w:top w:type="dxa" w:w="40"/>
              <w:left w:type="dxa" w:w="0"/>
              <w:bottom w:type="dxa" w:w="200"/>
              <w:right w:type="dxa" w:w="0"/>
            </w:tcMar>
          </w:tcPr>
          <w:p>
            <w:r>
              <w:rPr>
                <w:rFonts w:ascii="Cambria" w:cs="Cambria" w:eastAsia="Cambria" w:hAnsi="Cambria"/>
                <w:b/>
                <w:bCs/>
                <w:color w:val="1A1A1A"/>
                <w:sz w:val="22"/>
                <w:szCs w:val="22"/>
              </w:rPr>
              <w:t xml:space="preserve">For and on behalf of the VENDOR</w:t>
            </w:r>
          </w:p>
        </w:tc>
      </w:tr>
      <w:tr>
        <w:tc>
          <w:tcPr>
            <w:tcW w:type="dxa" w:w="4680"/>
            <w:tcMar>
              <w:top w:type="dxa" w:w="40"/>
              <w:left w:type="dxa" w:w="0"/>
              <w:bottom w:type="dxa" w:w="40"/>
              <w:right w:type="dxa" w:w="120"/>
            </w:tcMar>
          </w:tcPr>
          <w:p>
            <w:pPr>
              <w:spacing w:after="320"/>
            </w:pPr>
            <w:r>
              <w:rPr>
                <w:rFonts w:ascii="Cambria" w:cs="Cambria" w:eastAsia="Cambria" w:hAnsi="Cambria"/>
                <w:color w:val="1A1A1A"/>
                <w:sz w:val="22"/>
                <w:szCs w:val="22"/>
              </w:rPr>
              <w:t xml:space="preserve">Signature: _______________________________</w:t>
            </w:r>
          </w:p>
          <w:p>
            <w:pPr>
              <w:spacing w:after="320"/>
            </w:pPr>
            <w:r>
              <w:rPr>
                <w:rFonts w:ascii="Cambria" w:cs="Cambria" w:eastAsia="Cambria" w:hAnsi="Cambria"/>
                <w:color w:val="1A1A1A"/>
                <w:sz w:val="22"/>
                <w:szCs w:val="22"/>
              </w:rPr>
              <w:t xml:space="preserve">Name: _______________________________</w:t>
            </w:r>
          </w:p>
          <w:p>
            <w:pPr>
              <w:spacing w:after="320"/>
            </w:pPr>
            <w:r>
              <w:rPr>
                <w:rFonts w:ascii="Cambria" w:cs="Cambria" w:eastAsia="Cambria" w:hAnsi="Cambria"/>
                <w:color w:val="1A1A1A"/>
                <w:sz w:val="22"/>
                <w:szCs w:val="22"/>
              </w:rPr>
              <w:t xml:space="preserve">Title: _______________________________</w:t>
            </w:r>
          </w:p>
          <w:p>
            <w:r>
              <w:rPr>
                <w:rFonts w:ascii="Cambria" w:cs="Cambria" w:eastAsia="Cambria" w:hAnsi="Cambria"/>
                <w:color w:val="1A1A1A"/>
                <w:sz w:val="22"/>
                <w:szCs w:val="22"/>
              </w:rPr>
              <w:t xml:space="preserve">Date: _______________________________</w:t>
            </w:r>
          </w:p>
        </w:tc>
        <w:tc>
          <w:tcPr>
            <w:tcW w:type="dxa" w:w="4680"/>
            <w:tcMar>
              <w:top w:type="dxa" w:w="40"/>
              <w:left w:type="dxa" w:w="120"/>
              <w:bottom w:type="dxa" w:w="40"/>
              <w:right w:type="dxa" w:w="0"/>
            </w:tcMar>
          </w:tcPr>
          <w:p/>
        </w:tc>
      </w:tr>
    </w:tbl>
    <w:p>
      <w:r>
        <w:br w:type="page"/>
      </w:r>
    </w:p>
    <w:p>
      <w:pPr>
        <w:keepNext/>
        <w:pBdr>
          <w:bottom w:val="single" w:color="8A6D1E" w:sz="10" w:space="6"/>
        </w:pBdr>
        <w:spacing w:after="240" w:before="480"/>
      </w:pPr>
      <w:r>
        <w:rPr>
          <w:rFonts w:ascii="Cambria" w:cs="Cambria" w:eastAsia="Cambria" w:hAnsi="Cambria"/>
          <w:b/>
          <w:bCs/>
          <w:color w:val="1A1A1A"/>
          <w:sz w:val="30"/>
          <w:szCs w:val="30"/>
        </w:rPr>
        <w:t xml:space="preserve">SCHEDULE 1 — CURRENT FEES</w:t>
      </w:r>
    </w:p>
    <w:p>
      <w:pPr>
        <w:spacing w:after="160" w:line="276"/>
        <w:jc w:val="both"/>
      </w:pPr>
      <w:r>
        <w:rPr>
          <w:rFonts w:ascii="Cambria" w:cs="Cambria" w:eastAsia="Cambria" w:hAnsi="Cambria"/>
          <w:color w:val="1A1A1A"/>
          <w:sz w:val="22"/>
          <w:szCs w:val="22"/>
        </w:rPr>
        <w:t xml:space="preserve">The percentages below are current as of the Effective Date and may be updated by Cridora from time to time in accordance with clause 10.4, without requiring re-execution of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4"/>
              <w:left w:val="single" w:color="C9A84C" w:sz="4"/>
              <w:bottom w:val="single" w:color="C9A84C" w:sz="4"/>
              <w:right w:val="single" w:color="C9A84C" w:sz="4"/>
            </w:tcBorders>
            <w:shd w:fill="1A1A1A" w:val="clear"/>
            <w:tcMar>
              <w:top w:type="dxa" w:w="100"/>
              <w:left w:type="dxa" w:w="140"/>
              <w:bottom w:type="dxa" w:w="100"/>
              <w:right w:type="dxa" w:w="140"/>
            </w:tcMar>
            <w:vAlign w:val="center"/>
          </w:tcPr>
          <w:p>
            <w:r>
              <w:rPr>
                <w:rFonts w:ascii="Cambria" w:cs="Cambria" w:eastAsia="Cambria" w:hAnsi="Cambria"/>
                <w:b/>
                <w:bCs/>
                <w:color w:val="F6F2E9"/>
                <w:sz w:val="22"/>
                <w:szCs w:val="22"/>
              </w:rPr>
              <w:t xml:space="preserve">Fee</w:t>
            </w:r>
          </w:p>
        </w:tc>
        <w:tc>
          <w:tcPr>
            <w:tcW w:type="dxa" w:w="3120"/>
            <w:tcBorders>
              <w:top w:val="single" w:color="C9A84C" w:sz="4"/>
              <w:left w:val="single" w:color="C9A84C" w:sz="4"/>
              <w:bottom w:val="single" w:color="C9A84C" w:sz="4"/>
              <w:right w:val="single" w:color="C9A84C" w:sz="4"/>
            </w:tcBorders>
            <w:shd w:fill="1A1A1A" w:val="clear"/>
            <w:tcMar>
              <w:top w:type="dxa" w:w="100"/>
              <w:left w:type="dxa" w:w="140"/>
              <w:bottom w:type="dxa" w:w="100"/>
              <w:right w:type="dxa" w:w="140"/>
            </w:tcMar>
            <w:vAlign w:val="center"/>
          </w:tcPr>
          <w:p>
            <w:r>
              <w:rPr>
                <w:rFonts w:ascii="Cambria" w:cs="Cambria" w:eastAsia="Cambria" w:hAnsi="Cambria"/>
                <w:b/>
                <w:bCs/>
                <w:color w:val="F6F2E9"/>
                <w:sz w:val="22"/>
                <w:szCs w:val="22"/>
              </w:rPr>
              <w:t xml:space="preserve">Rate</w:t>
            </w:r>
          </w:p>
        </w:tc>
        <w:tc>
          <w:tcPr>
            <w:tcW w:type="dxa" w:w="3120"/>
            <w:tcBorders>
              <w:top w:val="single" w:color="C9A84C" w:sz="4"/>
              <w:left w:val="single" w:color="C9A84C" w:sz="4"/>
              <w:bottom w:val="single" w:color="C9A84C" w:sz="4"/>
              <w:right w:val="single" w:color="C9A84C" w:sz="4"/>
            </w:tcBorders>
            <w:shd w:fill="1A1A1A" w:val="clear"/>
            <w:tcMar>
              <w:top w:type="dxa" w:w="100"/>
              <w:left w:type="dxa" w:w="140"/>
              <w:bottom w:type="dxa" w:w="100"/>
              <w:right w:type="dxa" w:w="140"/>
            </w:tcMar>
            <w:vAlign w:val="center"/>
          </w:tcPr>
          <w:p>
            <w:r>
              <w:rPr>
                <w:rFonts w:ascii="Cambria" w:cs="Cambria" w:eastAsia="Cambria" w:hAnsi="Cambria"/>
                <w:b/>
                <w:bCs/>
                <w:color w:val="F6F2E9"/>
                <w:sz w:val="22"/>
                <w:szCs w:val="22"/>
              </w:rPr>
              <w:t xml:space="preserve">Applied To</w:t>
            </w:r>
          </w:p>
        </w:tc>
      </w:tr>
      <w:tr>
        <w:tc>
          <w:tcPr>
            <w:tcW w:type="dxa" w:w="3120"/>
            <w:tcBorders>
              <w:top w:val="single" w:color="C9A84C" w:sz="4"/>
              <w:left w:val="single" w:color="C9A84C" w:sz="4"/>
              <w:bottom w:val="single" w:color="C9A84C" w:sz="4"/>
              <w:right w:val="single" w:color="C9A84C" w:sz="4"/>
            </w:tcBorders>
            <w:tcMar>
              <w:top w:type="dxa" w:w="100"/>
              <w:left w:type="dxa" w:w="140"/>
              <w:bottom w:type="dxa" w:w="100"/>
              <w:right w:type="dxa" w:w="140"/>
            </w:tcMar>
            <w:vAlign w:val="center"/>
          </w:tcPr>
          <w:p>
            <w:r>
              <w:rPr>
                <w:rFonts w:ascii="Cambria" w:cs="Cambria" w:eastAsia="Cambria" w:hAnsi="Cambria"/>
                <w:color w:val="1A1A1A"/>
                <w:sz w:val="22"/>
                <w:szCs w:val="22"/>
              </w:rPr>
              <w:t xml:space="preserve">Platform Fee</w:t>
            </w:r>
          </w:p>
        </w:tc>
        <w:tc>
          <w:tcPr>
            <w:tcW w:type="dxa" w:w="3120"/>
            <w:tcBorders>
              <w:top w:val="single" w:color="C9A84C" w:sz="4"/>
              <w:left w:val="single" w:color="C9A84C" w:sz="4"/>
              <w:bottom w:val="single" w:color="C9A84C" w:sz="4"/>
              <w:right w:val="single" w:color="C9A84C" w:sz="4"/>
            </w:tcBorders>
            <w:tcMar>
              <w:top w:type="dxa" w:w="100"/>
              <w:left w:type="dxa" w:w="140"/>
              <w:bottom w:type="dxa" w:w="100"/>
              <w:right w:type="dxa" w:w="140"/>
            </w:tcMar>
            <w:vAlign w:val="center"/>
          </w:tcPr>
          <w:p>
            <w:r>
              <w:rPr>
                <w:rFonts w:ascii="Cambria" w:cs="Cambria" w:eastAsia="Cambria" w:hAnsi="Cambria"/>
                <w:b/>
                <w:bCs/>
                <w:color w:val="1A1A1A"/>
                <w:sz w:val="22"/>
                <w:szCs w:val="22"/>
              </w:rPr>
              <w:t xml:space="preserve">0.50%</w:t>
            </w:r>
          </w:p>
        </w:tc>
        <w:tc>
          <w:tcPr>
            <w:tcW w:type="dxa" w:w="3120"/>
            <w:tcBorders>
              <w:top w:val="single" w:color="C9A84C" w:sz="4"/>
              <w:left w:val="single" w:color="C9A84C" w:sz="4"/>
              <w:bottom w:val="single" w:color="C9A84C" w:sz="4"/>
              <w:right w:val="single" w:color="C9A84C" w:sz="4"/>
            </w:tcBorders>
            <w:tcMar>
              <w:top w:type="dxa" w:w="100"/>
              <w:left w:type="dxa" w:w="140"/>
              <w:bottom w:type="dxa" w:w="100"/>
              <w:right w:type="dxa" w:w="140"/>
            </w:tcMar>
            <w:vAlign w:val="center"/>
          </w:tcPr>
          <w:p>
            <w:r>
              <w:rPr>
                <w:rFonts w:ascii="Cambria" w:cs="Cambria" w:eastAsia="Cambria" w:hAnsi="Cambria"/>
                <w:color w:val="1A1A1A"/>
                <w:sz w:val="22"/>
                <w:szCs w:val="22"/>
              </w:rPr>
              <w:t xml:space="preserve">Customer's Buy Order total, at checkout</w:t>
            </w:r>
          </w:p>
        </w:tc>
      </w:tr>
      <w:tr>
        <w:tc>
          <w:tcPr>
            <w:tcW w:type="dxa" w:w="3120"/>
            <w:tcBorders>
              <w:top w:val="single" w:color="C9A84C" w:sz="4"/>
              <w:left w:val="single" w:color="C9A84C" w:sz="4"/>
              <w:bottom w:val="single" w:color="C9A84C" w:sz="4"/>
              <w:right w:val="single" w:color="C9A84C" w:sz="4"/>
            </w:tcBorders>
            <w:tcMar>
              <w:top w:type="dxa" w:w="100"/>
              <w:left w:type="dxa" w:w="140"/>
              <w:bottom w:type="dxa" w:w="100"/>
              <w:right w:type="dxa" w:w="140"/>
            </w:tcMar>
            <w:vAlign w:val="center"/>
          </w:tcPr>
          <w:p>
            <w:r>
              <w:rPr>
                <w:rFonts w:ascii="Cambria" w:cs="Cambria" w:eastAsia="Cambria" w:hAnsi="Cambria"/>
                <w:color w:val="1A1A1A"/>
                <w:sz w:val="22"/>
                <w:szCs w:val="22"/>
              </w:rPr>
              <w:t xml:space="preserve">Sell-Back Share</w:t>
            </w:r>
          </w:p>
        </w:tc>
        <w:tc>
          <w:tcPr>
            <w:tcW w:type="dxa" w:w="3120"/>
            <w:tcBorders>
              <w:top w:val="single" w:color="C9A84C" w:sz="4"/>
              <w:left w:val="single" w:color="C9A84C" w:sz="4"/>
              <w:bottom w:val="single" w:color="C9A84C" w:sz="4"/>
              <w:right w:val="single" w:color="C9A84C" w:sz="4"/>
            </w:tcBorders>
            <w:tcMar>
              <w:top w:type="dxa" w:w="100"/>
              <w:left w:type="dxa" w:w="140"/>
              <w:bottom w:type="dxa" w:w="100"/>
              <w:right w:type="dxa" w:w="140"/>
            </w:tcMar>
            <w:vAlign w:val="center"/>
          </w:tcPr>
          <w:p>
            <w:r>
              <w:rPr>
                <w:rFonts w:ascii="Cambria" w:cs="Cambria" w:eastAsia="Cambria" w:hAnsi="Cambria"/>
                <w:b/>
                <w:bCs/>
                <w:color w:val="1A1A1A"/>
                <w:sz w:val="22"/>
                <w:szCs w:val="22"/>
              </w:rPr>
              <w:t xml:space="preserve">5.00%</w:t>
            </w:r>
          </w:p>
        </w:tc>
        <w:tc>
          <w:tcPr>
            <w:tcW w:type="dxa" w:w="3120"/>
            <w:tcBorders>
              <w:top w:val="single" w:color="C9A84C" w:sz="4"/>
              <w:left w:val="single" w:color="C9A84C" w:sz="4"/>
              <w:bottom w:val="single" w:color="C9A84C" w:sz="4"/>
              <w:right w:val="single" w:color="C9A84C" w:sz="4"/>
            </w:tcBorders>
            <w:tcMar>
              <w:top w:type="dxa" w:w="100"/>
              <w:left w:type="dxa" w:w="140"/>
              <w:bottom w:type="dxa" w:w="100"/>
              <w:right w:type="dxa" w:w="140"/>
            </w:tcMar>
            <w:vAlign w:val="center"/>
          </w:tcPr>
          <w:p>
            <w:r>
              <w:rPr>
                <w:rFonts w:ascii="Cambria" w:cs="Cambria" w:eastAsia="Cambria" w:hAnsi="Cambria"/>
                <w:color w:val="1A1A1A"/>
                <w:sz w:val="22"/>
                <w:szCs w:val="22"/>
              </w:rPr>
              <w:t xml:space="preserve">Vendor's profit on each completed Sell-Back Order</w:t>
            </w:r>
          </w:p>
        </w:tc>
      </w:tr>
      <w:tr>
        <w:tc>
          <w:tcPr>
            <w:tcW w:type="dxa" w:w="3120"/>
            <w:tcBorders>
              <w:top w:val="single" w:color="C9A84C" w:sz="4"/>
              <w:left w:val="single" w:color="C9A84C" w:sz="4"/>
              <w:bottom w:val="single" w:color="C9A84C" w:sz="4"/>
              <w:right w:val="single" w:color="C9A84C" w:sz="4"/>
            </w:tcBorders>
            <w:tcMar>
              <w:top w:type="dxa" w:w="100"/>
              <w:left w:type="dxa" w:w="140"/>
              <w:bottom w:type="dxa" w:w="100"/>
              <w:right w:type="dxa" w:w="140"/>
            </w:tcMar>
            <w:vAlign w:val="center"/>
          </w:tcPr>
          <w:p>
            <w:r>
              <w:rPr>
                <w:rFonts w:ascii="Cambria" w:cs="Cambria" w:eastAsia="Cambria" w:hAnsi="Cambria"/>
                <w:color w:val="1A1A1A"/>
                <w:sz w:val="22"/>
                <w:szCs w:val="22"/>
              </w:rPr>
              <w:t xml:space="preserve">EOD Holding Percentage</w:t>
            </w:r>
          </w:p>
        </w:tc>
        <w:tc>
          <w:tcPr>
            <w:tcW w:type="dxa" w:w="3120"/>
            <w:tcBorders>
              <w:top w:val="single" w:color="C9A84C" w:sz="4"/>
              <w:left w:val="single" w:color="C9A84C" w:sz="4"/>
              <w:bottom w:val="single" w:color="C9A84C" w:sz="4"/>
              <w:right w:val="single" w:color="C9A84C" w:sz="4"/>
            </w:tcBorders>
            <w:tcMar>
              <w:top w:type="dxa" w:w="100"/>
              <w:left w:type="dxa" w:w="140"/>
              <w:bottom w:type="dxa" w:w="100"/>
              <w:right w:type="dxa" w:w="140"/>
            </w:tcMar>
            <w:vAlign w:val="center"/>
          </w:tcPr>
          <w:p>
            <w:r>
              <w:rPr>
                <w:rFonts w:ascii="Cambria" w:cs="Cambria" w:eastAsia="Cambria" w:hAnsi="Cambria"/>
                <w:b/>
                <w:bCs/>
                <w:color w:val="1A1A1A"/>
                <w:sz w:val="22"/>
                <w:szCs w:val="22"/>
              </w:rPr>
              <w:t xml:space="preserve">0% (as configured in the Platform)</w:t>
            </w:r>
          </w:p>
        </w:tc>
        <w:tc>
          <w:tcPr>
            <w:tcW w:type="dxa" w:w="3120"/>
            <w:tcBorders>
              <w:top w:val="single" w:color="C9A84C" w:sz="4"/>
              <w:left w:val="single" w:color="C9A84C" w:sz="4"/>
              <w:bottom w:val="single" w:color="C9A84C" w:sz="4"/>
              <w:right w:val="single" w:color="C9A84C" w:sz="4"/>
            </w:tcBorders>
            <w:tcMar>
              <w:top w:type="dxa" w:w="100"/>
              <w:left w:type="dxa" w:w="140"/>
              <w:bottom w:type="dxa" w:w="100"/>
              <w:right w:type="dxa" w:w="140"/>
            </w:tcMar>
            <w:vAlign w:val="center"/>
          </w:tcPr>
          <w:p>
            <w:r>
              <w:rPr>
                <w:rFonts w:ascii="Cambria" w:cs="Cambria" w:eastAsia="Cambria" w:hAnsi="Cambria"/>
                <w:color w:val="1A1A1A"/>
                <w:sz w:val="22"/>
                <w:szCs w:val="22"/>
              </w:rPr>
              <w:t xml:space="preserve">Vendor's positive daily net position, at end-of-day</w:t>
            </w:r>
          </w:p>
        </w:tc>
      </w:tr>
    </w:tbl>
    <w:p>
      <w:pPr>
        <w:spacing w:after="200"/>
      </w:pPr>
    </w:p>
    <w:p>
      <w:pPr>
        <w:spacing w:after="160" w:line="276"/>
        <w:jc w:val="both"/>
      </w:pPr>
      <w:r>
        <w:rPr>
          <w:rFonts w:ascii="Cambria" w:cs="Cambria" w:eastAsia="Cambria" w:hAnsi="Cambria"/>
          <w:color w:val="1A1A1A"/>
          <w:sz w:val="22"/>
          <w:szCs w:val="22"/>
        </w:rPr>
        <w:t xml:space="preserve">Note: the EOD Holding Percentage is a platform-wide liquidity setting applied uniformly across vendors participating in the guaranteed sell-back programme, and is disclosed to Vendor in the vendor dashboard in addition to this Schedule.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mbria" w:cs="Cambria" w:eastAsia="Cambria" w:hAnsi="Cambria"/>
        <w:color w:val="555555"/>
        <w:sz w:val="16"/>
        <w:szCs w:val="16"/>
      </w:rPr>
      <w:t xml:space="preserve">Page </w:t>
    </w:r>
    <w:r>
      <w:rPr>
        <w:rFonts w:ascii="Cambria" w:cs="Cambria" w:eastAsia="Cambria" w:hAnsi="Cambria"/>
        <w:color w:val="555555"/>
        <w:sz w:val="16"/>
        <w:szCs w:val="16"/>
      </w:rPr>
      <w:fldChar w:fldCharType="begin"/>
      <w:instrText xml:space="preserve">PAGE</w:instrText>
      <w:fldChar w:fldCharType="separate"/>
      <w:fldChar w:fldCharType="end"/>
    </w:r>
    <w:r>
      <w:rPr>
        <w:rFonts w:ascii="Cambria" w:cs="Cambria" w:eastAsia="Cambria" w:hAnsi="Cambria"/>
        <w:color w:val="555555"/>
        <w:sz w:val="16"/>
        <w:szCs w:val="16"/>
      </w:rPr>
      <w:t xml:space="preserve"> of </w:t>
    </w:r>
    <w:r>
      <w:rPr>
        <w:rFonts w:ascii="Cambria" w:cs="Cambria" w:eastAsia="Cambria" w:hAnsi="Cambria"/>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mbria" w:cs="Cambria" w:eastAsia="Cambria" w:hAnsi="Cambria"/>
        <w:b/>
        <w:bCs/>
        <w:color w:val="555555"/>
        <w:sz w:val="16"/>
        <w:szCs w:val="16"/>
      </w:rPr>
      <w:t xml:space="preserve">CRIDORA VENDOR MARKETPLACE AGREEMENT</w:t>
    </w:r>
    <w:r>
      <w:rPr>
        <w:rFonts w:ascii="Cambria" w:cs="Cambria" w:eastAsia="Cambria" w:hAnsi="Cambria"/>
        <w:color w:val="555555"/>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Cridora Vendor Marketplace Agreement</dc:title>
  <dc:creator>Cridora</dc:creator>
  <cp:lastModifiedBy>Un-named</cp:lastModifiedBy>
  <cp:revision>1</cp:revision>
  <dcterms:created xsi:type="dcterms:W3CDTF">2026-07-15T18:21:06.297Z</dcterms:created>
  <dcterms:modified xsi:type="dcterms:W3CDTF">2026-07-15T18:21:06.306Z</dcterms:modified>
</cp:coreProperties>
</file>

<file path=docProps/custom.xml><?xml version="1.0" encoding="utf-8"?>
<Properties xmlns="http://schemas.openxmlformats.org/officeDocument/2006/custom-properties" xmlns:vt="http://schemas.openxmlformats.org/officeDocument/2006/docPropsVTypes"/>
</file>