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ED0AC">
      <w:pPr>
        <w:rPr>
          <w:rFonts w:hint="eastAsia"/>
        </w:rPr>
      </w:pPr>
      <w:r>
        <w:rPr>
          <w:rFonts w:hint="eastAsia"/>
        </w:rPr>
        <w:t>When Backdoors Survive but Behaviors Change: Rethinking Backdoor Transfer in Federated Learning</w:t>
      </w:r>
    </w:p>
    <w:p w14:paraId="0BDF89C5">
      <w:pPr>
        <w:rPr>
          <w:rFonts w:hint="eastAsia"/>
        </w:rPr>
      </w:pPr>
    </w:p>
    <w:p w14:paraId="6A9EADDC">
      <w:pPr>
        <w:outlineLvl w:val="0"/>
        <w:rPr>
          <w:rFonts w:hint="eastAsia"/>
          <w:lang w:val="en-US" w:eastAsia="zh-CN"/>
        </w:rPr>
      </w:pPr>
      <w:r>
        <w:rPr>
          <w:rFonts w:hint="eastAsia"/>
          <w:lang w:val="en-US" w:eastAsia="zh-CN"/>
        </w:rPr>
        <w:t>摘要：</w:t>
      </w:r>
    </w:p>
    <w:p w14:paraId="2935F7FC">
      <w:pPr>
        <w:ind w:firstLine="420" w:firstLineChars="200"/>
        <w:rPr>
          <w:rFonts w:hint="eastAsia"/>
          <w:lang w:val="en-US" w:eastAsia="zh-CN"/>
        </w:rPr>
      </w:pPr>
      <w:r>
        <w:rPr>
          <w:rFonts w:hint="eastAsia"/>
          <w:lang w:val="en-US" w:eastAsia="zh-CN"/>
        </w:rPr>
        <w:t>现有联邦后门研究主要通过攻击成功率（Attack Success Rate, ASR）评估恶意行为能否经受联邦聚合。然而，这类目标中心的评价隐含地将“攻击仍然成功”等同于“攻击行为得到保留”，忽略了聚合可能改变后门实际作用范围。本文重新审视后门行为从恶意客户端向全局模型的传递过程。我们的初步观察表明，联邦聚合可以在目标攻击成功率基本保持的情况下，显著改变语义邻域中的非目标响应，使局部模型中边界集中的后门在全局模型中表现出不同的行为范围。【待实验：补充最具代表性的 Local–Global 数值结果。】</w:t>
      </w:r>
    </w:p>
    <w:p w14:paraId="10EB9172">
      <w:pPr>
        <w:ind w:firstLine="420" w:firstLineChars="200"/>
        <w:rPr>
          <w:rFonts w:hint="eastAsia"/>
          <w:lang w:val="en-US" w:eastAsia="zh-CN"/>
        </w:rPr>
      </w:pPr>
      <w:r>
        <w:rPr>
          <w:rFonts w:hint="eastAsia"/>
          <w:lang w:val="en-US" w:eastAsia="zh-CN"/>
        </w:rPr>
        <w:t>为刻画这一现象，我们将后门建模为定义在语义邻域上的行为函数，并构造由 Target、Equivalent、Boundary 和 Normal 组成的语义行为剖面，以区分预期攻击激活与非预期边界扩张。在此基础上，我们提出行为传递保真度（Behavior Transfer Fidelity, BTF），用于量化后门从恶意客户端本地模型向聚合后全局模型传递时的结构性偏移。进一步地，我们从参数更新角度分析这一失真的形成机制，并揭示一种区域级聚合干扰（Region-wise Aggregation Interference）：相同的聚合扰动在不同语义区域具有不同的行为投影，从而可能在削弱目标行为的同时放大邻近非目标区域的异常激活。基于该机制，我们提出 Behavior Profile Feedback Correction（BPFC），利用真实全局模型反馈对后续恶意优化进行区域自适应校正，使聚合后的后门更接近预期行为边界，而非单纯最大化目标 ASR。【待实验：补充跨模型、Non-IID、聚合算法和攻击比例下的总体提升。】我们的研究表明，联邦后门的安全评估不应仅关注恶意行为是否存活，还应进一步审视聚合后究竟保留了怎样的恶意行为。</w:t>
      </w:r>
    </w:p>
    <w:p w14:paraId="063A8C5E">
      <w:pPr>
        <w:rPr>
          <w:rFonts w:hint="eastAsia"/>
          <w:lang w:val="en-US" w:eastAsia="zh-CN"/>
        </w:rPr>
      </w:pPr>
    </w:p>
    <w:p w14:paraId="7D14870B">
      <w:pPr>
        <w:ind w:firstLine="420" w:firstLineChars="200"/>
        <w:rPr>
          <w:rFonts w:hint="eastAsia"/>
          <w:lang w:val="en-US" w:eastAsia="zh-CN"/>
        </w:rPr>
      </w:pPr>
    </w:p>
    <w:p w14:paraId="00E4A76D">
      <w:pPr>
        <w:outlineLvl w:val="0"/>
        <w:rPr>
          <w:rFonts w:hint="eastAsia"/>
          <w:lang w:val="en-US" w:eastAsia="zh-CN"/>
        </w:rPr>
      </w:pPr>
      <w:r>
        <w:rPr>
          <w:rFonts w:hint="eastAsia"/>
          <w:lang w:val="en-US" w:eastAsia="zh-CN"/>
        </w:rPr>
        <w:t>1、引言</w:t>
      </w:r>
    </w:p>
    <w:p w14:paraId="245A7B3D">
      <w:pPr>
        <w:bidi w:val="0"/>
        <w:ind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联邦学习通过在客户端本地保留原始数据并仅交换模型更新，为分布式模型训练提供了重要的隐私保护范式。然而，这一训练机制也使服务器难以直接识别恶意本地优化，从而暴露于模型投毒和后门攻击。已有研究表明，攻击者可以控制少量客户端，在维持全局模型正常任务性能的同时植入攻击者指定的隐蔽行为。已有工作从模型替换、分布式攻击、参数持久性以及适应联邦训练动态等角度不断提高后门的聚合鲁棒性。相应地，攻击成功率（ASR）也成为衡量攻击有效性的核心指标：若恶意客户端本地获得较高 ASR，且聚合后的全局模型仍保持相近的目标攻击成功率，则通常认为该后门被成功保留。</w:t>
      </w:r>
    </w:p>
    <w:p w14:paraId="581F277F">
      <w:pPr>
        <w:bidi w:val="0"/>
        <w:ind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然而，这种评价隐含了一个重要假设：目标攻击能力的保持等价于后门行为的保持。我们发现，这一假设并不总是成立。后门本质上并非单一触发输入上的标量性能，而是在输入空间中定义了一个行为区域：某些输入应当触发攻击，而与其语义接近但不满足攻击条件的输入应保持正常。因此，即使两个模型具有近似的目标 ASR，它们仍可能对应显著不同的攻击边界。如图 1 所示，【待实验】恶意客户端完成本地攻击训练后，其异常行为主要集中于目标及其等义表达；然而，在与正常客户端更新共同聚合后，目标攻击率仅发生有限变化，而大量语义相关但本不应触发攻击的输入开始产生异常响应。换言之，后门在聚合后仍然存在，但其行为作用域已经发生改变。这一现象揭示了传统联邦后门评价中的一个盲点：现有指标主要回答“攻击还是否有效”，却无法判断“聚合后保留下来的是否仍然是原先学习到的攻击行为”。</w:t>
      </w:r>
    </w:p>
    <w:p w14:paraId="3E5C8067">
      <w:pPr>
        <w:bidi w:val="0"/>
        <w:ind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近期研究已经表明，后门影响可能超出显式触发器本身。例如，语义泛化研究关注后门在分布变化或语义改写下的迁移能力，而 Chen</w:t>
      </w:r>
      <w:r>
        <w:commentReference w:id="0"/>
      </w:r>
      <w:r>
        <w:rPr>
          <w:rFonts w:hint="default" w:asciiTheme="minorHAnsi" w:hAnsiTheme="minorHAnsi" w:eastAsiaTheme="minorEastAsia" w:cstheme="minorBidi"/>
          <w:kern w:val="2"/>
          <w:sz w:val="21"/>
          <w:szCs w:val="24"/>
          <w:lang w:val="en-US" w:eastAsia="zh-CN" w:bidi="ar-SA"/>
        </w:rPr>
        <w:t>进一步证明 encoder poisoning 可以在无显式触发器的情况下改变目标概念邻域的表示结构，并将其解释为局部、低秩的语义空间形变。然而，其研究对象是后门注入前后单个模型内部表示空间的变化。本文研究一个不同的问题：当一个已经学习形成的后门经过联邦聚合从本地模型迁移至全局模型时，聚合过程本身是否会重新塑造其行为边界？</w:t>
      </w:r>
    </w:p>
    <w:p w14:paraId="7C1FF316">
      <w:pPr>
        <w:bidi w:val="0"/>
        <w:ind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为系统研究这一问题，我们首先对后门行为进行结构化刻画。围绕攻击目标，我们将输入划分为四个具有不同行为含义的区域：Target 表示攻击者明确期望触发异常行为的目标输入；Equivalent 包含语义等价但表述不同的输入，用于表征攻击的预期语义泛化；Boundary 包含与目标高度相关但按照攻击定义不应被激活的输入，用于刻画攻击的语义边界；Normal 则覆盖与目标关系较远的一般输入。由此，一个后门不再由单一 ASR 描述，而由其在不同语义区域上的激活分布共同定义。我们称这一表示为语义行为剖面（Semantic Behavior Profile）。</w:t>
      </w:r>
    </w:p>
    <w:p w14:paraId="2115EBD1">
      <w:pPr>
        <w:bidi w:val="0"/>
        <w:ind w:firstLine="42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在这一表示下，我们比较恶意客户端本地模型与联邦聚合后全局模型的行为剖面，并将二者差异定义为行为传递失真（Behavior Transfer Distortion）。【待实验】初步观察表明，这种失真并非简单表现为攻击整体增强或减弱，而具有明显的区域非均匀性：目标行为可能受到抑制，而语义边界区域却同时出现异常扩张。这意味着联邦聚合并非简单缩放恶意行为，而可能改变其在输入空间中的作用位置。一个自然的问题随之产生：为什么相同的服务器聚合会对不同语义区域产生相反的影响？我们从参数更新角度解释这一现象。恶意客户端学习到的后门必须与来自正常客户端的异构更新共同参与聚合。从本地恶意模型到下一轮全局模型的变化可以视为一个由聚合引入的参数扰动。由于不同语义区域对应不同的行为敏感方向，同一个聚合扰动在这些方向上的投影并不一致。因此，某些更新分量可能抵消目标区域的恶意行为，而另一些分量则与目标邻域共享的表示方向形成协同，使原本稳定的语义边界产生外扩。我们将这一现象称为 Region-wise Aggregation Interference（RAI）。</w:t>
      </w:r>
    </w:p>
    <w:p w14:paraId="79E6CF17">
      <w:pPr>
        <w:bidi w:val="0"/>
        <w:ind w:firstLine="42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一观察同时改变了联邦后门的优化目标。现有自适应攻击通常试图提高恶意行为在联邦训练动态中的持久性，即尽可能补偿聚合造成的攻击衰减。然而，如果聚合同时改变行为边界，那么一味增强目标攻击强度可能进一步加剧非目标区域的异常激活。因此，我们提出 Behavior Profile Feedback Correction（BPFC）。BPFC 利用每轮真实全局模型反馈估计不同语义区域的行为偏差，并对下一轮本地攻击进行区域自适应补偿：恢复被削弱的目标行为，同时约束被扩大的边界行为，从而提高聚合后的行为传递保真度。本文主要贡献如下：</w:t>
      </w:r>
    </w:p>
    <w:p w14:paraId="63A01640">
      <w:pPr>
        <w:numPr>
          <w:ilvl w:val="0"/>
          <w:numId w:val="1"/>
        </w:numPr>
        <w:bidi w:val="0"/>
        <w:ind w:firstLine="42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我们揭示了一种被传统 ASR 掩盖的联邦后门行为失真现象。 后门在聚合后可以保持较高目标攻击成功率，却同时发生明显的语义行为边界变化，说明攻击存活与行为保真并不等价。【待实验验证后进一步强化措辞。】</w:t>
      </w:r>
    </w:p>
    <w:p w14:paraId="7EAA2A10">
      <w:pPr>
        <w:numPr>
          <w:ilvl w:val="0"/>
          <w:numId w:val="1"/>
        </w:numPr>
        <w:bidi w:val="0"/>
        <w:ind w:firstLine="42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我们提出语义行为剖面和行为传递保真度，并从区域级聚合干扰解释其机制。 该分析刻画同一聚合扰动如何在不同语义区域产生异质行为变化，从而解释目标行为保持与边界扩张为何能够同时出现。</w:t>
      </w:r>
    </w:p>
    <w:p w14:paraId="0A44F9B7">
      <w:pPr>
        <w:numPr>
          <w:ilvl w:val="0"/>
          <w:numId w:val="1"/>
        </w:numPr>
        <w:bidi w:val="0"/>
        <w:ind w:firstLine="42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我们提出 BPFC，通过真实全局行为反馈校正聚合诱发的行为失真。BPFC 同时考虑预期恶意激活和非预期边界泄漏，使攻击目标从最大化 ASR 转向保持聚合后的行为结构。【待实验补性能总结。】</w:t>
      </w:r>
    </w:p>
    <w:p w14:paraId="63CC6155">
      <w:pPr>
        <w:bidi w:val="0"/>
        <w:ind w:firstLine="420" w:firstLineChars="0"/>
        <w:jc w:val="left"/>
        <w:rPr>
          <w:rFonts w:hint="default" w:asciiTheme="minorHAnsi" w:hAnsiTheme="minorHAnsi" w:eastAsiaTheme="minorEastAsia" w:cstheme="minorBidi"/>
          <w:kern w:val="2"/>
          <w:sz w:val="21"/>
          <w:szCs w:val="24"/>
          <w:lang w:val="en-US" w:eastAsia="zh-CN" w:bidi="ar-SA"/>
        </w:rPr>
      </w:pPr>
    </w:p>
    <w:p w14:paraId="43D06D5B">
      <w:pPr>
        <w:bidi w:val="0"/>
        <w:jc w:val="left"/>
        <w:outlineLvl w:val="0"/>
        <w:rPr>
          <w:rFonts w:hint="eastAsia" w:cstheme="minorBidi"/>
          <w:kern w:val="2"/>
          <w:sz w:val="21"/>
          <w:szCs w:val="24"/>
          <w:lang w:val="en-US" w:eastAsia="zh-CN" w:bidi="ar-SA"/>
        </w:rPr>
      </w:pPr>
      <w:r>
        <w:rPr>
          <w:rFonts w:hint="eastAsia" w:cstheme="minorBidi"/>
          <w:kern w:val="2"/>
          <w:sz w:val="21"/>
          <w:szCs w:val="24"/>
          <w:lang w:val="en-US" w:eastAsia="zh-CN" w:bidi="ar-SA"/>
        </w:rPr>
        <w:t>2、相关工作</w:t>
      </w:r>
    </w:p>
    <w:p w14:paraId="594C42B9">
      <w:pPr>
        <w:bidi w:val="0"/>
        <w:jc w:val="left"/>
        <w:outlineLvl w:val="1"/>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2.1 联邦后门攻击</w:t>
      </w:r>
    </w:p>
    <w:p w14:paraId="2AD1EA57">
      <w:pPr>
        <w:bidi w:val="0"/>
        <w:ind w:firstLine="381"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联邦后门攻击通过操纵一个或多个客户端的局部训练，使恶意行为在服务器聚合后嵌入全局模型。早期研究主要关注如何克服正常客户端更新对恶意更新的稀释。Model Replacement 通过缩放恶意更新，使聚合结果向攻击模型快速偏移；Distributed Backdoor Attack 将攻击模式分布到多个恶意参与者，使其在聚合过程中组合形成完整后门。后续研究进一步关注攻击的持续性。Neurotoxin 通过修改正常训练较少使用的参数区域提高后门在后续训练中的耐久性，而 A3FL 通过模拟不利于后门保持的全局训练动态，提高攻击对聚合和后续更新的适应能力。尽管这些方法从不同角度研究了恶意信号如何形成、存活和持续，其评价仍主要围绕全局目标 ASR 展开。因此，一个关键问题仍未被刻画：即使攻击强度被成功保留，恶意行为的输入作用范围是否也被忠实保留？ 本文从行为传递而非单一攻击存活的角度重新审视这一问题。</w:t>
      </w:r>
    </w:p>
    <w:p w14:paraId="702C7777">
      <w:pPr>
        <w:bidi w:val="0"/>
        <w:ind w:firstLine="381" w:firstLineChars="0"/>
        <w:jc w:val="both"/>
        <w:rPr>
          <w:rFonts w:hint="default" w:asciiTheme="minorHAnsi" w:hAnsiTheme="minorHAnsi" w:eastAsiaTheme="minorEastAsia" w:cstheme="minorBidi"/>
          <w:kern w:val="2"/>
          <w:sz w:val="21"/>
          <w:szCs w:val="24"/>
          <w:lang w:val="en-US" w:eastAsia="zh-CN" w:bidi="ar-SA"/>
        </w:rPr>
      </w:pPr>
    </w:p>
    <w:p w14:paraId="72573CBF">
      <w:pPr>
        <w:bidi w:val="0"/>
        <w:jc w:val="both"/>
        <w:outlineLvl w:val="1"/>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2.2 后门泛化与超越 Trigger 的影响</w:t>
      </w:r>
    </w:p>
    <w:p w14:paraId="65635700">
      <w:pPr>
        <w:bidi w:val="0"/>
        <w:ind w:firstLine="318"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传统后门评估通常假设攻击行为集中于显式 trigger，并通过 triggered inputs 上的 ASR 与 benign inputs 上的正常任务性能联合评价攻击。这种点式评价近年来开始受到重新审视。一类工作研究后门在语义改写、分布偏移和不同输入域中的泛化能力，说明攻击行为并不一定局限于训练时出现的触发形式。Chen and Zhu 发现，在扩散模型中，encoder-side backdoor 不仅改变显式 trigger 的映射，还会导致目标语义邻域发生持续表示漂移，并表现为局部敏感度增加及低秩方向性形变；SEMAD 因而同时从表示漂移与下游语义失配评估这种隐藏损伤。与这些工作不同，我们不研究后门注入相对于 clean model 所造成的语义结构改变，而关注一个已经形成的后门在联邦聚合前后是否保持相同的行为结构。我们的比较对象因此不是Clean Model→Backdoored Model,</w:t>
      </w:r>
      <w:r>
        <w:rPr>
          <w:rFonts w:hint="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而是Local Backdoored Model→Aggregated Global Model.聚合并不一定统一削弱后门，而可能在不同语义区域产生方向不同的影响。因此，仅通过目标 ASR 衡量 Local–Global discrepancy 会遗漏攻击边界的重新塑形。本文进一步对这一结构进行显式建模，并据此设计区域感知的反馈纠正方法。</w:t>
      </w:r>
    </w:p>
    <w:p w14:paraId="1CD166BB">
      <w:pPr>
        <w:bidi w:val="0"/>
        <w:ind w:firstLine="318" w:firstLineChars="0"/>
        <w:jc w:val="both"/>
        <w:rPr>
          <w:rFonts w:hint="default" w:asciiTheme="minorHAnsi" w:hAnsiTheme="minorHAnsi" w:eastAsiaTheme="minorEastAsia" w:cstheme="minorBidi"/>
          <w:kern w:val="2"/>
          <w:sz w:val="21"/>
          <w:szCs w:val="24"/>
          <w:lang w:val="en-US" w:eastAsia="zh-CN" w:bidi="ar-SA"/>
        </w:rPr>
      </w:pPr>
    </w:p>
    <w:p w14:paraId="3DEA2786">
      <w:pPr>
        <w:bidi w:val="0"/>
        <w:jc w:val="both"/>
        <w:outlineLvl w:val="0"/>
        <w:rPr>
          <w:rFonts w:hint="eastAsia" w:cstheme="minorBidi"/>
          <w:kern w:val="2"/>
          <w:sz w:val="21"/>
          <w:szCs w:val="24"/>
          <w:lang w:val="en-US" w:eastAsia="zh-CN" w:bidi="ar-SA"/>
        </w:rPr>
      </w:pPr>
      <w:r>
        <w:rPr>
          <w:rFonts w:hint="eastAsia" w:cstheme="minorBidi"/>
          <w:kern w:val="2"/>
          <w:sz w:val="21"/>
          <w:szCs w:val="24"/>
          <w:lang w:val="en-US" w:eastAsia="zh-CN" w:bidi="ar-SA"/>
        </w:rPr>
        <w:t>3、方法</w:t>
      </w:r>
    </w:p>
    <w:p w14:paraId="52A8F6D3">
      <w:pPr>
        <w:bidi w:val="0"/>
        <w:ind w:firstLine="420" w:firstLineChars="200"/>
        <w:jc w:val="left"/>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我们的方法由三个连续阶段构成。首先，Behavior Profiling 在目标语义邻域内构造 Target、Equivalent、Boundary 和 Normal 输入，并获得恶意客户端本地模型的完整行为结构。其次，Behavior Transfer Analysis 比较聚合前后的行为剖面，并利用 BTF 与区域偏移刻画 Local-to-Global behavior distortion；同时通过 Region-wise Aggregation Interference 分析不同区域的异质变化。最后，Behavior Profile Feedback Correction 利用真实 Global Behavior Profile 形成下一轮反馈，自适应补偿目标行为并约束非目标区域，从而提高后门行为经过联邦聚合后的传递保真度。</w:t>
      </w:r>
    </w:p>
    <w:p w14:paraId="3744FA12">
      <w:pPr>
        <w:bidi w:val="0"/>
        <w:ind w:firstLine="420" w:firstLineChars="200"/>
        <w:jc w:val="left"/>
        <w:outlineLvl w:val="9"/>
        <w:rPr>
          <w:rFonts w:hint="default" w:asciiTheme="minorHAnsi" w:hAnsiTheme="minorHAnsi" w:eastAsiaTheme="minorEastAsia" w:cstheme="minorBidi"/>
          <w:kern w:val="2"/>
          <w:sz w:val="21"/>
          <w:szCs w:val="24"/>
          <w:lang w:val="en-US" w:eastAsia="zh-CN" w:bidi="ar-SA"/>
        </w:rPr>
      </w:pPr>
      <w:bookmarkStart w:id="0" w:name="_GoBack"/>
      <w:bookmarkEnd w:id="0"/>
    </w:p>
    <w:p w14:paraId="7C419557">
      <w:pPr>
        <w:bidi w:val="0"/>
        <w:jc w:val="left"/>
        <w:outlineLvl w:val="1"/>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3.1 Motivation: ASR-Based Evaluation 的盲区</w:t>
      </w:r>
    </w:p>
    <w:p w14:paraId="789DCEAA">
      <w:pPr>
        <w:bidi w:val="0"/>
        <w:ind w:firstLine="395"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现有联邦后门评价通常比较本地或攻击阶段的目标 ASR 与聚合后全局 ASR，以判断恶意行为是否能够抵抗正常更新的稀释。该评价将后门隐式视为一个标量属性：若目标 ASR 在聚合后仍然较高，则认为攻击被成功传递。</w:t>
      </w:r>
    </w:p>
    <w:p w14:paraId="3770A9B9">
      <w:pPr>
        <w:bidi w:val="0"/>
        <w:ind w:firstLine="395"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我们首先检验这一假设。对于同一个后门，我们分别评估恶意客户端本地训练结束后的模型和服务器聚合后的全局模型。不同于仅测试目标输入，我们在攻击目标附近构造具有不同语义关系和行为期望的输入集合。【待实验 Figure </w:t>
      </w:r>
      <w:r>
        <w:rPr>
          <w:rFonts w:hint="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】显示，即使 Target 区域上的攻击成功率在聚合前后变化有限，模型对目标邻近输入的响应仍可能发生显著改变。尤其是在 Boundary 区域，部分原本保持正常行为的输入在聚合后开始产生攻击目标响应，而远离目标的普通输入变化相对有限。这一现象表明，联邦聚合造成的变化并非简单的攻击整体衰减，而是一种局部行为边界重塑。因此，仅使用目标 ASR 无法充分刻画后门从本地模型向全局模型的实际传递结果。为系统分析这一问题，我们首先需要从“单点攻击成功”转向对完整后门行为结构的刻画。</w:t>
      </w:r>
    </w:p>
    <w:p w14:paraId="06CE07D4">
      <w:pPr>
        <w:bidi w:val="0"/>
        <w:ind w:firstLine="395" w:firstLineChars="0"/>
        <w:jc w:val="both"/>
        <w:rPr>
          <w:rFonts w:hint="default" w:asciiTheme="minorHAnsi" w:hAnsiTheme="minorHAnsi" w:eastAsiaTheme="minorEastAsia" w:cstheme="minorBidi"/>
          <w:kern w:val="2"/>
          <w:sz w:val="21"/>
          <w:szCs w:val="24"/>
          <w:lang w:val="en-US" w:eastAsia="zh-CN" w:bidi="ar-SA"/>
        </w:rPr>
      </w:pPr>
    </w:p>
    <w:p w14:paraId="2D65BE55">
      <w:pPr>
        <w:bidi w:val="0"/>
        <w:jc w:val="both"/>
        <w:outlineLvl w:val="1"/>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3.2 Formalizing Backdoor Behavior Transfer</w:t>
      </w:r>
    </w:p>
    <w:p w14:paraId="6BE4AF8D">
      <w:pPr>
        <w:bidi w:val="0"/>
        <w:ind w:firstLine="480" w:firstLineChars="0"/>
        <w:jc w:val="both"/>
        <w:rPr>
          <w:rFonts w:hint="eastAsia" w:hAnsi="Cambria Math" w:cstheme="minorBidi"/>
          <w:i w:val="0"/>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设模型为</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f</m:t>
            </m:r>
            <m:ctrlPr>
              <w:rPr>
                <w:rFonts w:ascii="Cambria Math" w:hAnsi="Cambria Math" w:cstheme="minorBidi"/>
                <w:i/>
                <w:kern w:val="2"/>
                <w:sz w:val="21"/>
                <w:szCs w:val="24"/>
                <w:lang w:val="en-US" w:bidi="ar-SA"/>
              </w:rPr>
            </m:ctrlPr>
          </m:e>
          <m:sub>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，攻击者预先定义目标行为</w:t>
      </w:r>
      <m:oMath>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y</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m:t>
            </m:r>
            <m:ctrlPr>
              <w:rPr>
                <w:rFonts w:ascii="Cambria Math" w:hAnsi="Cambria Math" w:cstheme="minorBidi"/>
                <w:i/>
                <w:kern w:val="2"/>
                <w:sz w:val="21"/>
                <w:szCs w:val="24"/>
                <w:lang w:val="en-US" w:bidi="ar-SA"/>
              </w:rPr>
            </m:ctrlPr>
          </m:sup>
        </m:sSup>
      </m:oMath>
      <w:r>
        <w:rPr>
          <w:rFonts w:hint="eastAsia" w:hAnsi="Cambria Math" w:cstheme="minorBidi"/>
          <w:i w:val="0"/>
          <w:kern w:val="2"/>
          <w:sz w:val="21"/>
          <w:szCs w:val="24"/>
          <w:lang w:val="en-US" w:eastAsia="zh-CN" w:bidi="ar-SA"/>
        </w:rPr>
        <w:t>。对于输入</w:t>
      </w:r>
      <m:oMath>
        <m:r>
          <m:rPr/>
          <w:rPr>
            <w:rFonts w:hint="default" w:ascii="Cambria Math" w:hAnsi="Cambria Math" w:cstheme="minorBidi"/>
            <w:kern w:val="2"/>
            <w:sz w:val="21"/>
            <w:szCs w:val="24"/>
            <w:lang w:val="en-US" w:eastAsia="zh-CN" w:bidi="ar-SA"/>
          </w:rPr>
          <m:t>x</m:t>
        </m:r>
      </m:oMath>
      <w:r>
        <m:rPr/>
        <w:rPr>
          <w:rFonts w:hint="eastAsia" w:hAnsi="Cambria Math" w:cstheme="minorBidi"/>
          <w:i w:val="0"/>
          <w:kern w:val="2"/>
          <w:sz w:val="21"/>
          <w:szCs w:val="24"/>
          <w:lang w:val="en-US" w:eastAsia="zh-CN" w:bidi="ar-SA"/>
        </w:rPr>
        <w:t>，令</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a</m:t>
            </m:r>
            <m:ctrlPr>
              <w:rPr>
                <w:rFonts w:ascii="Cambria Math" w:hAnsi="Cambria Math" w:cstheme="minorBidi"/>
                <w:i/>
                <w:kern w:val="2"/>
                <w:sz w:val="21"/>
                <w:szCs w:val="24"/>
                <w:lang w:val="en-US" w:bidi="ar-SA"/>
              </w:rPr>
            </m:ctrlPr>
          </m:e>
          <m:sub>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(x)</m:t>
        </m:r>
        <m:r>
          <m:rPr/>
          <w:rPr>
            <w:rFonts w:hint="default" w:ascii="Cambria Math" w:hAnsi="Cambria Math" w:cs="Cambria Math"/>
            <w:kern w:val="2"/>
            <w:sz w:val="21"/>
            <w:szCs w:val="24"/>
            <w:lang w:val="en-US" w:eastAsia="zh-CN" w:bidi="ar-SA"/>
          </w:rPr>
          <m:t>∈</m:t>
        </m:r>
        <m:r>
          <m:rPr/>
          <w:rPr>
            <w:rFonts w:hint="default" w:ascii="Cambria Math" w:hAnsi="Cambria Math" w:cstheme="minorBidi"/>
            <w:kern w:val="2"/>
            <w:sz w:val="21"/>
            <w:szCs w:val="24"/>
            <w:lang w:val="en-US" w:eastAsia="zh-CN" w:bidi="ar-SA"/>
          </w:rPr>
          <m:t>[0,1]</m:t>
        </m:r>
      </m:oMath>
      <w:r>
        <m:rPr/>
        <w:rPr>
          <w:rFonts w:hint="default" w:hAnsi="Cambria Math" w:cstheme="minorBidi"/>
          <w:i w:val="0"/>
          <w:kern w:val="2"/>
          <w:sz w:val="21"/>
          <w:szCs w:val="24"/>
          <w:lang w:val="en-US" w:eastAsia="zh-CN" w:bidi="ar-SA"/>
        </w:rPr>
        <w:t>表示模型产生攻击目标行为的程度。对于离散预测任务，</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a</m:t>
            </m:r>
            <m:ctrlPr>
              <w:rPr>
                <w:rFonts w:ascii="Cambria Math" w:hAnsi="Cambria Math" w:cstheme="minorBidi"/>
                <w:i/>
                <w:kern w:val="2"/>
                <w:sz w:val="21"/>
                <w:szCs w:val="24"/>
                <w:lang w:val="en-US" w:bidi="ar-SA"/>
              </w:rPr>
            </m:ctrlPr>
          </m:e>
          <m:sub>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(x)</m:t>
        </m:r>
      </m:oMath>
      <w:r>
        <m:rPr/>
        <w:rPr>
          <w:rFonts w:hint="default" w:hAnsi="Cambria Math" w:cstheme="minorBidi"/>
          <w:i w:val="0"/>
          <w:kern w:val="2"/>
          <w:sz w:val="21"/>
          <w:szCs w:val="24"/>
          <w:lang w:val="en-US" w:eastAsia="zh-CN" w:bidi="ar-SA"/>
        </w:rPr>
        <w:t>可由目标标签预测概率或攻击成功指示函数获得；对于开放式生成任务，可由固定行为判别器计算。围绕攻击目标，我们构造四类输入集合：</w:t>
      </w:r>
      <m:oMath>
        <m:r>
          <m:rPr/>
          <w:rPr>
            <w:rFonts w:ascii="Cambria Math" w:hAnsi="Cambria Math" w:cstheme="minorBidi"/>
            <w:kern w:val="2"/>
            <w:sz w:val="21"/>
            <w:szCs w:val="24"/>
            <w:lang w:val="en-US" w:bidi="ar-SA"/>
          </w:rPr>
          <m:t>χ</m:t>
        </m:r>
        <m:r>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m:t>
            </m:r>
            <m:ctrlPr>
              <w:rPr>
                <w:rFonts w:hint="default" w:ascii="Cambria Math" w:hAnsi="Cambria Math" w:cstheme="minorBidi"/>
                <w:i/>
                <w:kern w:val="2"/>
                <w:sz w:val="21"/>
                <w:szCs w:val="24"/>
                <w:lang w:val="en-US" w:eastAsia="zh-CN" w:bidi="ar-SA"/>
              </w:rPr>
            </m:ctrlPr>
          </m:sub>
        </m:sSub>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Cambria Math"/>
                <w:kern w:val="2"/>
                <w:sz w:val="21"/>
                <w:szCs w:val="24"/>
                <w:lang w:val="en-US" w:eastAsia="zh-CN" w:bidi="ar-SA"/>
              </w:rPr>
              <m:t>∪</m:t>
            </m:r>
            <m:r>
              <m:rPr/>
              <w:rPr>
                <w:rFonts w:ascii="Cambria Math" w:hAnsi="Cambria Math" w:cstheme="minorBidi"/>
                <w:kern w:val="2"/>
                <w:sz w:val="21"/>
                <w:szCs w:val="24"/>
                <w:lang w:val="en-US" w:bidi="ar-SA"/>
              </w:rPr>
              <m:t>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w:t>
      </w:r>
    </w:p>
    <w:p w14:paraId="1363878F">
      <w:pPr>
        <w:bidi w:val="0"/>
        <w:ind w:firstLine="480" w:firstLineChars="0"/>
        <w:jc w:val="both"/>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Target.</w:t>
      </w:r>
      <m:oMath>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oMath>
      <w:r>
        <w:rPr>
          <w:rFonts w:hint="default" w:hAnsi="Cambria Math" w:cstheme="minorBidi"/>
          <w:i w:val="0"/>
          <w:kern w:val="2"/>
          <w:sz w:val="21"/>
          <w:szCs w:val="24"/>
          <w:lang w:val="en-US" w:eastAsia="zh-CN" w:bidi="ar-SA"/>
        </w:rPr>
        <w:t>包含攻击者明确希望产生目标行为的输入，用于刻画后门的核心攻击能力。Equivalent.</w:t>
      </w:r>
      <m:oMath>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m:t>
            </m:r>
            <m:ctrlPr>
              <w:rPr>
                <w:rFonts w:hint="default" w:ascii="Cambria Math" w:hAnsi="Cambria Math" w:cstheme="minorBidi"/>
                <w:i/>
                <w:kern w:val="2"/>
                <w:sz w:val="21"/>
                <w:szCs w:val="24"/>
                <w:lang w:val="en-US" w:eastAsia="zh-CN" w:bidi="ar-SA"/>
              </w:rPr>
            </m:ctrlPr>
          </m:sub>
        </m:sSub>
      </m:oMath>
      <w:r>
        <w:rPr>
          <w:rFonts w:hint="default" w:hAnsi="Cambria Math" w:cstheme="minorBidi"/>
          <w:i w:val="0"/>
          <w:kern w:val="2"/>
          <w:sz w:val="21"/>
          <w:szCs w:val="24"/>
          <w:lang w:val="en-US" w:eastAsia="zh-CN" w:bidi="ar-SA"/>
        </w:rPr>
        <w:t>包含与目标输入语义等价、但表面表达不同的输入，用于衡量攻击在预期语义范围内的稳定性。Boundary.</w:t>
      </w:r>
      <m:oMath>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sub>
        </m:sSub>
      </m:oMath>
      <w:r>
        <w:rPr>
          <w:rFonts w:hint="default" w:hAnsi="Cambria Math" w:cstheme="minorBidi"/>
          <w:i w:val="0"/>
          <w:kern w:val="2"/>
          <w:sz w:val="21"/>
          <w:szCs w:val="24"/>
          <w:lang w:val="en-US" w:eastAsia="zh-CN" w:bidi="ar-SA"/>
        </w:rPr>
        <w:t>包含与目标高度相关但不满足攻击条件的输入。该区域位于攻击语义边界附近，因而能够揭示后门是否发生非预期扩张。Normal.</w:t>
      </w:r>
      <m:oMath>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b>
        </m:sSub>
      </m:oMath>
      <w:r>
        <w:rPr>
          <w:rFonts w:hint="default" w:hAnsi="Cambria Math" w:cstheme="minorBidi"/>
          <w:i w:val="0"/>
          <w:kern w:val="2"/>
          <w:sz w:val="21"/>
          <w:szCs w:val="24"/>
          <w:lang w:val="en-US" w:eastAsia="zh-CN" w:bidi="ar-SA"/>
        </w:rPr>
        <w:t>包含与攻击目标语义距离较远的一般输入，用于衡量更广泛的行为泄漏。</w:t>
      </w:r>
    </w:p>
    <w:p w14:paraId="6D91B780">
      <w:pPr>
        <w:bidi w:val="0"/>
        <w:ind w:firstLine="480" w:firstLineChars="0"/>
        <w:jc w:val="both"/>
        <m:r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 xml:space="preserve">对于任一区域 </w:t>
      </w:r>
      <m:oMath>
        <m:r>
          <m:rPr/>
          <w:rPr>
            <w:rFonts w:hint="default" w:ascii="Cambria Math" w:hAnsi="Cambria Math" w:cstheme="minorBidi"/>
            <w:kern w:val="2"/>
            <w:sz w:val="21"/>
            <w:szCs w:val="24"/>
            <w:lang w:val="en-US" w:eastAsia="zh-CN" w:bidi="ar-SA"/>
          </w:rPr>
          <m:t>r</m:t>
        </m:r>
        <m:r>
          <m:rPr/>
          <w:rPr>
            <w:rFonts w:hint="default" w:ascii="Cambria Math" w:hAnsi="Cambria Math" w:cs="Cambria Math"/>
            <w:kern w:val="2"/>
            <w:sz w:val="21"/>
            <w:szCs w:val="24"/>
            <w:lang w:val="en-US" w:eastAsia="zh-CN" w:bidi="ar-SA"/>
          </w:rPr>
          <m:t>∈</m:t>
        </m:r>
        <m:r>
          <m:rPr/>
          <w:rPr>
            <w:rFonts w:hint="default" w:ascii="Cambria Math" w:hAnsi="Cambria Math" w:cstheme="minorBidi"/>
            <w:kern w:val="2"/>
            <w:sz w:val="21"/>
            <w:szCs w:val="24"/>
            <w:lang w:val="en-US" w:eastAsia="zh-CN" w:bidi="ar-SA"/>
          </w:rPr>
          <m:t>{T,E,B,N}</m:t>
        </m:r>
      </m:oMath>
      <w:r>
        <m:rPr/>
        <w:rPr>
          <w:rFonts w:hint="eastAsia" w:hAnsi="Cambria Math" w:cstheme="minorBidi"/>
          <w:i w:val="0"/>
          <w:kern w:val="2"/>
          <w:sz w:val="21"/>
          <w:szCs w:val="24"/>
          <w:lang w:val="en-US" w:eastAsia="zh-CN" w:bidi="ar-SA"/>
        </w:rPr>
        <w:t>，定义区域激活率：</w:t>
      </w:r>
    </w:p>
    <w:p w14:paraId="0368747E">
      <w:pPr>
        <w:bidi w:val="0"/>
        <w:ind w:firstLine="480" w:firstLineChars="0"/>
        <w:jc w:val="both"/>
        <m:rPr/>
        <w:rPr>
          <w:rFonts w:hint="default" w:hAnsi="Cambria Math" w:cstheme="minorBidi"/>
          <w:i w:val="0"/>
          <w:kern w:val="2"/>
          <w:sz w:val="21"/>
          <w:szCs w:val="24"/>
          <w:lang w:val="en-US" w:eastAsia="zh-CN" w:bidi="ar-SA"/>
        </w:rPr>
      </w:pPr>
      <m:oMathPara>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A</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box>
            <m:boxPr>
              <m:ctrlPr>
                <m:rPr/>
                <w:rPr>
                  <w:rFonts w:hint="default" w:ascii="Cambria Math" w:hAnsi="Cambria Math" w:cstheme="minorBidi"/>
                  <w:i/>
                  <w:kern w:val="2"/>
                  <w:sz w:val="21"/>
                  <w:szCs w:val="24"/>
                  <w:lang w:val="en-US" w:eastAsia="zh-CN" w:bidi="ar-SA"/>
                </w:rPr>
              </m:ctrlPr>
            </m:boxPr>
            <m:e>
              <m:argPr>
                <m:argSz m:val="-1"/>
              </m:argPr>
              <m:f>
                <m:fPr>
                  <m:ctrlPr>
                    <m:r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m:rPr/>
                    <w:rPr>
                      <w:rFonts w:hint="default" w:ascii="Cambria Math" w:hAnsi="Cambria Math" w:cstheme="minorBidi"/>
                      <w:i/>
                      <w:kern w:val="2"/>
                      <w:sz w:val="21"/>
                      <w:szCs w:val="24"/>
                      <w:lang w:val="en-US" w:eastAsia="zh-CN" w:bidi="ar-SA"/>
                    </w:rPr>
                  </m:ctrlPr>
                </m:num>
                <m:den>
                  <m:d>
                    <m:dPr>
                      <m:begChr m:val="|"/>
                      <m:endChr m:val="|"/>
                      <m:ctrlPr>
                        <m:rPr/>
                        <w:rPr>
                          <w:rFonts w:hint="default" w:ascii="Cambria Math" w:hAnsi="Cambria Math" w:cstheme="minorBidi"/>
                          <w:i/>
                          <w:kern w:val="2"/>
                          <w:sz w:val="21"/>
                          <w:szCs w:val="24"/>
                          <w:lang w:val="en-US" w:eastAsia="zh-CN" w:bidi="ar-SA"/>
                        </w:rPr>
                      </m:ctrlPr>
                    </m:dPr>
                    <m:e>
                      <m:sSub>
                        <m:sSubPr>
                          <m:ctrlPr>
                            <m:r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sub>
                      </m:sSub>
                      <m:ctrlPr>
                        <m:rPr/>
                        <w:rPr>
                          <w:rFonts w:hint="default" w:ascii="Cambria Math" w:hAnsi="Cambria Math" w:cstheme="minorBidi"/>
                          <w:i/>
                          <w:kern w:val="2"/>
                          <w:sz w:val="21"/>
                          <w:szCs w:val="24"/>
                          <w:lang w:val="en-US" w:eastAsia="zh-CN" w:bidi="ar-SA"/>
                        </w:rPr>
                      </m:ctrlPr>
                    </m:e>
                  </m:d>
                  <m:ctrlPr>
                    <m:rPr/>
                    <w:rPr>
                      <w:rFonts w:hint="default" w:ascii="Cambria Math" w:hAnsi="Cambria Math" w:cstheme="minorBidi"/>
                      <w:i/>
                      <w:kern w:val="2"/>
                      <w:sz w:val="21"/>
                      <w:szCs w:val="24"/>
                      <w:lang w:val="en-US" w:eastAsia="zh-CN" w:bidi="ar-SA"/>
                    </w:rPr>
                  </m:ctrlPr>
                </m:den>
              </m:f>
              <m:ctrlPr>
                <m:rPr/>
                <w:rPr>
                  <w:rFonts w:hint="default" w:ascii="Cambria Math" w:hAnsi="Cambria Math" w:cstheme="minorBidi"/>
                  <w:i/>
                  <w:kern w:val="2"/>
                  <w:sz w:val="21"/>
                  <w:szCs w:val="24"/>
                  <w:lang w:val="en-US" w:eastAsia="zh-CN" w:bidi="ar-SA"/>
                </w:rPr>
              </m:ctrlPr>
            </m:e>
          </m:box>
          <m:nary>
            <m:naryPr>
              <m:chr m:val="∑"/>
              <m:limLoc m:val="undOvr"/>
              <m:supHide m:val="1"/>
              <m:ctrlPr>
                <m:r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x</m:t>
              </m:r>
              <m:r>
                <m:rPr/>
                <w:rPr>
                  <w:rFonts w:ascii="Cambria Math" w:hAnsi="Cambria Math" w:cstheme="minorBidi"/>
                  <w:kern w:val="2"/>
                  <w:sz w:val="21"/>
                  <w:szCs w:val="24"/>
                  <w:lang w:val="en-US" w:bidi="ar-SA"/>
                </w:rPr>
                <m:t>∈</m:t>
              </m:r>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w:rPr>
                      <w:rFonts w:hint="default" w:ascii="Cambria Math" w:hAnsi="Cambria Math" w:cstheme="minorBidi"/>
                      <w:i/>
                      <w:kern w:val="2"/>
                      <w:sz w:val="21"/>
                      <w:szCs w:val="24"/>
                      <w:lang w:val="en-US" w:eastAsia="zh-CN" w:bidi="ar-SA"/>
                    </w:rPr>
                  </m:ctrlPr>
                </m:sub>
              </m:sSub>
              <m:ctrlPr>
                <m:rPr/>
                <w:rPr>
                  <w:rFonts w:hint="default" w:ascii="Cambria Math" w:hAnsi="Cambria Math" w:cstheme="minorBidi"/>
                  <w:i/>
                  <w:kern w:val="2"/>
                  <w:sz w:val="21"/>
                  <w:szCs w:val="24"/>
                  <w:lang w:val="en-US" w:eastAsia="zh-CN" w:bidi="ar-SA"/>
                </w:rPr>
              </m:ctrlPr>
            </m:sub>
            <m:sup>
              <m:ctrlPr>
                <m:rPr/>
                <w:rPr>
                  <w:rFonts w:hint="default" w:ascii="Cambria Math" w:hAnsi="Cambria Math" w:cstheme="minorBidi"/>
                  <w:i/>
                  <w:kern w:val="2"/>
                  <w:sz w:val="21"/>
                  <w:szCs w:val="24"/>
                  <w:lang w:val="en-US" w:eastAsia="zh-CN" w:bidi="ar-SA"/>
                </w:rPr>
              </m:ctrlPr>
            </m:sup>
            <m:e>
              <m:sSub>
                <m:sSubPr>
                  <m:ctrlPr>
                    <m:r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α</m:t>
                  </m:r>
                  <m:ctrlPr>
                    <m:rPr/>
                    <w:rPr>
                      <w:rFonts w:hint="default" w:ascii="Cambria Math" w:hAnsi="Cambria Math" w:cstheme="minorBidi"/>
                      <w:i/>
                      <w:kern w:val="2"/>
                      <w:sz w:val="21"/>
                      <w:szCs w:val="24"/>
                      <w:lang w:val="en-US" w:eastAsia="zh-CN" w:bidi="ar-SA"/>
                    </w:rPr>
                  </m:ctrlPr>
                </m:e>
                <m:sub>
                  <m:r>
                    <m:rPr/>
                    <w:rPr>
                      <w:rFonts w:ascii="Cambria Math" w:hAnsi="Cambria Math" w:cstheme="minorBidi"/>
                      <w:kern w:val="2"/>
                      <w:sz w:val="21"/>
                      <w:szCs w:val="24"/>
                      <w:lang w:val="en-US" w:bidi="ar-SA"/>
                    </w:rPr>
                    <m:t>θ</m:t>
                  </m:r>
                  <m:ctrlPr>
                    <m:r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(x)</m:t>
              </m:r>
              <m:ctrlPr>
                <m:rPr/>
                <w:rPr>
                  <w:rFonts w:hint="default" w:ascii="Cambria Math" w:hAnsi="Cambria Math" w:cstheme="minorBidi"/>
                  <w:i/>
                  <w:kern w:val="2"/>
                  <w:sz w:val="21"/>
                  <w:szCs w:val="24"/>
                  <w:lang w:val="en-US" w:eastAsia="zh-CN" w:bidi="ar-SA"/>
                </w:rPr>
              </m:ctrlPr>
            </m:e>
          </m:nary>
        </m:oMath>
      </m:oMathPara>
    </w:p>
    <w:p w14:paraId="28323A11">
      <w:pPr>
        <w:bidi w:val="0"/>
        <w:ind w:firstLine="480" w:firstLineChars="0"/>
        <w:jc w:val="both"/>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进一步定义模型的行为剖面：</w:t>
      </w:r>
    </w:p>
    <w:p w14:paraId="4B88575A">
      <w:pPr>
        <w:bidi w:val="0"/>
        <w:ind w:firstLine="480" w:firstLineChars="0"/>
        <w:jc w:val="both"/>
        <m:rPr/>
        <w:rPr>
          <w:rFonts w:hint="default" w:hAnsi="Cambria Math" w:cstheme="minorBidi"/>
          <w:i w:val="0"/>
          <w:kern w:val="2"/>
          <w:sz w:val="21"/>
          <w:szCs w:val="24"/>
          <w:lang w:val="en-US" w:eastAsia="zh-CN" w:bidi="ar-SA"/>
        </w:rPr>
      </w:pPr>
      <m:oMathPara>
        <m:oMath>
          <m:r>
            <m:rPr/>
            <w:rPr>
              <w:rFonts w:ascii="Cambria Math" w:hAnsi="Cambria Math" w:cstheme="minorBidi"/>
              <w:kern w:val="2"/>
              <w:sz w:val="21"/>
              <w:szCs w:val="24"/>
              <w:lang w:val="en-US" w:bidi="ar-SA"/>
            </w:rPr>
            <m:t>Β</m:t>
          </m:r>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m:t>
          </m:r>
        </m:oMath>
      </m:oMathPara>
    </w:p>
    <w:p w14:paraId="5B99670B">
      <w:pPr>
        <w:bidi w:val="0"/>
        <w:ind w:firstLine="480" w:firstLineChars="0"/>
        <w:jc w:val="both"/>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理想后门应在 Target 和 Equivalent 区域具有较高激活，同时在 Boundary 和 Normal 区域维持较低激活。因此，</w:t>
      </w:r>
      <m:oMath>
        <m:r>
          <m:rPr/>
          <w:rPr>
            <w:rFonts w:ascii="Cambria Math" w:hAnsi="Cambria Math" w:cstheme="minorBidi"/>
            <w:kern w:val="2"/>
            <w:sz w:val="21"/>
            <w:szCs w:val="24"/>
            <w:lang w:val="en-US" w:bidi="ar-SA"/>
          </w:rPr>
          <m:t>Β</m:t>
        </m:r>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oMath>
      <w:r>
        <m:rPr/>
        <w:rPr>
          <w:rFonts w:hint="default" w:hAnsi="Cambria Math" w:cstheme="minorBidi"/>
          <w:i w:val="0"/>
          <w:kern w:val="2"/>
          <w:sz w:val="21"/>
          <w:szCs w:val="24"/>
          <w:lang w:val="en-US" w:eastAsia="zh-CN" w:bidi="ar-SA"/>
        </w:rPr>
        <w:t xml:space="preserve"> 不仅描述后门的攻击强度，还显式描述其行为边界。</w:t>
      </w:r>
    </w:p>
    <w:p w14:paraId="464A8397">
      <w:pPr>
        <w:bidi w:val="0"/>
        <w:ind w:firstLine="480" w:firstLineChars="0"/>
        <w:jc w:val="both"/>
        <m:rPr/>
        <w:rPr>
          <w:rFonts w:hint="default" w:hAnsi="Cambria Math" w:cstheme="minorBidi"/>
          <w:i w:val="0"/>
          <w:kern w:val="2"/>
          <w:sz w:val="21"/>
          <w:szCs w:val="24"/>
          <w:lang w:val="en-US" w:eastAsia="zh-CN" w:bidi="ar-SA"/>
        </w:rPr>
      </w:pPr>
    </w:p>
    <w:p w14:paraId="592F9301">
      <w:pPr>
        <w:bidi w:val="0"/>
        <w:jc w:val="both"/>
        <w:outlineLvl w:val="1"/>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3.3 Local-to-Global Behavior Transfer Distortion</w:t>
      </w:r>
    </w:p>
    <w:p w14:paraId="23263EAC">
      <w:pPr>
        <w:bidi w:val="0"/>
        <w:ind w:firstLine="424" w:firstLineChars="0"/>
        <w:jc w:val="left"/>
        <w:rPr>
          <w:rFonts w:hint="eastAsia" w:hAnsi="Cambria Math" w:cstheme="minorBidi"/>
          <w:i w:val="0"/>
          <w:kern w:val="2"/>
          <w:sz w:val="21"/>
          <w:szCs w:val="24"/>
          <w:lang w:val="en-US" w:eastAsia="zh-CN" w:bidi="ar-SA"/>
        </w:rPr>
      </w:pPr>
      <w:r>
        <m:rPr/>
        <w:rPr>
          <w:rFonts w:hint="default" w:asciiTheme="minorHAnsi" w:hAnsiTheme="minorHAnsi" w:eastAsiaTheme="minorEastAsia" w:cstheme="minorBidi"/>
          <w:kern w:val="2"/>
          <w:sz w:val="21"/>
          <w:szCs w:val="24"/>
          <w:lang w:val="en-US" w:eastAsia="zh-CN" w:bidi="ar-SA"/>
        </w:rPr>
        <w:t>设第</w:t>
      </w:r>
      <m:oMath>
        <m:r>
          <m:rPr/>
          <w:rPr>
            <w:rFonts w:hint="default" w:ascii="Cambria Math" w:cstheme="minorBidi"/>
            <w:kern w:val="2"/>
            <w:sz w:val="21"/>
            <w:szCs w:val="24"/>
            <w:lang w:val="en-US" w:eastAsia="zh-CN" w:bidi="ar-SA"/>
          </w:rPr>
          <m:t xml:space="preserve"> </m:t>
        </m:r>
        <m:r>
          <m:rPr/>
          <w:rPr>
            <w:rFonts w:hint="default" w:ascii="Cambria Math" w:hAnsi="Cambria Math" w:cstheme="minorBidi"/>
            <w:kern w:val="2"/>
            <w:sz w:val="21"/>
            <w:szCs w:val="24"/>
            <w:lang w:val="en-US" w:eastAsia="zh-CN" w:bidi="ar-SA"/>
          </w:rPr>
          <m:t xml:space="preserve">t </m:t>
        </m:r>
      </m:oMath>
      <w:r>
        <m:rPr/>
        <w:rPr>
          <w:rFonts w:hint="default" w:asciiTheme="minorHAnsi" w:hAnsiTheme="minorHAnsi" w:eastAsiaTheme="minorEastAsia" w:cstheme="minorBidi"/>
          <w:kern w:val="2"/>
          <w:sz w:val="21"/>
          <w:szCs w:val="24"/>
          <w:lang w:val="en-US" w:eastAsia="zh-CN" w:bidi="ar-SA"/>
        </w:rPr>
        <w:t>轮开始时服务器广播模型参数</w:t>
      </w:r>
      <m:oMath>
        <m:sSup>
          <m:sSupPr>
            <m:ctrlPr>
              <w:rPr>
                <w:rFonts w:ascii="Cambria Math" w:hAnsi="Cambria Math" w:cstheme="minorBidi"/>
                <w:i/>
                <w:kern w:val="2"/>
                <w:sz w:val="21"/>
                <w:szCs w:val="24"/>
                <w:lang w:val="en-US" w:bidi="ar-SA"/>
              </w:rPr>
            </m:ctrlPr>
          </m:s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p>
      </m:oMath>
      <w:r>
        <w:rPr>
          <w:rFonts w:hint="eastAsia" w:hAnsi="Cambria Math" w:cstheme="minorBidi"/>
          <w:i w:val="0"/>
          <w:kern w:val="2"/>
          <w:sz w:val="21"/>
          <w:szCs w:val="24"/>
          <w:lang w:val="en-US" w:eastAsia="zh-CN" w:bidi="ar-SA"/>
        </w:rPr>
        <w:t>。恶意客户端完成本地攻击训练后得到：</w:t>
      </w:r>
    </w:p>
    <w:p w14:paraId="15E4EC67">
      <w:pPr>
        <w:bidi w:val="0"/>
        <w:ind w:firstLine="424" w:firstLineChars="0"/>
        <w:jc w:val="left"/>
        <w:rPr>
          <w:rFonts w:hAnsi="Cambria Math" w:cstheme="minorBidi"/>
          <w:i w:val="0"/>
          <w:kern w:val="2"/>
          <w:sz w:val="21"/>
          <w:szCs w:val="24"/>
          <w:lang w:val="en-US" w:bidi="ar-SA"/>
        </w:rPr>
      </w:pPr>
      <m:oMathPara>
        <m:oMath>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sSup>
            <m:sSupPr>
              <m:ctrlPr>
                <w:rPr>
                  <w:rFonts w:ascii="Cambria Math" w:hAnsi="Cambria Math" w:cstheme="minorBidi"/>
                  <w:i/>
                  <w:kern w:val="2"/>
                  <w:sz w:val="21"/>
                  <w:szCs w:val="24"/>
                  <w:lang w:val="en-US" w:bidi="ar-SA"/>
                </w:rPr>
              </m:ctrlPr>
            </m:s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m:t>
          </m:r>
          <m:r>
            <m:rPr/>
            <w:rPr>
              <w:rFonts w:hint="default" w:ascii="Cambria Math" w:hAnsi="Cambria Math" w:cs="Cambria Math"/>
              <w:kern w:val="2"/>
              <w:sz w:val="21"/>
              <w:szCs w:val="24"/>
              <w:lang w:val="en-US" w:eastAsia="zh-CN" w:bidi="ar-SA"/>
            </w:rPr>
            <m:t>Δ</m:t>
          </m:r>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m</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oMath>
      </m:oMathPara>
    </w:p>
    <w:p w14:paraId="78F66A4A">
      <w:pPr>
        <w:bidi w:val="0"/>
        <w:ind w:firstLine="424" w:firstLineChars="0"/>
        <w:jc w:val="left"/>
        <m:rPr/>
        <w:rPr>
          <w:rFonts w:hint="eastAsia"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服务器将该更新与本轮其他客户端更新共同聚合：</w:t>
      </w:r>
    </w:p>
    <w:p w14:paraId="19821358">
      <w:pPr>
        <w:bidi w:val="0"/>
        <w:ind w:firstLine="424" w:firstLineChars="0"/>
        <w:jc w:val="left"/>
        <m:rPr/>
        <w:rPr>
          <w:rFonts w:hint="default" w:hAnsi="Cambria Math" w:cstheme="minorBidi"/>
          <w:i w:val="0"/>
          <w:kern w:val="2"/>
          <w:sz w:val="21"/>
          <w:szCs w:val="24"/>
          <w:lang w:val="en-US" w:eastAsia="zh-CN" w:bidi="ar-SA"/>
        </w:rPr>
      </w:pPr>
      <m:oMathPara>
        <m:oMath>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G</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t+1</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sSup>
            <m:sSupPr>
              <m:ctrlPr>
                <w:rPr>
                  <w:rFonts w:ascii="Cambria Math" w:hAnsi="Cambria Math" w:cstheme="minorBidi"/>
                  <w:i/>
                  <w:kern w:val="2"/>
                  <w:sz w:val="21"/>
                  <w:szCs w:val="24"/>
                  <w:lang w:val="en-US" w:bidi="ar-SA"/>
                </w:rPr>
              </m:ctrlPr>
            </m:s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m:t>
          </m:r>
          <m:nary>
            <m:naryPr>
              <m:chr m:val="∑"/>
              <m:limLoc m:val="undOvr"/>
              <m:supHide m:val="1"/>
              <m:ctrlPr>
                <m:r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m:t>
              </m:r>
              <m:r>
                <m:rPr/>
                <w:rPr>
                  <w:rFonts w:ascii="Cambria Math" w:hAnsi="Cambria Math" w:cstheme="minorBidi"/>
                  <w:kern w:val="2"/>
                  <w:sz w:val="21"/>
                  <w:szCs w:val="24"/>
                  <w:lang w:val="en-US" w:bidi="ar-SA"/>
                </w:rPr>
                <m:t>∈</m:t>
              </m:r>
              <m:sSub>
                <m:sSubPr>
                  <m:ctrlPr>
                    <m:rPr/>
                    <w:rPr>
                      <w:rFonts w:ascii="Cambria Math" w:hAnsi="Cambria Math" w:cstheme="minorBidi"/>
                      <w:i/>
                      <w:kern w:val="2"/>
                      <w:sz w:val="21"/>
                      <w:szCs w:val="24"/>
                      <w:lang w:val="en-US" w:bidi="ar-SA"/>
                    </w:rPr>
                  </m:ctrlPr>
                </m:sSubPr>
                <m:e>
                  <m:r>
                    <m:rPr/>
                    <w:rPr>
                      <w:rFonts w:ascii="Cambria Math" w:hAnsi="Cambria Math" w:cstheme="minorBidi"/>
                      <w:kern w:val="2"/>
                      <w:sz w:val="21"/>
                      <w:szCs w:val="24"/>
                      <w:lang w:val="en-US" w:bidi="ar-SA"/>
                    </w:rPr>
                    <m:t>κ</m:t>
                  </m:r>
                  <m:ctrlPr>
                    <m:r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t</m:t>
                  </m:r>
                  <m:ctrlPr>
                    <m:rPr/>
                    <w:rPr>
                      <w:rFonts w:ascii="Cambria Math" w:hAnsi="Cambria Math" w:cstheme="minorBidi"/>
                      <w:i/>
                      <w:kern w:val="2"/>
                      <w:sz w:val="21"/>
                      <w:szCs w:val="24"/>
                      <w:lang w:val="en-US" w:bidi="ar-SA"/>
                    </w:rPr>
                  </m:ctrlPr>
                </m:sub>
              </m:sSub>
              <m:ctrlPr>
                <m:rPr/>
                <w:rPr>
                  <w:rFonts w:hint="default" w:ascii="Cambria Math" w:hAnsi="Cambria Math" w:cstheme="minorBidi"/>
                  <w:i/>
                  <w:kern w:val="2"/>
                  <w:sz w:val="21"/>
                  <w:szCs w:val="24"/>
                  <w:lang w:val="en-US" w:eastAsia="zh-CN" w:bidi="ar-SA"/>
                </w:rPr>
              </m:ctrlPr>
            </m:sub>
            <m:sup>
              <m:ctrlPr>
                <m:rPr/>
                <w:rPr>
                  <w:rFonts w:hint="default" w:ascii="Cambria Math" w:hAnsi="Cambria Math" w:cstheme="minorBidi"/>
                  <w:i/>
                  <w:kern w:val="2"/>
                  <w:sz w:val="21"/>
                  <w:szCs w:val="24"/>
                  <w:lang w:val="en-US" w:eastAsia="zh-CN" w:bidi="ar-SA"/>
                </w:rPr>
              </m:ctrlPr>
            </m:sup>
            <m:e>
              <m:sSubSup>
                <m:sSubSupPr>
                  <m:ctrlPr>
                    <m:r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α</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p>
              </m:sSubSup>
              <m:r>
                <m:rPr/>
                <w:rPr>
                  <w:rFonts w:ascii="Cambria Math" w:hAnsi="Cambria Math" w:cstheme="minorBidi"/>
                  <w:kern w:val="2"/>
                  <w:sz w:val="21"/>
                  <w:szCs w:val="24"/>
                  <w:lang w:val="en-US" w:bidi="ar-SA"/>
                </w:rPr>
                <m:t>Δ</m:t>
              </m:r>
              <m:sSubSup>
                <m:sSubSupPr>
                  <m:ctrlPr>
                    <m:r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m:r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m:r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m:rPr/>
                    <w:rPr>
                      <w:rFonts w:ascii="Cambria Math" w:hAnsi="Cambria Math" w:cstheme="minorBidi"/>
                      <w:i/>
                      <w:kern w:val="2"/>
                      <w:sz w:val="21"/>
                      <w:szCs w:val="24"/>
                      <w:lang w:val="en-US" w:bidi="ar-SA"/>
                    </w:rPr>
                  </m:ctrlPr>
                </m:sup>
              </m:sSubSup>
              <m:ctrlPr>
                <m:rPr/>
                <w:rPr>
                  <w:rFonts w:hint="default" w:ascii="Cambria Math" w:hAnsi="Cambria Math" w:cstheme="minorBidi"/>
                  <w:i/>
                  <w:kern w:val="2"/>
                  <w:sz w:val="21"/>
                  <w:szCs w:val="24"/>
                  <w:lang w:val="en-US" w:eastAsia="zh-CN" w:bidi="ar-SA"/>
                </w:rPr>
              </m:ctrlPr>
            </m:e>
          </m:nary>
        </m:oMath>
      </m:oMathPara>
    </w:p>
    <w:p w14:paraId="78B44FCF">
      <w:pPr>
        <w:bidi w:val="0"/>
        <w:ind w:firstLine="424" w:firstLineChars="0"/>
        <w:jc w:val="left"/>
        <m:rPr/>
        <w:rPr>
          <w:rFonts w:hint="eastAsia"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分别计算 Local 和 Global Behavior Profile：</w:t>
      </w:r>
    </w:p>
    <w:p w14:paraId="0D684F9B">
      <w:pPr>
        <w:bidi w:val="0"/>
        <w:ind w:firstLine="424" w:firstLineChars="0"/>
        <w:jc w:val="left"/>
        <m:rPr/>
        <w:rPr>
          <w:rFonts w:hint="default" w:hAnsi="Cambria Math" w:cstheme="minorBidi"/>
          <w:i w:val="0"/>
          <w:kern w:val="2"/>
          <w:sz w:val="21"/>
          <w:szCs w:val="24"/>
          <w:lang w:val="en-US" w:eastAsia="zh-CN" w:bidi="ar-SA"/>
        </w:rPr>
      </w:pPr>
      <m:oMathPara>
        <m:oMath>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Β</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=B(</m:t>
          </m:r>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 xml:space="preserve">),  </m:t>
          </m:r>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Β</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G</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t+1</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=B(</m:t>
          </m:r>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G</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t+1</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 xml:space="preserve">) </m:t>
          </m:r>
        </m:oMath>
      </m:oMathPara>
    </w:p>
    <w:p w14:paraId="1F1DCF6F">
      <w:pPr>
        <w:bidi w:val="0"/>
        <w:ind w:firstLine="424" w:firstLineChars="0"/>
        <w:jc w:val="left"/>
        <m:rPr/>
        <w:rPr>
          <w:rFonts w:hint="eastAsia"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传统评价仅比较其中的 Target 分量</w:t>
      </w:r>
      <w:r>
        <m:rPr/>
        <w:rPr>
          <w:rFonts w:hint="eastAsia" w:hAnsi="Cambria Math" w:cstheme="minorBidi"/>
          <w:i w:val="0"/>
          <w:kern w:val="2"/>
          <w:sz w:val="21"/>
          <w:szCs w:val="24"/>
          <w:lang w:val="en-US" w:eastAsia="zh-CN" w:bidi="ar-SA"/>
        </w:rPr>
        <w:t>（</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Sup>
          <m:sSubSupPr>
            <m:ctrlPr>
              <m:r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θ</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L</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oMath>
      <w:r>
        <m:rPr/>
        <w:rPr>
          <w:rFonts w:hint="eastAsia" w:hAnsi="Cambria Math" w:cstheme="minorBidi"/>
          <w:i w:val="0"/>
          <w:kern w:val="2"/>
          <w:sz w:val="21"/>
          <w:szCs w:val="24"/>
          <w:lang w:val="en-US" w:eastAsia="zh-CN" w:bidi="ar-SA"/>
        </w:rPr>
        <w:t>与</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θ</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G</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t+1</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oMath>
      <w:r>
        <m:rPr/>
        <w:rPr>
          <w:rFonts w:hint="eastAsia" w:hAnsi="Cambria Math" w:cstheme="minorBidi"/>
          <w:i w:val="0"/>
          <w:kern w:val="2"/>
          <w:sz w:val="21"/>
          <w:szCs w:val="24"/>
          <w:lang w:val="en-US" w:eastAsia="zh-CN" w:bidi="ar-SA"/>
        </w:rPr>
        <w:t>）。然而，我们关注整个行为结构的变化。定义区域行为偏移：</w:t>
      </w:r>
    </w:p>
    <w:p w14:paraId="57CED035">
      <w:pPr>
        <w:bidi w:val="0"/>
        <w:ind w:firstLine="424" w:firstLineChars="0"/>
        <w:jc w:val="left"/>
        <m:rPr/>
        <w:rPr>
          <w:rFonts w:hint="default" w:hAnsi="Cambria Math" w:cstheme="minorBidi"/>
          <w:i w:val="0"/>
          <w:kern w:val="2"/>
          <w:sz w:val="21"/>
          <w:szCs w:val="24"/>
          <w:lang w:val="en-US" w:eastAsia="zh-CN" w:bidi="ar-SA"/>
        </w:rPr>
      </w:pPr>
      <m:oMathPara>
        <m:oMath>
          <m:r>
            <m:rPr/>
            <w:rPr>
              <w:rFonts w:ascii="Cambria Math" w:hAnsi="Cambria Math" w:cstheme="minorBidi"/>
              <w:kern w:val="2"/>
              <w:sz w:val="21"/>
              <w:szCs w:val="24"/>
              <w:lang w:val="en-US" w:bidi="ar-SA"/>
            </w:rPr>
            <m:t>Δ</m:t>
          </m:r>
          <m:sSubSup>
            <m:sSubSupPr>
              <m:ctrlPr>
                <m:r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A</m:t>
              </m:r>
              <m:ctrlPr>
                <m:r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m:r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m:r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Sup>
            <m:sSubSupPr>
              <m:ctrlPr>
                <m:r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θ</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G</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t+1</m:t>
              </m:r>
              <m:ctrlPr>
                <m:r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θ</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L</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oMath>
      </m:oMathPara>
    </w:p>
    <w:p w14:paraId="3026138E">
      <w:pPr>
        <w:bidi w:val="0"/>
        <w:jc w:val="left"/>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其中，</w:t>
      </w:r>
      <m:oMath>
        <m:r>
          <m:rPr/>
          <w:rPr>
            <w:rFonts w:ascii="Cambria Math" w:hAnsi="Cambria Math" w:cstheme="minorBidi"/>
            <w:kern w:val="2"/>
            <w:sz w:val="21"/>
            <w:szCs w:val="24"/>
            <w:lang w:val="en-US" w:bidi="ar-SA"/>
          </w:rPr>
          <m:t>Δ</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oMath>
      <w:r>
        <w:rPr>
          <w:rFonts w:hint="default" w:hAnsi="Cambria Math" w:cstheme="minorBidi"/>
          <w:i w:val="0"/>
          <w:kern w:val="2"/>
          <w:sz w:val="21"/>
          <w:szCs w:val="24"/>
          <w:lang w:val="en-US" w:eastAsia="zh-CN" w:bidi="ar-SA"/>
        </w:rPr>
        <w:t>描述目标行为经过聚合后的变化，</w:t>
      </w:r>
      <m:oMath>
        <m:r>
          <m:rPr/>
          <w:rPr>
            <w:rFonts w:ascii="Cambria Math" w:hAnsi="Cambria Math" w:cstheme="minorBidi"/>
            <w:kern w:val="2"/>
            <w:sz w:val="21"/>
            <w:szCs w:val="24"/>
            <w:lang w:val="en-US" w:bidi="ar-SA"/>
          </w:rPr>
          <m:t>Δ</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m:t>
            </m:r>
            <m:ctrlPr>
              <w:rPr>
                <w:rFonts w:hint="default" w:ascii="Cambria Math" w:hAnsi="Cambria Math" w:cstheme="minorBidi"/>
                <w:i/>
                <w:kern w:val="2"/>
                <w:sz w:val="21"/>
                <w:szCs w:val="24"/>
                <w:lang w:val="en-US" w:eastAsia="zh-CN" w:bidi="ar-SA"/>
              </w:rPr>
            </m:ctrlPr>
          </m:sub>
        </m:sSub>
      </m:oMath>
      <w:r>
        <w:rPr>
          <w:rFonts w:hint="default" w:hAnsi="Cambria Math" w:cstheme="minorBidi"/>
          <w:i w:val="0"/>
          <w:kern w:val="2"/>
          <w:sz w:val="21"/>
          <w:szCs w:val="24"/>
          <w:lang w:val="en-US" w:eastAsia="zh-CN" w:bidi="ar-SA"/>
        </w:rPr>
        <w:t>表征预期语义泛化的改变，而正的</w:t>
      </w:r>
      <m:oMath>
        <m:r>
          <m:rPr/>
          <w:rPr>
            <w:rFonts w:ascii="Cambria Math" w:hAnsi="Cambria Math" w:cstheme="minorBidi"/>
            <w:kern w:val="2"/>
            <w:sz w:val="21"/>
            <w:szCs w:val="24"/>
            <w:lang w:val="en-US" w:bidi="ar-SA"/>
          </w:rPr>
          <m:t>Δ</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和</w:t>
      </w:r>
      <m:oMath>
        <m:r>
          <m:rPr/>
          <w:rPr>
            <w:rFonts w:ascii="Cambria Math" w:hAnsi="Cambria Math" w:cstheme="minorBidi"/>
            <w:kern w:val="2"/>
            <w:sz w:val="21"/>
            <w:szCs w:val="24"/>
            <w:lang w:val="en-US" w:bidi="ar-SA"/>
          </w:rPr>
          <m:t>Δ</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b>
        </m:sSub>
      </m:oMath>
      <w:r>
        <w:rPr>
          <w:rFonts w:hint="default" w:hAnsi="Cambria Math" w:cstheme="minorBidi"/>
          <w:i w:val="0"/>
          <w:kern w:val="2"/>
          <w:sz w:val="21"/>
          <w:szCs w:val="24"/>
          <w:lang w:val="en-US" w:eastAsia="zh-CN" w:bidi="ar-SA"/>
        </w:rPr>
        <w:t>分别表示边界扩张和一般行为泄漏。为了整体量化这种 Local-to-Global 差异，我们进一步定义 Behavior Transfer Distortion：</w:t>
      </w:r>
    </w:p>
    <w:p w14:paraId="5D6B113C">
      <w:pPr>
        <w:bidi w:val="0"/>
        <w:jc w:val="left"/>
        <m:rPr/>
        <w:rPr>
          <w:rFonts w:hint="default" w:hAnsi="Cambria Math" w:cstheme="minorBidi"/>
          <w:i w:val="0"/>
          <w:kern w:val="2"/>
          <w:sz w:val="21"/>
          <w:szCs w:val="24"/>
          <w:lang w:val="en-US" w:eastAsia="zh-CN" w:bidi="ar-SA"/>
        </w:rPr>
      </w:pPr>
      <m:oMathPara>
        <m:oMath>
          <m:sSubSup>
            <m:sSubSupPr>
              <m:ctrl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BT</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nary>
            <m:naryPr>
              <m:chr m:val="∑"/>
              <m:limLoc m:val="undOvr"/>
              <m:supHide m:val="1"/>
              <m:ctrlPr>
                <m:r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sub>
            <m:sup>
              <m:ctrlPr>
                <m:rPr/>
                <w:rPr>
                  <w:rFonts w:hint="default" w:ascii="Cambria Math" w:hAnsi="Cambria Math" w:cstheme="minorBidi"/>
                  <w:i/>
                  <w:kern w:val="2"/>
                  <w:sz w:val="21"/>
                  <w:szCs w:val="24"/>
                  <w:lang w:val="en-US" w:eastAsia="zh-CN" w:bidi="ar-SA"/>
                </w:rPr>
              </m:ctrlPr>
            </m:sup>
            <m:e>
              <m:sSub>
                <m:sSubPr>
                  <m:ctrlPr>
                    <m:r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sub>
              </m:sSub>
              <m:d>
                <m:dPr>
                  <m:begChr m:val="|"/>
                  <m:endChr m:val="|"/>
                  <m:ctrlPr>
                    <m:rPr/>
                    <w:rPr>
                      <w:rFonts w:hint="default" w:ascii="Cambria Math" w:hAnsi="Cambria Math" w:cstheme="minorBidi"/>
                      <w:i/>
                      <w:kern w:val="2"/>
                      <w:sz w:val="21"/>
                      <w:szCs w:val="24"/>
                      <w:lang w:val="en-US" w:eastAsia="zh-CN" w:bidi="ar-SA"/>
                    </w:rPr>
                  </m:ctrlPr>
                </m:dPr>
                <m:e>
                  <m:r>
                    <m:rPr/>
                    <w:rPr>
                      <w:rFonts w:ascii="Cambria Math" w:hAnsi="Cambria Math" w:cstheme="minorBidi"/>
                      <w:kern w:val="2"/>
                      <w:sz w:val="21"/>
                      <w:szCs w:val="24"/>
                      <w:lang w:val="en-US" w:bidi="ar-SA"/>
                    </w:rPr>
                    <m:t>Δ</m:t>
                  </m:r>
                  <m:sSubSup>
                    <m:sSubSupPr>
                      <m:ctrlPr>
                        <m:r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A</m:t>
                      </m:r>
                      <m:ctrlPr>
                        <m:r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m:r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m:rPr/>
                        <w:rPr>
                          <w:rFonts w:ascii="Cambria Math" w:hAnsi="Cambria Math" w:cstheme="minorBidi"/>
                          <w:i/>
                          <w:kern w:val="2"/>
                          <w:sz w:val="21"/>
                          <w:szCs w:val="24"/>
                          <w:lang w:val="en-US" w:bidi="ar-SA"/>
                        </w:rPr>
                      </m:ctrlPr>
                    </m:sup>
                  </m:sSubSup>
                  <m:ctrlPr>
                    <m:rPr/>
                    <w:rPr>
                      <w:rFonts w:hint="default" w:ascii="Cambria Math" w:hAnsi="Cambria Math" w:cstheme="minorBidi"/>
                      <w:i/>
                      <w:kern w:val="2"/>
                      <w:sz w:val="21"/>
                      <w:szCs w:val="24"/>
                      <w:lang w:val="en-US" w:eastAsia="zh-CN" w:bidi="ar-SA"/>
                    </w:rPr>
                  </m:ctrlPr>
                </m:e>
              </m:d>
              <m:ctrlPr>
                <m:rPr/>
                <w:rPr>
                  <w:rFonts w:hint="default" w:ascii="Cambria Math" w:hAnsi="Cambria Math" w:cstheme="minorBidi"/>
                  <w:i/>
                  <w:kern w:val="2"/>
                  <w:sz w:val="21"/>
                  <w:szCs w:val="24"/>
                  <w:lang w:val="en-US" w:eastAsia="zh-CN" w:bidi="ar-SA"/>
                </w:rPr>
              </m:ctrlPr>
            </m:e>
          </m:nary>
        </m:oMath>
      </m:oMathPara>
    </w:p>
    <w:p w14:paraId="6769CE1B">
      <w:pPr>
        <w:bidi w:val="0"/>
        <w:jc w:val="left"/>
        <m:rPr/>
        <w:rPr>
          <w:rFonts w:hint="eastAsia"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以及对应的 Behavior Transfer Fidelity：</w:t>
      </w:r>
    </w:p>
    <w:p w14:paraId="6ADA2837">
      <w:pPr>
        <w:bidi w:val="0"/>
        <w:jc w:val="left"/>
        <m:rPr/>
        <w:rPr>
          <w:rFonts w:hint="default" w:hAnsi="Cambria Math" w:cstheme="minorBidi"/>
          <w:i w:val="0"/>
          <w:kern w:val="2"/>
          <w:sz w:val="21"/>
          <w:szCs w:val="24"/>
          <w:lang w:val="en-US" w:eastAsia="zh-CN" w:bidi="ar-SA"/>
        </w:rPr>
      </w:pPr>
      <m:oMathPara>
        <m:oMath>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BTF</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=1−</m:t>
          </m:r>
          <m:sSubSup>
            <m:sSubSupPr>
              <m:ctrlPr>
                <m:r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D</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BT</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p>
          </m:sSubSup>
        </m:oMath>
      </m:oMathPara>
    </w:p>
    <w:p w14:paraId="5792AB6B">
      <w:pPr>
        <w:bidi w:val="0"/>
        <w:ind w:firstLine="420" w:firstLineChars="0"/>
        <w:jc w:val="left"/>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较高的 BTF 表明聚合后的后门较忠实地保持了本地行为结构；较低 BTF 则意味着攻击虽然可能仍然有效，但其实际作用范围已经发生改变。</w:t>
      </w:r>
    </w:p>
    <w:p w14:paraId="533F2298">
      <w:pPr>
        <w:bidi w:val="0"/>
        <w:jc w:val="left"/>
        <m:rPr/>
        <w:rPr>
          <w:rFonts w:hint="default" w:hAnsi="Cambria Math" w:cstheme="minorBidi"/>
          <w:i w:val="0"/>
          <w:kern w:val="2"/>
          <w:sz w:val="21"/>
          <w:szCs w:val="24"/>
          <w:lang w:val="en-US" w:eastAsia="zh-CN" w:bidi="ar-SA"/>
        </w:rPr>
      </w:pPr>
    </w:p>
    <w:p w14:paraId="01CEC194">
      <w:pPr>
        <w:bidi w:val="0"/>
        <w:jc w:val="left"/>
        <w:outlineLvl w:val="1"/>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3.4 Why Does Aggregation Reshape the Behavioral Boundary?</w:t>
      </w:r>
    </w:p>
    <w:p w14:paraId="4F5C5C6B">
      <w:pPr>
        <w:bidi w:val="0"/>
        <w:ind w:firstLine="515" w:firstLineChars="0"/>
        <w:jc w:val="left"/>
        <w:rPr>
          <w:rFonts w:hint="eastAsia" w:hAnsi="Cambria Math" w:cstheme="minorBidi"/>
          <w:i w:val="0"/>
          <w:kern w:val="2"/>
          <w:sz w:val="21"/>
          <w:szCs w:val="24"/>
          <w:lang w:val="en-US" w:bidi="ar-SA"/>
        </w:rPr>
      </w:pPr>
      <w:r>
        <m:rPr/>
        <w:rPr>
          <w:rFonts w:hint="default" w:asciiTheme="minorHAnsi" w:hAnsiTheme="minorHAnsi" w:eastAsiaTheme="minorEastAsia" w:cstheme="minorBidi"/>
          <w:kern w:val="2"/>
          <w:sz w:val="21"/>
          <w:szCs w:val="24"/>
          <w:lang w:val="en-US" w:eastAsia="zh-CN" w:bidi="ar-SA"/>
        </w:rPr>
        <w:t>从恶意客户端本地模型出发，服务器聚合引入的实际变化为：</w:t>
      </w:r>
      <m:oMath>
        <m:r>
          <m:rPr/>
          <w:rPr>
            <w:rFonts w:ascii="Cambria Math" w:hAnsi="Cambria Math" w:cstheme="minorBidi"/>
            <w:kern w:val="2"/>
            <w:sz w:val="21"/>
            <w:szCs w:val="24"/>
            <w:lang w:val="en-US" w:bidi="ar-SA"/>
          </w:rPr>
          <m:t>Δ</m:t>
        </m:r>
        <m:sSubSup>
          <m:sSubSupPr>
            <m:ctrlPr>
              <m:r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m:r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agg</m:t>
            </m:r>
            <m:ctrlPr>
              <m:r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m:r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sSubSup>
          <m:sSubSupPr>
            <m:ctrlPr>
              <m:r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θ</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G</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t+1</m:t>
            </m:r>
            <m:ctrlPr>
              <m:r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oMath>
      <w:r>
        <w:rPr>
          <w:rFonts w:hint="eastAsia" w:hAnsi="Cambria Math" w:cstheme="minorBidi"/>
          <w:i w:val="0"/>
          <w:kern w:val="2"/>
          <w:sz w:val="21"/>
          <w:szCs w:val="24"/>
          <w:lang w:val="en-US" w:eastAsia="zh-CN" w:bidi="ar-SA"/>
        </w:rPr>
        <w:t>。对于区域</w:t>
      </w:r>
      <m:oMath>
        <m:r>
          <m:rPr/>
          <w:rPr>
            <w:rFonts w:hint="default" w:ascii="Cambria Math" w:hAnsi="Cambria Math" w:cstheme="minorBidi"/>
            <w:kern w:val="2"/>
            <w:sz w:val="21"/>
            <w:szCs w:val="24"/>
            <w:lang w:val="en-US" w:eastAsia="zh-CN" w:bidi="ar-SA"/>
          </w:rPr>
          <m:t xml:space="preserve"> </m:t>
        </m:r>
        <m:r>
          <m:rPr/>
          <w:rPr>
            <w:rFonts w:hint="default" w:ascii="Cambria Math" w:hAnsi="Cambria Math" w:cstheme="minorBidi"/>
            <w:kern w:val="2"/>
            <w:sz w:val="21"/>
            <w:szCs w:val="24"/>
            <w:lang w:val="en-US" w:eastAsia="zh-CN" w:bidi="ar-SA"/>
          </w:rPr>
          <m:t>r</m:t>
        </m:r>
      </m:oMath>
      <w:r>
        <m:rPr/>
        <w:rPr>
          <w:rFonts w:hint="eastAsia" w:hAnsi="Cambria Math" w:cstheme="minorBidi"/>
          <w:i w:val="0"/>
          <w:kern w:val="2"/>
          <w:sz w:val="21"/>
          <w:szCs w:val="24"/>
          <w:lang w:val="en-US" w:eastAsia="zh-CN" w:bidi="ar-SA"/>
        </w:rPr>
        <w:t>，将其平均攻击响应记为：</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F</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θ</m:t>
        </m:r>
        <m:r>
          <m:rPr/>
          <w:rPr>
            <w:rFonts w:hint="default" w:ascii="Cambria Math" w:hAnsi="Cambria Math" w:cstheme="minorBidi"/>
            <w:kern w:val="2"/>
            <w:sz w:val="21"/>
            <w:szCs w:val="24"/>
            <w:lang w:val="en-US" w:eastAsia="zh-CN" w:bidi="ar-SA"/>
          </w:rPr>
          <m:t>)</m:t>
        </m:r>
      </m:oMath>
      <w:r>
        <m:rPr/>
        <w:rPr>
          <w:rFonts w:hint="eastAsia" w:hAnsi="Cambria Math" w:cstheme="minorBidi"/>
          <w:i w:val="0"/>
          <w:kern w:val="2"/>
          <w:sz w:val="21"/>
          <w:szCs w:val="24"/>
          <w:lang w:val="en-US" w:eastAsia="zh-CN" w:bidi="ar-SA"/>
        </w:rPr>
        <w:t>。在本地恶意模型</w:t>
      </w:r>
      <m:oMath>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oMath>
      <w:r>
        <w:rPr>
          <w:rFonts w:hint="eastAsia" w:hAnsi="Cambria Math" w:cstheme="minorBidi"/>
          <w:i w:val="0"/>
          <w:kern w:val="2"/>
          <w:sz w:val="21"/>
          <w:szCs w:val="24"/>
          <w:lang w:val="en-US" w:bidi="ar-SA"/>
        </w:rPr>
        <w:t>附近进行一阶近似，有：</w:t>
      </w:r>
    </w:p>
    <w:p w14:paraId="13C1F68E">
      <w:pPr>
        <w:bidi w:val="0"/>
        <w:ind w:firstLine="515" w:firstLineChars="0"/>
        <w:jc w:val="left"/>
        <w:rPr>
          <w:rFonts w:hint="default" w:hAnsi="Cambria Math" w:cs="Cambria Math"/>
          <w:b w:val="0"/>
          <w:i w:val="0"/>
          <w:kern w:val="2"/>
          <w:sz w:val="21"/>
          <w:szCs w:val="24"/>
          <w:lang w:val="en-US" w:bidi="ar-SA"/>
        </w:rPr>
      </w:pPr>
      <m:oMathPara>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F</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bSup>
            <m:sSubSupPr>
              <m:ctrlPr>
                <m:r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θ</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G</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t+1</m:t>
              </m:r>
              <m:ctrlPr>
                <m:r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F</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θ</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r>
            <m:rPr/>
            <w:rPr>
              <w:rFonts w:hint="default" w:ascii="Cambria Math" w:hAnsi="Cambria Math" w:cs="Cambria Math"/>
              <w:kern w:val="2"/>
              <w:sz w:val="21"/>
              <w:szCs w:val="24"/>
              <w:lang w:val="en-US" w:eastAsia="zh-CN" w:bidi="ar-SA"/>
            </w:rPr>
            <m:t>≈</m:t>
          </m:r>
          <m:sSub>
            <m:sSubPr>
              <m:ctrlPr>
                <m:rPr/>
                <w:rPr>
                  <w:rFonts w:hint="default"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m:t>
              </m:r>
              <m:ctrlPr>
                <m:rPr/>
                <w:rPr>
                  <w:rFonts w:hint="default" w:ascii="Cambria Math" w:hAnsi="Cambria Math" w:cs="Cambria Math"/>
                  <w:i/>
                  <w:kern w:val="2"/>
                  <w:sz w:val="21"/>
                  <w:szCs w:val="24"/>
                  <w:lang w:val="en-US" w:eastAsia="zh-CN" w:bidi="ar-SA"/>
                </w:rPr>
              </m:ctrlPr>
            </m:e>
            <m:sub>
              <m:r>
                <m:rPr/>
                <w:rPr>
                  <w:rFonts w:ascii="Cambria Math" w:hAnsi="Cambria Math" w:cs="Cambria Math"/>
                  <w:kern w:val="2"/>
                  <w:sz w:val="21"/>
                  <w:szCs w:val="24"/>
                  <w:lang w:val="en-US" w:bidi="ar-SA"/>
                </w:rPr>
                <m:t>θ</m:t>
              </m:r>
              <m:ctrlPr>
                <m:rPr/>
                <w:rPr>
                  <w:rFonts w:hint="default" w:ascii="Cambria Math" w:hAnsi="Cambria Math" w:cs="Cambria Math"/>
                  <w:i/>
                  <w:kern w:val="2"/>
                  <w:sz w:val="21"/>
                  <w:szCs w:val="24"/>
                  <w:lang w:val="en-US" w:eastAsia="zh-CN" w:bidi="ar-SA"/>
                </w:rPr>
              </m:ctrlPr>
            </m:sub>
          </m:sSub>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F</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b>
          </m:sSub>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θ</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L</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ctrlPr>
                <w:rPr>
                  <w:rFonts w:ascii="Cambria Math" w:hAnsi="Cambria Math" w:cstheme="minorBidi"/>
                  <w:i/>
                  <w:kern w:val="2"/>
                  <w:sz w:val="21"/>
                  <w:szCs w:val="24"/>
                  <w:lang w:val="en-US" w:bidi="ar-SA"/>
                </w:rPr>
              </m:ctrlPr>
            </m:e>
            <m:sup>
              <m:r>
                <m:rPr/>
                <w:rPr>
                  <w:rFonts w:ascii="Cambria Math" w:hAnsi="Cambria Math" w:cstheme="minorBidi"/>
                  <w:kern w:val="2"/>
                  <w:sz w:val="21"/>
                  <w:szCs w:val="24"/>
                  <w:lang w:val="en-US" w:bidi="ar-SA"/>
                </w:rPr>
                <m:t>⊺</m:t>
              </m:r>
              <m:ctrlPr>
                <w:rPr>
                  <w:rFonts w:ascii="Cambria Math" w:hAnsi="Cambria Math" w:cstheme="minorBidi"/>
                  <w:i/>
                  <w:kern w:val="2"/>
                  <w:sz w:val="21"/>
                  <w:szCs w:val="24"/>
                  <w:lang w:val="en-US" w:bidi="ar-SA"/>
                </w:rPr>
              </m:ctrlPr>
            </m:sup>
          </m:sSup>
          <m:r>
            <w:rPr>
              <w:rFonts w:hint="default" w:ascii="Cambria Math" w:hAnsi="Cambria Math" w:cs="Cambria Math"/>
              <w:kern w:val="2"/>
              <w:sz w:val="21"/>
              <w:szCs w:val="24"/>
              <w:lang w:val="en-US" w:bidi="ar-SA"/>
            </w:rPr>
            <m:t>Δ</m:t>
          </m:r>
          <m:sSubSup>
            <m:sSubSupPr>
              <m:ctrlPr>
                <w:rPr>
                  <w:rFonts w:hint="default" w:ascii="Cambria Math" w:hAnsi="Cambria Math" w:cs="Cambria Math"/>
                  <w:b w:val="0"/>
                  <w:i/>
                  <w:kern w:val="2"/>
                  <w:sz w:val="21"/>
                  <w:szCs w:val="24"/>
                  <w:lang w:val="en-US" w:bidi="ar-SA"/>
                </w:rPr>
              </m:ctrlPr>
            </m:sSubSupPr>
            <m:e>
              <m:r>
                <m:rPr/>
                <w:rPr>
                  <w:rFonts w:ascii="Cambria Math" w:hAnsi="Cambria Math" w:cs="Cambria Math"/>
                  <w:kern w:val="2"/>
                  <w:sz w:val="21"/>
                  <w:szCs w:val="24"/>
                  <w:lang w:val="en-US" w:bidi="ar-SA"/>
                </w:rPr>
                <m:t>θ</m:t>
              </m:r>
              <m:ctrlPr>
                <w:rPr>
                  <w:rFonts w:hint="default" w:ascii="Cambria Math" w:hAnsi="Cambria Math" w:cs="Cambria Math"/>
                  <w:b w:val="0"/>
                  <w:i/>
                  <w:kern w:val="2"/>
                  <w:sz w:val="21"/>
                  <w:szCs w:val="24"/>
                  <w:lang w:val="en-US" w:bidi="ar-SA"/>
                </w:rPr>
              </m:ctrlPr>
            </m:e>
            <m:sub>
              <m:r>
                <m:rPr/>
                <w:rPr>
                  <w:rFonts w:hint="default" w:ascii="Cambria Math" w:hAnsi="Cambria Math" w:cs="Cambria Math"/>
                  <w:kern w:val="2"/>
                  <w:sz w:val="21"/>
                  <w:szCs w:val="24"/>
                  <w:lang w:val="en-US" w:eastAsia="zh-CN" w:bidi="ar-SA"/>
                </w:rPr>
                <m:t>agg</m:t>
              </m:r>
              <m:ctrlPr>
                <w:rPr>
                  <w:rFonts w:hint="default" w:ascii="Cambria Math" w:hAnsi="Cambria Math" w:cs="Cambria Math"/>
                  <w:b w:val="0"/>
                  <w:i/>
                  <w:kern w:val="2"/>
                  <w:sz w:val="21"/>
                  <w:szCs w:val="24"/>
                  <w:lang w:val="en-US" w:bidi="ar-SA"/>
                </w:rPr>
              </m:ctrlPr>
            </m:sub>
            <m:sup>
              <m:r>
                <m:rPr/>
                <w:rPr>
                  <w:rFonts w:hint="default" w:ascii="Cambria Math" w:hAnsi="Cambria Math" w:cs="Cambria Math"/>
                  <w:kern w:val="2"/>
                  <w:sz w:val="21"/>
                  <w:szCs w:val="24"/>
                  <w:lang w:val="en-US" w:eastAsia="zh-CN" w:bidi="ar-SA"/>
                </w:rPr>
                <m:t>t</m:t>
              </m:r>
              <m:ctrlPr>
                <w:rPr>
                  <w:rFonts w:hint="default" w:ascii="Cambria Math" w:hAnsi="Cambria Math" w:cs="Cambria Math"/>
                  <w:b w:val="0"/>
                  <w:i/>
                  <w:kern w:val="2"/>
                  <w:sz w:val="21"/>
                  <w:szCs w:val="24"/>
                  <w:lang w:val="en-US" w:bidi="ar-SA"/>
                </w:rPr>
              </m:ctrlPr>
            </m:sup>
          </m:sSubSup>
        </m:oMath>
      </m:oMathPara>
    </w:p>
    <w:p w14:paraId="24160DFF">
      <w:pPr>
        <w:bidi w:val="0"/>
        <w:ind w:firstLine="515" w:firstLineChars="0"/>
        <w:jc w:val="both"/>
        <m:rPr/>
        <w:rPr>
          <w:rFonts w:hint="eastAsia" w:hAnsi="Cambria Math" w:cs="Cambria Math"/>
          <w:i w:val="0"/>
          <w:kern w:val="2"/>
          <w:sz w:val="21"/>
          <w:szCs w:val="24"/>
          <w:lang w:val="en-US" w:eastAsia="zh-CN" w:bidi="ar-SA"/>
        </w:rPr>
      </w:pPr>
      <w:r>
        <m:rPr/>
        <w:rPr>
          <w:rFonts w:hint="default" w:hAnsi="Cambria Math" w:cs="Cambria Math"/>
          <w:b w:val="0"/>
          <w:i w:val="0"/>
          <w:kern w:val="2"/>
          <w:sz w:val="21"/>
          <w:szCs w:val="24"/>
          <w:lang w:val="en-US" w:eastAsia="zh-CN" w:bidi="ar-SA"/>
        </w:rPr>
        <w:t>区域行为变化不仅由聚合扰动的幅度决定，还取决于该扰动与区域行为敏感方向之间的相对关系。尽管所有输入共享同一个</w:t>
      </w:r>
      <m:oMath>
        <m:r>
          <m:rPr/>
          <w:rPr>
            <w:rFonts w:ascii="Cambria Math" w:hAnsi="Cambria Math" w:cs="Cambria Math"/>
            <w:kern w:val="2"/>
            <w:sz w:val="21"/>
            <w:szCs w:val="24"/>
            <w:lang w:val="en-US" w:bidi="ar-SA"/>
          </w:rPr>
          <m:t>Δ</m:t>
        </m:r>
        <m:sSub>
          <m:sSubPr>
            <m:ctrlPr>
              <m:rPr/>
              <w:rPr>
                <w:rFonts w:ascii="Cambria Math" w:hAnsi="Cambria Math" w:cs="Cambria Math"/>
                <w:i/>
                <w:kern w:val="2"/>
                <w:sz w:val="21"/>
                <w:szCs w:val="24"/>
                <w:lang w:val="en-US" w:bidi="ar-SA"/>
              </w:rPr>
            </m:ctrlPr>
          </m:sSubPr>
          <m:e>
            <m:r>
              <m:rPr/>
              <w:rPr>
                <w:rFonts w:ascii="Cambria Math" w:hAnsi="Cambria Math" w:cs="Cambria Math"/>
                <w:kern w:val="2"/>
                <w:sz w:val="21"/>
                <w:szCs w:val="24"/>
                <w:lang w:val="en-US" w:bidi="ar-SA"/>
              </w:rPr>
              <m:t>θ</m:t>
            </m:r>
            <m:ctrlPr>
              <m:r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agg</m:t>
            </m:r>
            <m:ctrlPr>
              <m:rPr/>
              <w:rPr>
                <w:rFonts w:ascii="Cambria Math" w:hAnsi="Cambria Math" w:cs="Cambria Math"/>
                <w:i/>
                <w:kern w:val="2"/>
                <w:sz w:val="21"/>
                <w:szCs w:val="24"/>
                <w:lang w:val="en-US" w:bidi="ar-SA"/>
              </w:rPr>
            </m:ctrlPr>
          </m:sub>
        </m:sSub>
      </m:oMath>
      <w:r>
        <m:rPr/>
        <w:rPr>
          <w:rFonts w:hint="eastAsia" w:hAnsi="Cambria Math" w:cs="Cambria Math"/>
          <w:i w:val="0"/>
          <w:kern w:val="2"/>
          <w:sz w:val="21"/>
          <w:szCs w:val="24"/>
          <w:lang w:val="en-US" w:eastAsia="zh-CN" w:bidi="ar-SA"/>
        </w:rPr>
        <w:t>，不同区域对应的梯度：</w:t>
      </w:r>
      <m:oMath>
        <m:r>
          <m:rPr/>
          <w:rPr>
            <w:rFonts w:ascii="Cambria Math" w:hAnsi="Cambria Math" w:cs="Cambria Math"/>
            <w:kern w:val="2"/>
            <w:sz w:val="21"/>
            <w:szCs w:val="24"/>
            <w:lang w:val="en-US" w:bidi="ar-SA"/>
          </w:rPr>
          <m:t>∇</m:t>
        </m:r>
        <m:sSub>
          <m:sSubPr>
            <m:ctrlPr>
              <m:r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F</m:t>
            </m:r>
            <m:ctrlPr>
              <m:r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T</m:t>
            </m:r>
            <m:ctrlPr>
              <m:rPr/>
              <w:rPr>
                <w:rFonts w:ascii="Cambria Math" w:hAnsi="Cambria Math" w:cs="Cambria Math"/>
                <w:i/>
                <w:kern w:val="2"/>
                <w:sz w:val="21"/>
                <w:szCs w:val="24"/>
                <w:lang w:val="en-US" w:bidi="ar-SA"/>
              </w:rPr>
            </m:ctrlPr>
          </m:sub>
        </m:sSub>
        <m:r>
          <m:rPr/>
          <w:rPr>
            <w:rFonts w:hint="default" w:ascii="Cambria Math" w:hAnsi="Cambria Math" w:cs="Cambria Math"/>
            <w:kern w:val="2"/>
            <w:sz w:val="21"/>
            <w:szCs w:val="24"/>
            <w:lang w:val="en-US" w:eastAsia="zh-CN" w:bidi="ar-SA"/>
          </w:rPr>
          <m:t>,</m:t>
        </m:r>
        <m:r>
          <m:rPr/>
          <w:rPr>
            <w:rFonts w:ascii="Cambria Math" w:hAnsi="Cambria Math" w:cs="Cambria Math"/>
            <w:kern w:val="2"/>
            <w:sz w:val="21"/>
            <w:szCs w:val="24"/>
            <w:lang w:val="en-US" w:bidi="ar-SA"/>
          </w:rPr>
          <m:t>∇</m:t>
        </m:r>
        <m:sSub>
          <m:sSubPr>
            <m:ctrl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F</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E</m:t>
            </m:r>
            <m:ctrlPr>
              <w:rPr>
                <w:rFonts w:ascii="Cambria Math" w:hAnsi="Cambria Math" w:cs="Cambria Math"/>
                <w:i/>
                <w:kern w:val="2"/>
                <w:sz w:val="21"/>
                <w:szCs w:val="24"/>
                <w:lang w:val="en-US" w:bidi="ar-SA"/>
              </w:rPr>
            </m:ctrlPr>
          </m:sub>
        </m:sSub>
        <m:r>
          <m:rPr/>
          <w:rPr>
            <w:rFonts w:hint="default" w:ascii="Cambria Math" w:hAnsi="Cambria Math" w:cs="Cambria Math"/>
            <w:kern w:val="2"/>
            <w:sz w:val="21"/>
            <w:szCs w:val="24"/>
            <w:lang w:val="en-US" w:eastAsia="zh-CN" w:bidi="ar-SA"/>
          </w:rPr>
          <m:t xml:space="preserve">, </m:t>
        </m:r>
        <m:r>
          <m:rPr/>
          <w:rPr>
            <w:rFonts w:ascii="Cambria Math" w:hAnsi="Cambria Math" w:cs="Cambria Math"/>
            <w:kern w:val="2"/>
            <w:sz w:val="21"/>
            <w:szCs w:val="24"/>
            <w:lang w:val="en-US" w:bidi="ar-SA"/>
          </w:rPr>
          <m:t>∇</m:t>
        </m:r>
        <m:sSub>
          <m:sSubPr>
            <m:ctrl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F</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B</m:t>
            </m:r>
            <m:ctrlPr>
              <w:rPr>
                <w:rFonts w:ascii="Cambria Math" w:hAnsi="Cambria Math" w:cs="Cambria Math"/>
                <w:i/>
                <w:kern w:val="2"/>
                <w:sz w:val="21"/>
                <w:szCs w:val="24"/>
                <w:lang w:val="en-US" w:bidi="ar-SA"/>
              </w:rPr>
            </m:ctrlPr>
          </m:sub>
        </m:sSub>
        <m:r>
          <m:rPr/>
          <w:rPr>
            <w:rFonts w:hint="default" w:ascii="Cambria Math" w:hAnsi="Cambria Math" w:cs="Cambria Math"/>
            <w:kern w:val="2"/>
            <w:sz w:val="21"/>
            <w:szCs w:val="24"/>
            <w:lang w:val="en-US" w:eastAsia="zh-CN" w:bidi="ar-SA"/>
          </w:rPr>
          <m:t xml:space="preserve">, </m:t>
        </m:r>
        <m:r>
          <m:rPr/>
          <w:rPr>
            <w:rFonts w:ascii="Cambria Math" w:hAnsi="Cambria Math" w:cs="Cambria Math"/>
            <w:kern w:val="2"/>
            <w:sz w:val="21"/>
            <w:szCs w:val="24"/>
            <w:lang w:val="en-US" w:bidi="ar-SA"/>
          </w:rPr>
          <m:t>∇</m:t>
        </m:r>
        <m:sSub>
          <m:sSubPr>
            <m:ctrl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F</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N</m:t>
            </m:r>
            <m:ctrlPr>
              <w:rPr>
                <w:rFonts w:ascii="Cambria Math" w:hAnsi="Cambria Math" w:cs="Cambria Math"/>
                <w:i/>
                <w:kern w:val="2"/>
                <w:sz w:val="21"/>
                <w:szCs w:val="24"/>
                <w:lang w:val="en-US" w:bidi="ar-SA"/>
              </w:rPr>
            </m:ctrlPr>
          </m:sub>
        </m:sSub>
      </m:oMath>
      <w:r>
        <w:rPr>
          <w:rFonts w:hint="eastAsia" w:hAnsi="Cambria Math" w:cs="Cambria Math"/>
          <w:i w:val="0"/>
          <w:kern w:val="2"/>
          <w:sz w:val="21"/>
          <w:szCs w:val="24"/>
          <w:lang w:val="en-US" w:bidi="ar-SA"/>
        </w:rPr>
        <w:t>通常并不一致。因此，同一个正常更新组合可能沿 Target 敏感方向产生负投影，却沿 Boundary 敏感方向产生正投影：</w:t>
      </w:r>
      <m:oMath>
        <m:r>
          <m:rPr/>
          <w:rPr>
            <w:rFonts w:ascii="Cambria Math" w:hAnsi="Cambria Math" w:cs="Cambria Math"/>
            <w:kern w:val="2"/>
            <w:sz w:val="21"/>
            <w:szCs w:val="24"/>
            <w:lang w:val="en-US" w:bidi="ar-SA"/>
          </w:rPr>
          <m:t>∇</m:t>
        </m:r>
        <m:sSubSup>
          <m:sSubSupPr>
            <m:ctrlPr>
              <m:rPr/>
              <w:rPr>
                <w:rFonts w:ascii="Cambria Math" w:hAnsi="Cambria Math" w:cs="Cambria Math"/>
                <w:i/>
                <w:kern w:val="2"/>
                <w:sz w:val="21"/>
                <w:szCs w:val="24"/>
                <w:lang w:val="en-US" w:bidi="ar-SA"/>
              </w:rPr>
            </m:ctrlPr>
          </m:sSubSupPr>
          <m:e>
            <m:r>
              <m:rPr/>
              <w:rPr>
                <w:rFonts w:hint="default" w:ascii="Cambria Math" w:hAnsi="Cambria Math" w:cs="Cambria Math"/>
                <w:kern w:val="2"/>
                <w:sz w:val="21"/>
                <w:szCs w:val="24"/>
                <w:lang w:val="en-US" w:eastAsia="zh-CN" w:bidi="ar-SA"/>
              </w:rPr>
              <m:t>F</m:t>
            </m:r>
            <m:ctrlPr>
              <m:r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T</m:t>
            </m:r>
            <m:ctrlPr>
              <m:rPr/>
              <w:rPr>
                <w:rFonts w:ascii="Cambria Math" w:hAnsi="Cambria Math" w:cs="Cambria Math"/>
                <w:i/>
                <w:kern w:val="2"/>
                <w:sz w:val="21"/>
                <w:szCs w:val="24"/>
                <w:lang w:val="en-US" w:bidi="ar-SA"/>
              </w:rPr>
            </m:ctrlPr>
          </m:sub>
          <m:sup>
            <m:r>
              <m:rPr/>
              <w:rPr>
                <w:rFonts w:ascii="Cambria Math" w:hAnsi="Cambria Math" w:cs="Cambria Math"/>
                <w:kern w:val="2"/>
                <w:sz w:val="21"/>
                <w:szCs w:val="24"/>
                <w:lang w:val="en-US" w:bidi="ar-SA"/>
              </w:rPr>
              <m:t>⊺</m:t>
            </m:r>
            <m:ctrlPr>
              <m:rPr/>
              <w:rPr>
                <w:rFonts w:ascii="Cambria Math" w:hAnsi="Cambria Math" w:cs="Cambria Math"/>
                <w:i/>
                <w:kern w:val="2"/>
                <w:sz w:val="21"/>
                <w:szCs w:val="24"/>
                <w:lang w:val="en-US" w:bidi="ar-SA"/>
              </w:rPr>
            </m:ctrlPr>
          </m:sup>
        </m:sSubSup>
        <m:r>
          <m:rPr/>
          <w:rPr>
            <w:rFonts w:hint="default" w:ascii="Cambria Math" w:hAnsi="Cambria Math" w:cs="Cambria Math"/>
            <w:kern w:val="2"/>
            <w:sz w:val="21"/>
            <w:szCs w:val="24"/>
            <w:lang w:val="en-US" w:bidi="ar-SA"/>
          </w:rPr>
          <m:t>Δ</m:t>
        </m:r>
        <m:sSub>
          <m:sSubPr>
            <m:ctrlPr>
              <m:rPr/>
              <w:rPr>
                <w:rFonts w:hint="default" w:ascii="Cambria Math" w:hAnsi="Cambria Math" w:cs="Cambria Math"/>
                <w:b w:val="0"/>
                <w:i/>
                <w:kern w:val="2"/>
                <w:sz w:val="21"/>
                <w:szCs w:val="24"/>
                <w:lang w:val="en-US" w:bidi="ar-SA"/>
              </w:rPr>
            </m:ctrlPr>
          </m:sSubPr>
          <m:e>
            <m:r>
              <m:rPr/>
              <w:rPr>
                <w:rFonts w:ascii="Cambria Math" w:hAnsi="Cambria Math" w:cs="Cambria Math"/>
                <w:kern w:val="2"/>
                <w:sz w:val="21"/>
                <w:szCs w:val="24"/>
                <w:lang w:val="en-US" w:bidi="ar-SA"/>
              </w:rPr>
              <m:t>θ</m:t>
            </m:r>
            <m:ctrlPr>
              <m:rPr/>
              <w:rPr>
                <w:rFonts w:hint="default" w:ascii="Cambria Math" w:hAnsi="Cambria Math" w:cs="Cambria Math"/>
                <w:b w:val="0"/>
                <w:i/>
                <w:kern w:val="2"/>
                <w:sz w:val="21"/>
                <w:szCs w:val="24"/>
                <w:lang w:val="en-US" w:bidi="ar-SA"/>
              </w:rPr>
            </m:ctrlPr>
          </m:e>
          <m:sub>
            <m:r>
              <m:rPr/>
              <w:rPr>
                <w:rFonts w:hint="default" w:ascii="Cambria Math" w:hAnsi="Cambria Math" w:cs="Cambria Math"/>
                <w:kern w:val="2"/>
                <w:sz w:val="21"/>
                <w:szCs w:val="24"/>
                <w:lang w:val="en-US" w:eastAsia="zh-CN" w:bidi="ar-SA"/>
              </w:rPr>
              <m:t>agg</m:t>
            </m:r>
            <m:ctrlPr>
              <m:rPr/>
              <w:rPr>
                <w:rFonts w:hint="default" w:ascii="Cambria Math" w:hAnsi="Cambria Math" w:cs="Cambria Math"/>
                <w:b w:val="0"/>
                <w:i/>
                <w:kern w:val="2"/>
                <w:sz w:val="21"/>
                <w:szCs w:val="24"/>
                <w:lang w:val="en-US" w:bidi="ar-SA"/>
              </w:rPr>
            </m:ctrlPr>
          </m:sub>
        </m:sSub>
        <m:r>
          <m:rPr/>
          <w:rPr>
            <w:rFonts w:hint="default" w:ascii="Cambria Math" w:hAnsi="Cambria Math" w:cs="Cambria Math"/>
            <w:kern w:val="2"/>
            <w:sz w:val="21"/>
            <w:szCs w:val="24"/>
            <w:lang w:val="en-US" w:eastAsia="zh-CN" w:bidi="ar-SA"/>
          </w:rPr>
          <m:t xml:space="preserve">&lt;0, </m:t>
        </m:r>
        <m:r>
          <m:rPr/>
          <w:rPr>
            <w:rFonts w:ascii="Cambria Math" w:hAnsi="Cambria Math" w:cs="Cambria Math"/>
            <w:kern w:val="2"/>
            <w:sz w:val="21"/>
            <w:szCs w:val="24"/>
            <w:lang w:val="en-US" w:bidi="ar-SA"/>
          </w:rPr>
          <m:t>∇</m:t>
        </m:r>
        <m:sSubSup>
          <m:sSubSupPr>
            <m:ctrlPr>
              <w:rPr>
                <w:rFonts w:ascii="Cambria Math" w:hAnsi="Cambria Math" w:cs="Cambria Math"/>
                <w:i/>
                <w:kern w:val="2"/>
                <w:sz w:val="21"/>
                <w:szCs w:val="24"/>
                <w:lang w:val="en-US" w:bidi="ar-SA"/>
              </w:rPr>
            </m:ctrlPr>
          </m:sSubSupPr>
          <m:e>
            <m:r>
              <m:rPr/>
              <w:rPr>
                <w:rFonts w:hint="default" w:ascii="Cambria Math" w:hAnsi="Cambria Math" w:cs="Cambria Math"/>
                <w:kern w:val="2"/>
                <w:sz w:val="21"/>
                <w:szCs w:val="24"/>
                <w:lang w:val="en-US" w:eastAsia="zh-CN" w:bidi="ar-SA"/>
              </w:rPr>
              <m:t>F</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B</m:t>
            </m:r>
            <m:ctrlPr>
              <w:rPr>
                <w:rFonts w:ascii="Cambria Math" w:hAnsi="Cambria Math" w:cs="Cambria Math"/>
                <w:i/>
                <w:kern w:val="2"/>
                <w:sz w:val="21"/>
                <w:szCs w:val="24"/>
                <w:lang w:val="en-US" w:bidi="ar-SA"/>
              </w:rPr>
            </m:ctrlPr>
          </m:sub>
          <m:sup>
            <m:r>
              <m:rPr/>
              <w:rPr>
                <w:rFonts w:ascii="Cambria Math" w:hAnsi="Cambria Math" w:cs="Cambria Math"/>
                <w:kern w:val="2"/>
                <w:sz w:val="21"/>
                <w:szCs w:val="24"/>
                <w:lang w:val="en-US" w:bidi="ar-SA"/>
              </w:rPr>
              <m:t>⊺</m:t>
            </m:r>
            <m:ctrlPr>
              <w:rPr>
                <w:rFonts w:ascii="Cambria Math" w:hAnsi="Cambria Math" w:cs="Cambria Math"/>
                <w:i/>
                <w:kern w:val="2"/>
                <w:sz w:val="21"/>
                <w:szCs w:val="24"/>
                <w:lang w:val="en-US" w:bidi="ar-SA"/>
              </w:rPr>
            </m:ctrlPr>
          </m:sup>
        </m:sSubSup>
        <m:r>
          <m:rPr/>
          <w:rPr>
            <w:rFonts w:hint="default" w:ascii="Cambria Math" w:hAnsi="Cambria Math" w:cs="Cambria Math"/>
            <w:kern w:val="2"/>
            <w:sz w:val="21"/>
            <w:szCs w:val="24"/>
            <w:lang w:val="en-US" w:bidi="ar-SA"/>
          </w:rPr>
          <m:t>Δ</m:t>
        </m:r>
        <m:sSub>
          <m:sSubPr>
            <m:ctrlPr>
              <w:rPr>
                <w:rFonts w:hint="default" w:ascii="Cambria Math" w:hAnsi="Cambria Math" w:cs="Cambria Math"/>
                <w:b w:val="0"/>
                <w:i/>
                <w:kern w:val="2"/>
                <w:sz w:val="21"/>
                <w:szCs w:val="24"/>
                <w:lang w:val="en-US" w:bidi="ar-SA"/>
              </w:rPr>
            </m:ctrlPr>
          </m:sSubPr>
          <m:e>
            <m:r>
              <m:rPr/>
              <w:rPr>
                <w:rFonts w:ascii="Cambria Math" w:hAnsi="Cambria Math" w:cs="Cambria Math"/>
                <w:kern w:val="2"/>
                <w:sz w:val="21"/>
                <w:szCs w:val="24"/>
                <w:lang w:val="en-US" w:bidi="ar-SA"/>
              </w:rPr>
              <m:t>θ</m:t>
            </m:r>
            <m:ctrlPr>
              <w:rPr>
                <w:rFonts w:hint="default" w:ascii="Cambria Math" w:hAnsi="Cambria Math" w:cs="Cambria Math"/>
                <w:b w:val="0"/>
                <w:i/>
                <w:kern w:val="2"/>
                <w:sz w:val="21"/>
                <w:szCs w:val="24"/>
                <w:lang w:val="en-US" w:bidi="ar-SA"/>
              </w:rPr>
            </m:ctrlPr>
          </m:e>
          <m:sub>
            <m:r>
              <m:rPr/>
              <w:rPr>
                <w:rFonts w:hint="default" w:ascii="Cambria Math" w:hAnsi="Cambria Math" w:cs="Cambria Math"/>
                <w:kern w:val="2"/>
                <w:sz w:val="21"/>
                <w:szCs w:val="24"/>
                <w:lang w:val="en-US" w:eastAsia="zh-CN" w:bidi="ar-SA"/>
              </w:rPr>
              <m:t>agg</m:t>
            </m:r>
            <m:ctrlPr>
              <w:rPr>
                <w:rFonts w:hint="default" w:ascii="Cambria Math" w:hAnsi="Cambria Math" w:cs="Cambria Math"/>
                <w:b w:val="0"/>
                <w:i/>
                <w:kern w:val="2"/>
                <w:sz w:val="21"/>
                <w:szCs w:val="24"/>
                <w:lang w:val="en-US" w:bidi="ar-SA"/>
              </w:rPr>
            </m:ctrlPr>
          </m:sub>
        </m:sSub>
        <m:r>
          <m:rPr/>
          <w:rPr>
            <w:rFonts w:hint="default" w:ascii="Cambria Math" w:hAnsi="Cambria Math" w:cs="Cambria Math"/>
            <w:kern w:val="2"/>
            <w:sz w:val="21"/>
            <w:szCs w:val="24"/>
            <w:lang w:val="en-US" w:eastAsia="zh-CN" w:bidi="ar-SA"/>
          </w:rPr>
          <m:t>&gt;</m:t>
        </m:r>
        <m:r>
          <m:rPr/>
          <w:rPr>
            <w:rFonts w:hint="default" w:ascii="Cambria Math" w:hAnsi="Cambria Math" w:cs="Cambria Math"/>
            <w:kern w:val="2"/>
            <w:sz w:val="21"/>
            <w:szCs w:val="24"/>
            <w:lang w:val="en-US" w:eastAsia="zh-CN" w:bidi="ar-SA"/>
          </w:rPr>
          <m:t>0</m:t>
        </m:r>
      </m:oMath>
      <w:r>
        <m:rPr/>
        <w:rPr>
          <w:rFonts w:hint="eastAsia" w:hAnsi="Cambria Math" w:cs="Cambria Math"/>
          <w:i w:val="0"/>
          <w:kern w:val="2"/>
          <w:sz w:val="21"/>
          <w:szCs w:val="24"/>
          <w:lang w:val="en-US" w:eastAsia="zh-CN" w:bidi="ar-SA"/>
        </w:rPr>
        <w:t>。这意味着聚合可以在降低目标攻击响应的同时扩大边界区域的异常响应。我们将这种现象称为区域级聚合干扰（Region-wise Aggregation Interference）。为了实证检验该解释，我们进一步定义归一化区域干扰：</w:t>
      </w:r>
    </w:p>
    <w:p w14:paraId="7F3AB8D3">
      <w:pPr>
        <w:bidi w:val="0"/>
        <w:ind w:firstLine="515" w:firstLineChars="0"/>
        <w:jc w:val="both"/>
        <m:rPr/>
        <w:rPr>
          <w:rFonts w:hint="default" w:hAnsi="Cambria Math" w:cs="Cambria Math"/>
          <w:i w:val="0"/>
          <w:kern w:val="2"/>
          <w:sz w:val="21"/>
          <w:szCs w:val="24"/>
          <w:lang w:val="en-US" w:eastAsia="zh-CN" w:bidi="ar-SA"/>
        </w:rPr>
      </w:pPr>
      <m:oMathPara>
        <m:oMath>
          <m:sSub>
            <m:sSubPr>
              <m:ctrl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I</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r</m:t>
              </m:r>
              <m:ctrlPr>
                <w:rPr>
                  <w:rFonts w:ascii="Cambria Math" w:hAnsi="Cambria Math" w:cs="Cambria Math"/>
                  <w:i/>
                  <w:kern w:val="2"/>
                  <w:sz w:val="21"/>
                  <w:szCs w:val="24"/>
                  <w:lang w:val="en-US" w:bidi="ar-SA"/>
                </w:rPr>
              </m:ctrlPr>
            </m:sub>
          </m:sSub>
          <m:r>
            <m:rPr/>
            <w:rPr>
              <w:rFonts w:hint="default" w:ascii="Cambria Math" w:hAnsi="Cambria Math" w:cs="Cambria Math"/>
              <w:kern w:val="2"/>
              <w:sz w:val="21"/>
              <w:szCs w:val="24"/>
              <w:lang w:val="en-US" w:eastAsia="zh-CN" w:bidi="ar-SA"/>
            </w:rPr>
            <m:t>=</m:t>
          </m:r>
          <m:box>
            <m:boxPr>
              <m:ctrlPr>
                <m:rPr/>
                <w:rPr>
                  <w:rFonts w:hint="default" w:ascii="Cambria Math" w:hAnsi="Cambria Math" w:cs="Cambria Math"/>
                  <w:i/>
                  <w:kern w:val="2"/>
                  <w:sz w:val="21"/>
                  <w:szCs w:val="24"/>
                  <w:lang w:val="en-US" w:eastAsia="zh-CN" w:bidi="ar-SA"/>
                </w:rPr>
              </m:ctrlPr>
            </m:boxPr>
            <m:e>
              <m:argPr>
                <m:argSz m:val="-1"/>
              </m:argPr>
              <m:f>
                <m:fPr>
                  <m:ctrlPr>
                    <m:rPr/>
                    <w:rPr>
                      <w:rFonts w:hint="default" w:ascii="Cambria Math" w:hAnsi="Cambria Math" w:cs="Cambria Math"/>
                      <w:i/>
                      <w:kern w:val="2"/>
                      <w:sz w:val="21"/>
                      <w:szCs w:val="24"/>
                      <w:lang w:val="en-US" w:eastAsia="zh-CN" w:bidi="ar-SA"/>
                    </w:rPr>
                  </m:ctrlPr>
                </m:fPr>
                <m:num>
                  <m:r>
                    <m:rPr/>
                    <w:rPr>
                      <w:rFonts w:ascii="Cambria Math" w:hAnsi="Cambria Math" w:cs="Cambria Math"/>
                      <w:kern w:val="2"/>
                      <w:sz w:val="21"/>
                      <w:szCs w:val="24"/>
                      <w:lang w:val="en-US" w:bidi="ar-SA"/>
                    </w:rPr>
                    <m:t>∇</m:t>
                  </m:r>
                  <m:sSubSup>
                    <m:sSubSupPr>
                      <m:ctrlPr>
                        <w:rPr>
                          <w:rFonts w:ascii="Cambria Math" w:hAnsi="Cambria Math" w:cs="Cambria Math"/>
                          <w:i/>
                          <w:kern w:val="2"/>
                          <w:sz w:val="21"/>
                          <w:szCs w:val="24"/>
                          <w:lang w:val="en-US" w:bidi="ar-SA"/>
                        </w:rPr>
                      </m:ctrlPr>
                    </m:sSubSupPr>
                    <m:e>
                      <m:r>
                        <m:rPr/>
                        <w:rPr>
                          <w:rFonts w:hint="default" w:ascii="Cambria Math" w:hAnsi="Cambria Math" w:cs="Cambria Math"/>
                          <w:kern w:val="2"/>
                          <w:sz w:val="21"/>
                          <w:szCs w:val="24"/>
                          <w:lang w:val="en-US" w:eastAsia="zh-CN" w:bidi="ar-SA"/>
                        </w:rPr>
                        <m:t>F</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T</m:t>
                      </m:r>
                      <m:ctrlPr>
                        <w:rPr>
                          <w:rFonts w:ascii="Cambria Math" w:hAnsi="Cambria Math" w:cs="Cambria Math"/>
                          <w:i/>
                          <w:kern w:val="2"/>
                          <w:sz w:val="21"/>
                          <w:szCs w:val="24"/>
                          <w:lang w:val="en-US" w:bidi="ar-SA"/>
                        </w:rPr>
                      </m:ctrlPr>
                    </m:sub>
                    <m:sup>
                      <m:r>
                        <m:rPr/>
                        <w:rPr>
                          <w:rFonts w:ascii="Cambria Math" w:hAnsi="Cambria Math" w:cs="Cambria Math"/>
                          <w:kern w:val="2"/>
                          <w:sz w:val="21"/>
                          <w:szCs w:val="24"/>
                          <w:lang w:val="en-US" w:bidi="ar-SA"/>
                        </w:rPr>
                        <m:t>⊺</m:t>
                      </m:r>
                      <m:ctrlPr>
                        <w:rPr>
                          <w:rFonts w:ascii="Cambria Math" w:hAnsi="Cambria Math" w:cs="Cambria Math"/>
                          <w:i/>
                          <w:kern w:val="2"/>
                          <w:sz w:val="21"/>
                          <w:szCs w:val="24"/>
                          <w:lang w:val="en-US" w:bidi="ar-SA"/>
                        </w:rPr>
                      </m:ctrlPr>
                    </m:sup>
                  </m:sSubSup>
                  <m:r>
                    <m:rPr/>
                    <w:rPr>
                      <w:rFonts w:hint="default" w:ascii="Cambria Math" w:hAnsi="Cambria Math" w:cs="Cambria Math"/>
                      <w:kern w:val="2"/>
                      <w:sz w:val="21"/>
                      <w:szCs w:val="24"/>
                      <w:lang w:val="en-US" w:bidi="ar-SA"/>
                    </w:rPr>
                    <m:t>Δ</m:t>
                  </m:r>
                  <m:sSub>
                    <m:sSubPr>
                      <m:ctrlPr>
                        <w:rPr>
                          <w:rFonts w:hint="default" w:ascii="Cambria Math" w:hAnsi="Cambria Math" w:cs="Cambria Math"/>
                          <w:b w:val="0"/>
                          <w:i/>
                          <w:kern w:val="2"/>
                          <w:sz w:val="21"/>
                          <w:szCs w:val="24"/>
                          <w:lang w:val="en-US" w:bidi="ar-SA"/>
                        </w:rPr>
                      </m:ctrlPr>
                    </m:sSubPr>
                    <m:e>
                      <m:r>
                        <m:rPr/>
                        <w:rPr>
                          <w:rFonts w:ascii="Cambria Math" w:hAnsi="Cambria Math" w:cs="Cambria Math"/>
                          <w:kern w:val="2"/>
                          <w:sz w:val="21"/>
                          <w:szCs w:val="24"/>
                          <w:lang w:val="en-US" w:bidi="ar-SA"/>
                        </w:rPr>
                        <m:t>θ</m:t>
                      </m:r>
                      <m:ctrlPr>
                        <w:rPr>
                          <w:rFonts w:hint="default" w:ascii="Cambria Math" w:hAnsi="Cambria Math" w:cs="Cambria Math"/>
                          <w:b w:val="0"/>
                          <w:i/>
                          <w:kern w:val="2"/>
                          <w:sz w:val="21"/>
                          <w:szCs w:val="24"/>
                          <w:lang w:val="en-US" w:bidi="ar-SA"/>
                        </w:rPr>
                      </m:ctrlPr>
                    </m:e>
                    <m:sub>
                      <m:r>
                        <m:rPr/>
                        <w:rPr>
                          <w:rFonts w:hint="default" w:ascii="Cambria Math" w:hAnsi="Cambria Math" w:cs="Cambria Math"/>
                          <w:kern w:val="2"/>
                          <w:sz w:val="21"/>
                          <w:szCs w:val="24"/>
                          <w:lang w:val="en-US" w:eastAsia="zh-CN" w:bidi="ar-SA"/>
                        </w:rPr>
                        <m:t>agg</m:t>
                      </m:r>
                      <m:ctrlPr>
                        <w:rPr>
                          <w:rFonts w:hint="default" w:ascii="Cambria Math" w:hAnsi="Cambria Math" w:cs="Cambria Math"/>
                          <w:b w:val="0"/>
                          <w:i/>
                          <w:kern w:val="2"/>
                          <w:sz w:val="21"/>
                          <w:szCs w:val="24"/>
                          <w:lang w:val="en-US" w:bidi="ar-SA"/>
                        </w:rPr>
                      </m:ctrlPr>
                    </m:sub>
                  </m:sSub>
                  <m:ctrlPr>
                    <m:rPr/>
                    <w:rPr>
                      <w:rFonts w:hint="default" w:ascii="Cambria Math" w:hAnsi="Cambria Math" w:cs="Cambria Math"/>
                      <w:i/>
                      <w:kern w:val="2"/>
                      <w:sz w:val="21"/>
                      <w:szCs w:val="24"/>
                      <w:lang w:val="en-US" w:eastAsia="zh-CN" w:bidi="ar-SA"/>
                    </w:rPr>
                  </m:ctrlPr>
                </m:num>
                <m:den>
                  <m:sSub>
                    <m:sSubPr>
                      <m:ctrlPr>
                        <m:rPr/>
                        <w:rPr>
                          <w:rFonts w:hint="default" w:ascii="Cambria Math" w:hAnsi="Cambria Math" w:cs="Cambria Math"/>
                          <w:i/>
                          <w:kern w:val="2"/>
                          <w:sz w:val="21"/>
                          <w:szCs w:val="24"/>
                          <w:lang w:val="en-US" w:eastAsia="zh-CN" w:bidi="ar-SA"/>
                        </w:rPr>
                      </m:ctrlPr>
                    </m:sSubPr>
                    <m:e>
                      <m:d>
                        <m:dPr>
                          <m:begChr m:val="‖"/>
                          <m:endChr m:val="‖"/>
                          <m:ctrlPr>
                            <m:rPr/>
                            <w:rPr>
                              <w:rFonts w:hint="default" w:ascii="Cambria Math" w:hAnsi="Cambria Math" w:cs="Cambria Math"/>
                              <w:i/>
                              <w:kern w:val="2"/>
                              <w:sz w:val="21"/>
                              <w:szCs w:val="24"/>
                              <w:lang w:val="en-US" w:eastAsia="zh-CN" w:bidi="ar-SA"/>
                            </w:rPr>
                          </m:ctrlPr>
                        </m:dPr>
                        <m:e>
                          <m:r>
                            <m:rPr/>
                            <w:rPr>
                              <w:rFonts w:ascii="Cambria Math" w:hAnsi="Cambria Math" w:cs="Cambria Math"/>
                              <w:kern w:val="2"/>
                              <w:sz w:val="21"/>
                              <w:szCs w:val="24"/>
                              <w:lang w:val="en-US" w:bidi="ar-SA"/>
                            </w:rPr>
                            <m:t>∇</m:t>
                          </m:r>
                          <m:sSub>
                            <m:sSubPr>
                              <m:ctrlPr>
                                <m:r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F</m:t>
                              </m:r>
                              <m:ctrlPr>
                                <m:r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r</m:t>
                              </m:r>
                              <m:ctrlPr>
                                <m:rPr/>
                                <w:rPr>
                                  <w:rFonts w:ascii="Cambria Math" w:hAnsi="Cambria Math" w:cs="Cambria Math"/>
                                  <w:i/>
                                  <w:kern w:val="2"/>
                                  <w:sz w:val="21"/>
                                  <w:szCs w:val="24"/>
                                  <w:lang w:val="en-US" w:bidi="ar-SA"/>
                                </w:rPr>
                              </m:ctrlPr>
                            </m:sub>
                          </m:sSub>
                          <m:ctrlPr>
                            <m:rPr/>
                            <w:rPr>
                              <w:rFonts w:hint="default" w:ascii="Cambria Math" w:hAnsi="Cambria Math" w:cs="Cambria Math"/>
                              <w:i/>
                              <w:kern w:val="2"/>
                              <w:sz w:val="21"/>
                              <w:szCs w:val="24"/>
                              <w:lang w:val="en-US" w:eastAsia="zh-CN" w:bidi="ar-SA"/>
                            </w:rPr>
                          </m:ctrlPr>
                        </m:e>
                      </m:d>
                      <m:ctrlPr>
                        <m:r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2</m:t>
                      </m:r>
                      <m:ctrlPr>
                        <m:rPr/>
                        <w:rPr>
                          <w:rFonts w:hint="default" w:ascii="Cambria Math" w:hAnsi="Cambria Math" w:cs="Cambria Math"/>
                          <w:i/>
                          <w:kern w:val="2"/>
                          <w:sz w:val="21"/>
                          <w:szCs w:val="24"/>
                          <w:lang w:val="en-US" w:eastAsia="zh-CN" w:bidi="ar-SA"/>
                        </w:rPr>
                      </m:ctrlPr>
                    </m:sub>
                  </m:sSub>
                  <m:sSub>
                    <m:sSubPr>
                      <m:ctrlPr>
                        <m:rPr/>
                        <w:rPr>
                          <w:rFonts w:hint="default" w:ascii="Cambria Math" w:hAnsi="Cambria Math" w:cs="Cambria Math"/>
                          <w:i/>
                          <w:kern w:val="2"/>
                          <w:sz w:val="21"/>
                          <w:szCs w:val="24"/>
                          <w:lang w:val="en-US" w:eastAsia="zh-CN" w:bidi="ar-SA"/>
                        </w:rPr>
                      </m:ctrlPr>
                    </m:sSubPr>
                    <m:e>
                      <m:d>
                        <m:dPr>
                          <m:begChr m:val="‖"/>
                          <m:endChr m:val="‖"/>
                          <m:ctrlPr>
                            <m:rPr/>
                            <w:rPr>
                              <w:rFonts w:hint="default" w:ascii="Cambria Math" w:hAnsi="Cambria Math" w:cs="Cambria Math"/>
                              <w:i/>
                              <w:kern w:val="2"/>
                              <w:sz w:val="21"/>
                              <w:szCs w:val="24"/>
                              <w:lang w:val="en-US" w:eastAsia="zh-CN" w:bidi="ar-SA"/>
                            </w:rPr>
                          </m:ctrlPr>
                        </m:dPr>
                        <m:e>
                          <m:r>
                            <m:rPr/>
                            <w:rPr>
                              <w:rFonts w:ascii="Cambria Math" w:hAnsi="Cambria Math" w:cs="Cambria Math"/>
                              <w:kern w:val="2"/>
                              <w:sz w:val="21"/>
                              <w:szCs w:val="24"/>
                              <w:lang w:val="en-US" w:bidi="ar-SA"/>
                            </w:rPr>
                            <m:t>Δ</m:t>
                          </m:r>
                          <m:sSub>
                            <m:sSubPr>
                              <m:ctrlPr>
                                <m:rPr/>
                                <w:rPr>
                                  <w:rFonts w:ascii="Cambria Math" w:hAnsi="Cambria Math" w:cs="Cambria Math"/>
                                  <w:i/>
                                  <w:kern w:val="2"/>
                                  <w:sz w:val="21"/>
                                  <w:szCs w:val="24"/>
                                  <w:lang w:val="en-US" w:bidi="ar-SA"/>
                                </w:rPr>
                              </m:ctrlPr>
                            </m:sSubPr>
                            <m:e>
                              <m:r>
                                <m:rPr/>
                                <w:rPr>
                                  <w:rFonts w:ascii="Cambria Math" w:hAnsi="Cambria Math" w:cs="Cambria Math"/>
                                  <w:kern w:val="2"/>
                                  <w:sz w:val="21"/>
                                  <w:szCs w:val="24"/>
                                  <w:lang w:val="en-US" w:bidi="ar-SA"/>
                                </w:rPr>
                                <m:t>θ</m:t>
                              </m:r>
                              <m:ctrlPr>
                                <m:r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agg</m:t>
                              </m:r>
                              <m:ctrlPr>
                                <m:rPr/>
                                <w:rPr>
                                  <w:rFonts w:ascii="Cambria Math" w:hAnsi="Cambria Math" w:cs="Cambria Math"/>
                                  <w:i/>
                                  <w:kern w:val="2"/>
                                  <w:sz w:val="21"/>
                                  <w:szCs w:val="24"/>
                                  <w:lang w:val="en-US" w:bidi="ar-SA"/>
                                </w:rPr>
                              </m:ctrlPr>
                            </m:sub>
                          </m:sSub>
                          <m:ctrlPr>
                            <m:rPr/>
                            <w:rPr>
                              <w:rFonts w:hint="default" w:ascii="Cambria Math" w:hAnsi="Cambria Math" w:cs="Cambria Math"/>
                              <w:i/>
                              <w:kern w:val="2"/>
                              <w:sz w:val="21"/>
                              <w:szCs w:val="24"/>
                              <w:lang w:val="en-US" w:eastAsia="zh-CN" w:bidi="ar-SA"/>
                            </w:rPr>
                          </m:ctrlPr>
                        </m:e>
                      </m:d>
                      <m:ctrlPr>
                        <m:r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2</m:t>
                      </m:r>
                      <m:ctrlPr>
                        <m:rPr/>
                        <w:rPr>
                          <w:rFonts w:hint="default" w:ascii="Cambria Math" w:hAnsi="Cambria Math" w:cs="Cambria Math"/>
                          <w:i/>
                          <w:kern w:val="2"/>
                          <w:sz w:val="21"/>
                          <w:szCs w:val="24"/>
                          <w:lang w:val="en-US" w:eastAsia="zh-CN" w:bidi="ar-SA"/>
                        </w:rPr>
                      </m:ctrlPr>
                    </m:sub>
                  </m:sSub>
                  <m:ctrlPr>
                    <m:rPr/>
                    <w:rPr>
                      <w:rFonts w:hint="default" w:ascii="Cambria Math" w:hAnsi="Cambria Math" w:cs="Cambria Math"/>
                      <w:i/>
                      <w:kern w:val="2"/>
                      <w:sz w:val="21"/>
                      <w:szCs w:val="24"/>
                      <w:lang w:val="en-US" w:eastAsia="zh-CN" w:bidi="ar-SA"/>
                    </w:rPr>
                  </m:ctrlPr>
                </m:den>
              </m:f>
              <m:ctrlPr>
                <m:rPr/>
                <w:rPr>
                  <w:rFonts w:hint="default" w:ascii="Cambria Math" w:hAnsi="Cambria Math" w:cs="Cambria Math"/>
                  <w:i/>
                  <w:kern w:val="2"/>
                  <w:sz w:val="21"/>
                  <w:szCs w:val="24"/>
                  <w:lang w:val="en-US" w:eastAsia="zh-CN" w:bidi="ar-SA"/>
                </w:rPr>
              </m:ctrlPr>
            </m:e>
          </m:box>
        </m:oMath>
      </m:oMathPara>
    </w:p>
    <w:p w14:paraId="7CE74592">
      <w:pPr>
        <w:bidi w:val="0"/>
        <w:ind w:firstLine="515" w:firstLineChars="0"/>
        <w:jc w:val="both"/>
        <m:rPr/>
        <w:rPr>
          <w:rFonts w:hint="eastAsia" w:hAnsi="Cambria Math" w:cs="Cambria Math"/>
          <w:i w:val="0"/>
          <w:kern w:val="2"/>
          <w:sz w:val="21"/>
          <w:szCs w:val="24"/>
          <w:lang w:val="en-US" w:bidi="ar-SA"/>
        </w:rPr>
      </w:pPr>
      <w:r>
        <m:rPr/>
        <w:rPr>
          <w:rFonts w:hint="eastAsia" w:hAnsi="Cambria Math" w:cs="Cambria Math"/>
          <w:i w:val="0"/>
          <w:kern w:val="2"/>
          <w:sz w:val="21"/>
          <w:szCs w:val="24"/>
          <w:lang w:val="en-US" w:eastAsia="zh-CN" w:bidi="ar-SA"/>
        </w:rPr>
        <w:t xml:space="preserve">若上述机制成立，则区域干扰 </w:t>
      </w:r>
      <m:oMath>
        <m:sSub>
          <m:sSubPr>
            <m:ctrl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I</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r</m:t>
            </m:r>
            <m:ctrlPr>
              <w:rPr>
                <w:rFonts w:ascii="Cambria Math" w:hAnsi="Cambria Math" w:cs="Cambria Math"/>
                <w:i/>
                <w:kern w:val="2"/>
                <w:sz w:val="21"/>
                <w:szCs w:val="24"/>
                <w:lang w:val="en-US" w:bidi="ar-SA"/>
              </w:rPr>
            </m:ctrlPr>
          </m:sub>
        </m:sSub>
      </m:oMath>
      <w:r>
        <w:rPr>
          <w:rFonts w:hint="eastAsia" w:hAnsi="Cambria Math" w:cs="Cambria Math"/>
          <w:i w:val="0"/>
          <w:kern w:val="2"/>
          <w:sz w:val="21"/>
          <w:szCs w:val="24"/>
          <w:lang w:val="en-US" w:eastAsia="zh-CN" w:bidi="ar-SA"/>
        </w:rPr>
        <w:t xml:space="preserve"> </w:t>
      </w:r>
      <w:r>
        <w:rPr>
          <w:rFonts w:hint="eastAsia" w:hAnsi="Cambria Math" w:cs="Cambria Math"/>
          <w:i w:val="0"/>
          <w:kern w:val="2"/>
          <w:sz w:val="21"/>
          <w:szCs w:val="24"/>
          <w:lang w:val="en-US" w:bidi="ar-SA"/>
        </w:rPr>
        <w:t>应与实际观察到的行为变化</w:t>
      </w:r>
      <m:oMath>
        <m:r>
          <m:rPr/>
          <w:rPr>
            <w:rFonts w:ascii="Cambria Math" w:hAnsi="Cambria Math" w:cs="Cambria Math"/>
            <w:kern w:val="2"/>
            <w:sz w:val="21"/>
            <w:szCs w:val="24"/>
            <w:lang w:val="en-US" w:bidi="ar-SA"/>
          </w:rPr>
          <m:t>Δ</m:t>
        </m:r>
        <m:sSub>
          <m:sSubPr>
            <m:ctrlPr>
              <m:r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A</m:t>
            </m:r>
            <m:ctrlPr>
              <m:r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r</m:t>
            </m:r>
            <m:ctrlPr>
              <m:rPr/>
              <w:rPr>
                <w:rFonts w:ascii="Cambria Math" w:hAnsi="Cambria Math" w:cs="Cambria Math"/>
                <w:i/>
                <w:kern w:val="2"/>
                <w:sz w:val="21"/>
                <w:szCs w:val="24"/>
                <w:lang w:val="en-US" w:bidi="ar-SA"/>
              </w:rPr>
            </m:ctrlPr>
          </m:sub>
        </m:sSub>
      </m:oMath>
      <w:r>
        <m:rPr/>
        <w:rPr>
          <w:rFonts w:hint="eastAsia" w:hAnsi="Cambria Math" w:cs="Cambria Math"/>
          <w:i w:val="0"/>
          <w:kern w:val="2"/>
          <w:sz w:val="21"/>
          <w:szCs w:val="24"/>
          <w:lang w:val="en-US" w:bidi="ar-SA"/>
        </w:rPr>
        <w:t>保持一致。</w:t>
      </w:r>
    </w:p>
    <w:p w14:paraId="361D1630">
      <w:pPr>
        <w:bidi w:val="0"/>
        <w:ind w:firstLine="515" w:firstLineChars="0"/>
        <w:jc w:val="both"/>
        <m:rPr/>
        <w:rPr>
          <w:rFonts w:hint="eastAsia" w:hAnsi="Cambria Math" w:cs="Cambria Math"/>
          <w:i w:val="0"/>
          <w:kern w:val="2"/>
          <w:sz w:val="21"/>
          <w:szCs w:val="24"/>
          <w:lang w:val="en-US" w:bidi="ar-SA"/>
        </w:rPr>
      </w:pPr>
    </w:p>
    <w:p w14:paraId="584F84BD">
      <w:pPr>
        <w:bidi w:val="0"/>
        <w:jc w:val="both"/>
        <w:outlineLvl w:val="1"/>
        <m:rPr/>
        <w:rPr>
          <w:rFonts w:hint="eastAsia" w:hAnsi="Cambria Math" w:cs="Cambria Math"/>
          <w:i w:val="0"/>
          <w:kern w:val="2"/>
          <w:sz w:val="21"/>
          <w:szCs w:val="24"/>
          <w:lang w:val="en-US" w:eastAsia="zh-CN" w:bidi="ar-SA"/>
        </w:rPr>
      </w:pPr>
      <w:r>
        <m:rPr/>
        <w:rPr>
          <w:rFonts w:hint="eastAsia" w:hAnsi="Cambria Math" w:cs="Cambria Math"/>
          <w:i w:val="0"/>
          <w:kern w:val="2"/>
          <w:sz w:val="21"/>
          <w:szCs w:val="24"/>
          <w:lang w:val="en-US" w:eastAsia="zh-CN" w:bidi="ar-SA"/>
        </w:rPr>
        <w:t>3.5 Behavior Profile Feedback Correction</w:t>
      </w:r>
    </w:p>
    <w:p w14:paraId="333EFA5E">
      <w:pPr>
        <w:bidi w:val="0"/>
        <w:ind w:firstLine="473" w:firstLineChars="0"/>
        <w:jc w:val="left"/>
        <m:rPr/>
        <w:rPr>
          <w:rFonts w:hint="eastAsia" w:cstheme="minorBidi"/>
          <w:kern w:val="2"/>
          <w:sz w:val="21"/>
          <w:szCs w:val="24"/>
          <w:lang w:val="en-US" w:eastAsia="zh-CN" w:bidi="ar-SA"/>
        </w:rPr>
      </w:pPr>
      <w:r>
        <m:rPr/>
        <w:rPr>
          <w:rFonts w:hint="eastAsia" w:asciiTheme="minorHAnsi" w:hAnsiTheme="minorHAnsi" w:eastAsiaTheme="minorEastAsia" w:cstheme="minorBidi"/>
          <w:kern w:val="2"/>
          <w:sz w:val="21"/>
          <w:szCs w:val="24"/>
          <w:lang w:val="en-US" w:eastAsia="zh-CN" w:bidi="ar-SA"/>
        </w:rPr>
        <w:t>区域级聚合干扰进一步揭示了现有自适应攻击目标的局限性。若攻击者仅根据聚合后的目标 ASR 调节攻击强度，那么目标行为的衰减通常会促使其在下一轮进一步增强恶意优化。然而，当 Boundary 区域已经发生扩张时，这种统一增强可能同时放大非预期行为，使攻击边界进一步偏离本地设计。因此，我们提出 Behavior Profile Feedback Correction（BPFC），使攻击者根据真实全局行为剖面，而非单一 ASR，调整后续优化</w:t>
      </w:r>
      <w:r>
        <m:rPr/>
        <w:rPr>
          <w:rFonts w:hint="eastAsia" w:cstheme="minorBidi"/>
          <w:kern w:val="2"/>
          <w:sz w:val="21"/>
          <w:szCs w:val="24"/>
          <w:lang w:val="en-US" w:eastAsia="zh-CN" w:bidi="ar-SA"/>
        </w:rPr>
        <w:t>。</w:t>
      </w:r>
    </w:p>
    <w:p w14:paraId="5285596C">
      <w:pPr>
        <w:bidi w:val="0"/>
        <w:ind w:firstLine="473" w:firstLineChars="0"/>
        <w:jc w:val="left"/>
        <w:rPr>
          <w:rFonts w:hint="eastAsia" w:hAnsi="Cambria Math" w:cstheme="minorBidi"/>
          <w:i w:val="0"/>
          <w:kern w:val="2"/>
          <w:sz w:val="21"/>
          <w:szCs w:val="24"/>
          <w:lang w:val="en-US" w:eastAsia="zh-CN" w:bidi="ar-SA"/>
        </w:rPr>
      </w:pPr>
      <w:r>
        <m:rPr/>
        <w:rPr>
          <w:rFonts w:hint="default" w:cstheme="minorBidi"/>
          <w:kern w:val="2"/>
          <w:sz w:val="21"/>
          <w:szCs w:val="24"/>
          <w:lang w:val="en-US" w:eastAsia="zh-CN" w:bidi="ar-SA"/>
        </w:rPr>
        <w:t>设攻击者期望的行为剖面为：</w:t>
      </w:r>
      <m:oMath>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B</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m:t>
        </m:r>
        <m:sSubSup>
          <m:sSubSupPr>
            <m:ctrlPr>
              <m:r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A</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t>
            </m:r>
            <m:ctrlPr>
              <m:r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oMath>
      <w:r>
        <m:rPr/>
        <w:rPr>
          <w:rFonts w:hint="eastAsia" w:hAnsi="Cambria Math" w:cstheme="minorBidi"/>
          <w:i w:val="0"/>
          <w:kern w:val="2"/>
          <w:sz w:val="21"/>
          <w:szCs w:val="24"/>
          <w:lang w:val="en-US" w:eastAsia="zh-CN" w:bidi="ar-SA"/>
        </w:rPr>
        <w:t xml:space="preserve">。第 </w:t>
      </w:r>
      <m:oMath>
        <m:r>
          <m:rPr/>
          <w:rPr>
            <w:rFonts w:hint="default" w:ascii="Cambria Math" w:hAnsi="Cambria Math" w:cstheme="minorBidi"/>
            <w:kern w:val="2"/>
            <w:sz w:val="21"/>
            <w:szCs w:val="24"/>
            <w:lang w:val="en-US" w:eastAsia="zh-CN" w:bidi="ar-SA"/>
          </w:rPr>
          <m:t xml:space="preserve">t </m:t>
        </m:r>
      </m:oMath>
      <w:r>
        <m:rPr/>
        <w:rPr>
          <w:rFonts w:hint="eastAsia" w:hAnsi="Cambria Math" w:cstheme="minorBidi"/>
          <w:i w:val="0"/>
          <w:kern w:val="2"/>
          <w:sz w:val="21"/>
          <w:szCs w:val="24"/>
          <w:lang w:val="en-US" w:eastAsia="zh-CN" w:bidi="ar-SA"/>
        </w:rPr>
        <w:t>轮全局模型广播后，攻击者得到：</w:t>
      </w:r>
      <m:oMath>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e</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m:t>
        </m:r>
        <m:sSup>
          <m:sSupPr>
            <m:ctrlPr>
              <m:r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B</m:t>
            </m:r>
            <m:ctrlPr>
              <m:r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m:t>
            </m:r>
            <m:ctrlPr>
              <m:rPr/>
              <w:rPr>
                <w:rFonts w:hint="default" w:ascii="Cambria Math" w:hAnsi="Cambria Math" w:cstheme="minorBidi"/>
                <w:i/>
                <w:kern w:val="2"/>
                <w:sz w:val="21"/>
                <w:szCs w:val="24"/>
                <w:lang w:val="en-US" w:eastAsia="zh-CN" w:bidi="ar-SA"/>
              </w:rPr>
            </m:ctrlPr>
          </m:sup>
        </m:sSup>
        <m:r>
          <m:rPr/>
          <w:rPr>
            <w:rFonts w:hint="default" w:ascii="Cambria Math" w:hAnsi="Cambria Math" w:cstheme="minorBidi"/>
            <w:kern w:val="2"/>
            <w:sz w:val="21"/>
            <w:szCs w:val="24"/>
            <w:lang w:val="en-US" w:eastAsia="zh-CN" w:bidi="ar-SA"/>
          </w:rPr>
          <m:t>−B(</m:t>
        </m:r>
        <m:sSubSup>
          <m:sSubSupPr>
            <m:ctrlPr>
              <m:r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θ</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G</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oMath>
      <w:r>
        <m:rPr/>
        <w:rPr>
          <w:rFonts w:hint="eastAsia" w:hAnsi="Cambria Math" w:cstheme="minorBidi"/>
          <w:i w:val="0"/>
          <w:kern w:val="2"/>
          <w:sz w:val="21"/>
          <w:szCs w:val="24"/>
          <w:lang w:val="en-US" w:eastAsia="zh-CN" w:bidi="ar-SA"/>
        </w:rPr>
        <w:t>，其中</w:t>
      </w:r>
      <m:oMath>
        <m:sSubSup>
          <m:sSubSupPr>
            <m:ctrl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e</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bSup>
      </m:oMath>
      <w:r>
        <w:rPr>
          <w:rFonts w:hint="eastAsia" w:hAnsi="Cambria Math" w:cstheme="minorBidi"/>
          <w:i w:val="0"/>
          <w:kern w:val="2"/>
          <w:sz w:val="21"/>
          <w:szCs w:val="24"/>
          <w:lang w:val="en-US" w:bidi="ar-SA"/>
        </w:rPr>
        <w:t>刻画区域</w:t>
      </w:r>
      <m:oMath>
        <m:r>
          <m:rPr/>
          <w:rPr>
            <w:rFonts w:hint="default" w:ascii="Cambria Math" w:hAnsi="Cambria Math" w:cstheme="minorBidi"/>
            <w:kern w:val="2"/>
            <w:sz w:val="21"/>
            <w:szCs w:val="24"/>
            <w:lang w:val="en-US" w:eastAsia="zh-CN" w:bidi="ar-SA"/>
          </w:rPr>
          <m:t xml:space="preserve"> r </m:t>
        </m:r>
      </m:oMath>
      <w:r>
        <w:rPr>
          <w:rFonts w:hint="eastAsia" w:hAnsi="Cambria Math" w:cstheme="minorBidi"/>
          <w:i w:val="0"/>
          <w:kern w:val="2"/>
          <w:sz w:val="21"/>
          <w:szCs w:val="24"/>
          <w:lang w:val="en-US" w:bidi="ar-SA"/>
        </w:rPr>
        <w:t>相对于期望行为的偏差。与固定的后门训练目标不同，BPFC 根据</w:t>
      </w:r>
      <m:oMath>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e</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p>
        </m:sSup>
      </m:oMath>
      <w:r>
        <w:rPr>
          <w:rFonts w:hint="eastAsia" w:hAnsi="Cambria Math" w:cstheme="minorBidi"/>
          <w:i w:val="0"/>
          <w:kern w:val="2"/>
          <w:sz w:val="21"/>
          <w:szCs w:val="24"/>
          <w:lang w:val="en-US" w:eastAsia="zh-CN" w:bidi="ar-SA"/>
        </w:rPr>
        <w:t xml:space="preserve"> 动态调整不同区域的优化强度。其本地目标写为：</w:t>
      </w:r>
    </w:p>
    <w:p w14:paraId="15CD4040">
      <w:pPr>
        <w:bidi w:val="0"/>
        <w:ind w:firstLine="473" w:firstLineChars="0"/>
        <w:jc w:val="left"/>
        <w:rPr>
          <w:rFonts w:hint="default" w:hAnsi="Cambria Math" w:cstheme="minorBidi"/>
          <w:i w:val="0"/>
          <w:kern w:val="2"/>
          <w:sz w:val="21"/>
          <w:szCs w:val="24"/>
          <w:lang w:val="en-US" w:eastAsia="zh-CN" w:bidi="ar-SA"/>
        </w:rPr>
      </w:pPr>
      <m:oMathPara>
        <m:oMath>
          <m:sSub>
            <m:sSubPr>
              <m:ctrlPr>
                <w:rPr>
                  <w:rFonts w:ascii="Cambria Math" w:hAnsi="Cambria Math" w:cstheme="minorBidi"/>
                  <w:i/>
                  <w:kern w:val="2"/>
                  <w:sz w:val="21"/>
                  <w:szCs w:val="24"/>
                  <w:lang w:val="en-US" w:bidi="ar-SA"/>
                </w:rPr>
              </m:ctrlPr>
            </m:sSubPr>
            <m:e>
              <m:r>
                <m:rPr>
                  <m:scr m:val="script"/>
                </m:rPr>
                <w:rPr>
                  <w:rFonts w:ascii="Cambria Math" w:hAnsi="Cambria Math" w:cstheme="minorBidi"/>
                  <w:kern w:val="2"/>
                  <w:sz w:val="21"/>
                  <w:szCs w:val="24"/>
                  <w:lang w:val="en-US" w:bidi="ar-SA"/>
                </w:rPr>
                <m:t>ℒ</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BPFC</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i/>
                  <w:kern w:val="2"/>
                  <w:sz w:val="21"/>
                  <w:szCs w:val="24"/>
                  <w:lang w:val="en-US" w:eastAsia="zh-CN" w:bidi="ar-SA"/>
                </w:rPr>
              </m:ctrlPr>
            </m:sSubPr>
            <m:e>
              <m:r>
                <m:rPr>
                  <m:scr m:val="script"/>
                </m:rPr>
                <w:rPr>
                  <w:rFonts w:ascii="Cambria Math" w:hAnsi="Cambria Math" w:cstheme="minorBidi"/>
                  <w:kern w:val="2"/>
                  <w:sz w:val="21"/>
                  <w:szCs w:val="24"/>
                  <w:lang w:val="en-US" w:bidi="ar-SA"/>
                </w:rPr>
                <m:t>ℒ</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task</m:t>
              </m:r>
              <m:ctrlPr>
                <m:r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Sup>
            <m:sSubSupPr>
              <m:ctrlPr>
                <m:r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λ</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p>
          </m:sSubSup>
          <m:sSub>
            <m:sSubPr>
              <m:ctrlPr>
                <m:rPr/>
                <w:rPr>
                  <w:rFonts w:hint="default" w:ascii="Cambria Math" w:hAnsi="Cambria Math" w:cstheme="minorBidi"/>
                  <w:i/>
                  <w:kern w:val="2"/>
                  <w:sz w:val="21"/>
                  <w:szCs w:val="24"/>
                  <w:lang w:val="en-US" w:eastAsia="zh-CN" w:bidi="ar-SA"/>
                </w:rPr>
              </m:ctrlPr>
            </m:sSubPr>
            <m:e>
              <m:r>
                <m:rPr>
                  <m:scr m:val="script"/>
                </m:rPr>
                <w:rPr>
                  <w:rFonts w:ascii="Cambria Math" w:hAnsi="Cambria Math" w:cstheme="minorBidi"/>
                  <w:kern w:val="2"/>
                  <w:sz w:val="21"/>
                  <w:szCs w:val="24"/>
                  <w:lang w:val="en-US" w:bidi="ar-SA"/>
                </w:rPr>
                <m:t>ℒ</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λ</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bSup>
          <m:sSub>
            <m:sSubPr>
              <m:ctrlPr>
                <w:rPr>
                  <w:rFonts w:hint="default" w:ascii="Cambria Math" w:hAnsi="Cambria Math" w:cstheme="minorBidi"/>
                  <w:i/>
                  <w:kern w:val="2"/>
                  <w:sz w:val="21"/>
                  <w:szCs w:val="24"/>
                  <w:lang w:val="en-US" w:eastAsia="zh-CN" w:bidi="ar-SA"/>
                </w:rPr>
              </m:ctrlPr>
            </m:sSubPr>
            <m:e>
              <m:r>
                <m:rPr>
                  <m:scr m:val="script"/>
                </m:rPr>
                <w:rPr>
                  <w:rFonts w:ascii="Cambria Math" w:hAnsi="Cambria Math" w:cstheme="minorBidi"/>
                  <w:kern w:val="2"/>
                  <w:sz w:val="21"/>
                  <w:szCs w:val="24"/>
                  <w:lang w:val="en-US" w:bidi="ar-SA"/>
                </w:rPr>
                <m:t>ℒ</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λ</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bSup>
          <m:sSub>
            <m:sSubPr>
              <m:ctrlPr>
                <w:rPr>
                  <w:rFonts w:hint="default" w:ascii="Cambria Math" w:hAnsi="Cambria Math" w:cstheme="minorBidi"/>
                  <w:i/>
                  <w:kern w:val="2"/>
                  <w:sz w:val="21"/>
                  <w:szCs w:val="24"/>
                  <w:lang w:val="en-US" w:eastAsia="zh-CN" w:bidi="ar-SA"/>
                </w:rPr>
              </m:ctrlPr>
            </m:sSubPr>
            <m:e>
              <m:r>
                <m:rPr>
                  <m:scr m:val="script"/>
                </m:rPr>
                <w:rPr>
                  <w:rFonts w:ascii="Cambria Math" w:hAnsi="Cambria Math" w:cstheme="minorBidi"/>
                  <w:kern w:val="2"/>
                  <w:sz w:val="21"/>
                  <w:szCs w:val="24"/>
                  <w:lang w:val="en-US" w:bidi="ar-SA"/>
                </w:rPr>
                <m:t>ℒ</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λ</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bSup>
          <m:sSub>
            <m:sSubPr>
              <m:ctrlPr>
                <w:rPr>
                  <w:rFonts w:hint="default" w:ascii="Cambria Math" w:hAnsi="Cambria Math" w:cstheme="minorBidi"/>
                  <w:i/>
                  <w:kern w:val="2"/>
                  <w:sz w:val="21"/>
                  <w:szCs w:val="24"/>
                  <w:lang w:val="en-US" w:eastAsia="zh-CN" w:bidi="ar-SA"/>
                </w:rPr>
              </m:ctrlPr>
            </m:sSubPr>
            <m:e>
              <m:r>
                <m:rPr>
                  <m:scr m:val="script"/>
                </m:rPr>
                <w:rPr>
                  <w:rFonts w:ascii="Cambria Math" w:hAnsi="Cambria Math" w:cstheme="minorBidi"/>
                  <w:kern w:val="2"/>
                  <w:sz w:val="21"/>
                  <w:szCs w:val="24"/>
                  <w:lang w:val="en-US" w:bidi="ar-SA"/>
                </w:rPr>
                <m:t>ℒ</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b>
          </m:sSub>
        </m:oMath>
      </m:oMathPara>
    </w:p>
    <w:p w14:paraId="4F4A7EFB">
      <w:pPr>
        <w:bidi w:val="0"/>
        <w:jc w:val="left"/>
        <m:rPr/>
        <w:rPr>
          <w:rFonts w:hint="eastAsia" w:hAnsi="Cambria Math" w:cs="Cambria Math"/>
          <w:i w:val="0"/>
          <w:kern w:val="2"/>
          <w:sz w:val="21"/>
          <w:szCs w:val="24"/>
          <w:lang w:val="en-US" w:eastAsia="zh-CN" w:bidi="ar-SA"/>
        </w:rPr>
      </w:pPr>
      <w:r>
        <m:rPr/>
        <w:rPr>
          <w:rFonts w:hint="default" w:hAnsi="Cambria Math" w:cstheme="minorBidi"/>
          <w:i w:val="0"/>
          <w:kern w:val="2"/>
          <w:sz w:val="21"/>
          <w:szCs w:val="24"/>
          <w:lang w:val="en-US" w:eastAsia="zh-CN" w:bidi="ar-SA"/>
        </w:rPr>
        <w:t>其中前两项推动 Target 与 Equivalent 区域保持预期恶意行为，后两项约束 Boundary 与 Normal 区域维持正常响应。区域权重根据全局反馈更新：</w:t>
      </w:r>
      <m:oMath>
        <m:sSubSup>
          <m:sSubSupPr>
            <m:ctrlPr>
              <w:rPr>
                <w:rFonts w:ascii="Cambria Math" w:hAnsi="Cambria Math" w:cstheme="minorBidi"/>
                <w:i/>
                <w:kern w:val="2"/>
                <w:sz w:val="21"/>
                <w:szCs w:val="24"/>
                <w:lang w:val="en-US" w:bidi="ar-SA"/>
              </w:rPr>
            </m:ctrlPr>
          </m:sSubSupPr>
          <m:e>
            <m:r>
              <m:rPr/>
              <w:rPr>
                <w:rFonts w:ascii="Cambria Math" w:hAnsi="Cambria Math" w:cstheme="minorBidi"/>
                <w:kern w:val="2"/>
                <w:sz w:val="21"/>
                <w:szCs w:val="24"/>
                <w:lang w:val="en-US" w:bidi="ar-SA"/>
              </w:rPr>
              <m:t>λ</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t+1</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r>
          <m:rPr/>
          <w:rPr>
            <w:rFonts w:hint="default" w:ascii="Cambria Math" w:hAnsi="Cambria Math" w:cs="Cambria Math"/>
            <w:kern w:val="2"/>
            <w:sz w:val="21"/>
            <w:szCs w:val="24"/>
            <w:lang w:val="en-US" w:eastAsia="zh-CN" w:bidi="ar-SA"/>
          </w:rPr>
          <m:t>Φ</m:t>
        </m:r>
        <m:r>
          <m:rPr/>
          <w:rPr>
            <w:rFonts w:hint="default" w:ascii="Cambria Math" w:hAnsi="Cambria Math" w:cstheme="minorBidi"/>
            <w:kern w:val="2"/>
            <w:sz w:val="21"/>
            <w:szCs w:val="24"/>
            <w:lang w:val="en-US" w:eastAsia="zh-CN" w:bidi="ar-SA"/>
          </w:rPr>
          <m:t>(</m:t>
        </m:r>
        <m:sSubSup>
          <m:sSubSupPr>
            <m:ctrlPr>
              <m:rPr/>
              <w:rPr>
                <w:rFonts w:hint="default" w:ascii="Cambria Math" w:hAnsi="Cambria Math" w:cstheme="minorBidi"/>
                <w:i/>
                <w:kern w:val="2"/>
                <w:sz w:val="21"/>
                <w:szCs w:val="24"/>
                <w:lang w:val="en-US" w:eastAsia="zh-CN" w:bidi="ar-SA"/>
              </w:rPr>
            </m:ctrlPr>
          </m:sSubSupPr>
          <m:e>
            <m:r>
              <m:rPr/>
              <w:rPr>
                <w:rFonts w:ascii="Cambria Math" w:hAnsi="Cambria Math" w:cstheme="minorBidi"/>
                <w:kern w:val="2"/>
                <w:sz w:val="21"/>
                <w:szCs w:val="24"/>
                <w:lang w:val="en-US" w:bidi="ar-SA"/>
              </w:rPr>
              <m:t>λ</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Sup>
          <m:sSubSupPr>
            <m:ctrlPr>
              <m:r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e</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oMath>
      <w:r>
        <m:rPr/>
        <w:rPr>
          <w:rFonts w:hint="eastAsia" w:hAnsi="Cambria Math" w:cstheme="minorBidi"/>
          <w:i w:val="0"/>
          <w:kern w:val="2"/>
          <w:sz w:val="21"/>
          <w:szCs w:val="24"/>
          <w:lang w:val="en-US" w:eastAsia="zh-CN" w:bidi="ar-SA"/>
        </w:rPr>
        <w:t>，其中</w:t>
      </w:r>
      <m:oMath>
        <m:r>
          <m:rPr/>
          <w:rPr>
            <w:rFonts w:ascii="Cambria Math" w:hAnsi="Cambria Math" w:cstheme="minorBidi"/>
            <w:kern w:val="2"/>
            <w:sz w:val="21"/>
            <w:szCs w:val="24"/>
            <w:lang w:val="en-US" w:bidi="ar-SA"/>
          </w:rPr>
          <m:t>Φ</m:t>
        </m:r>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m:t>
        </m:r>
      </m:oMath>
      <w:r>
        <m:rPr/>
        <w:rPr>
          <w:rFonts w:hint="default" w:hAnsi="Cambria Math" w:cstheme="minorBidi"/>
          <w:i w:val="0"/>
          <w:kern w:val="2"/>
          <w:sz w:val="21"/>
          <w:szCs w:val="24"/>
          <w:lang w:val="en-US" w:eastAsia="zh-CN" w:bidi="ar-SA"/>
        </w:rPr>
        <w:t>为反馈更新函数。因此，当聚合导致：</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A</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&lt;</m:t>
        </m:r>
        <m:sSubSup>
          <m:sSubSupPr>
            <m:ctrlPr>
              <m:r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A</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t>
            </m:r>
            <m:ctrlPr>
              <m:rPr/>
              <w:rPr>
                <w:rFonts w:hint="default" w:ascii="Cambria Math" w:hAnsi="Cambria Math" w:cstheme="minorBidi"/>
                <w:i/>
                <w:kern w:val="2"/>
                <w:sz w:val="21"/>
                <w:szCs w:val="24"/>
                <w:lang w:val="en-US" w:eastAsia="zh-CN" w:bidi="ar-SA"/>
              </w:rPr>
            </m:ctrlPr>
          </m:sup>
        </m:sSubSup>
      </m:oMath>
      <w:r>
        <m:rPr/>
        <w:rPr>
          <w:rFonts w:hint="default" w:hAnsi="Cambria Math" w:cstheme="minorBidi"/>
          <w:i w:val="0"/>
          <w:kern w:val="2"/>
          <w:sz w:val="21"/>
          <w:szCs w:val="24"/>
          <w:lang w:val="en-US" w:eastAsia="zh-CN" w:bidi="ar-SA"/>
        </w:rPr>
        <w:t>时，BPFC 增强 Target 补偿；而当：</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A</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B</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&gt;</m:t>
        </m:r>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sup>
        </m:sSubSup>
      </m:oMath>
      <w:r>
        <w:rPr>
          <w:rFonts w:hint="default" w:hAnsi="Cambria Math" w:cstheme="minorBidi"/>
          <w:i w:val="0"/>
          <w:kern w:val="2"/>
          <w:sz w:val="21"/>
          <w:szCs w:val="24"/>
          <w:lang w:val="en-US" w:eastAsia="zh-CN" w:bidi="ar-SA"/>
        </w:rPr>
        <w:t>时，则增加 Boundary 约束。通过这种区域级反馈，攻击者优化的不再是单一攻击幅度，而是整个行为剖面的聚合稳定性。其目标可以概括为：</w:t>
      </w:r>
      <m:oMath>
        <m:r>
          <m:rPr/>
          <w:rPr>
            <w:rFonts w:hint="default" w:ascii="Cambria Math" w:hAnsi="Cambria Math" w:cstheme="minorBidi"/>
            <w:kern w:val="2"/>
            <w:sz w:val="21"/>
            <w:szCs w:val="24"/>
            <w:lang w:val="en-US" w:eastAsia="zh-CN" w:bidi="ar-SA"/>
          </w:rPr>
          <m:t>B(</m:t>
        </m:r>
        <m:sSub>
          <m:sSubPr>
            <m:ctrlPr>
              <m:r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θ</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G</m:t>
            </m:r>
            <m:ctrlPr>
              <m:r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r>
          <m:rPr/>
          <w:rPr>
            <w:rFonts w:hint="default" w:ascii="Cambria Math" w:hAnsi="Cambria Math" w:cs="Cambria Math"/>
            <w:kern w:val="2"/>
            <w:sz w:val="21"/>
            <w:szCs w:val="24"/>
            <w:lang w:val="en-US" w:eastAsia="zh-CN" w:bidi="ar-SA"/>
          </w:rPr>
          <m:t>≈</m:t>
        </m:r>
        <m:sSup>
          <m:sSupPr>
            <m:ctrlPr>
              <m:r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B</m:t>
            </m:r>
            <m:ctrlPr>
              <m:r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m:t>
            </m:r>
            <m:ctrlPr>
              <m:rPr/>
              <w:rPr>
                <w:rFonts w:hint="default" w:ascii="Cambria Math" w:hAnsi="Cambria Math" w:cs="Cambria Math"/>
                <w:i/>
                <w:kern w:val="2"/>
                <w:sz w:val="21"/>
                <w:szCs w:val="24"/>
                <w:lang w:val="en-US" w:eastAsia="zh-CN" w:bidi="ar-SA"/>
              </w:rPr>
            </m:ctrlPr>
          </m:sup>
        </m:sSup>
      </m:oMath>
      <w:r>
        <m:rPr/>
        <w:rPr>
          <w:rFonts w:hint="default" w:hAnsi="Cambria Math" w:cs="Cambria Math"/>
          <w:i w:val="0"/>
          <w:kern w:val="2"/>
          <w:sz w:val="21"/>
          <w:szCs w:val="24"/>
          <w:lang w:val="en-US" w:eastAsia="zh-CN" w:bidi="ar-SA"/>
        </w:rPr>
        <w:t>而非简单：</w:t>
      </w:r>
      <m:oMath>
        <m:sSub>
          <m:sSubPr>
            <m:ctrl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A</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T</m:t>
            </m:r>
            <m:ctrlPr>
              <w:rPr>
                <w:rFonts w:ascii="Cambria Math" w:hAnsi="Cambria Math" w:cs="Cambria Math"/>
                <w:i/>
                <w:kern w:val="2"/>
                <w:sz w:val="21"/>
                <w:szCs w:val="24"/>
                <w:lang w:val="en-US" w:bidi="ar-SA"/>
              </w:rPr>
            </m:ctrlPr>
          </m:sub>
        </m:sSub>
        <m:r>
          <m:rPr/>
          <w:rPr>
            <w:rFonts w:hint="default" w:ascii="Cambria Math" w:hAnsi="Cambria Math" w:cs="Cambria Math"/>
            <w:kern w:val="2"/>
            <w:sz w:val="21"/>
            <w:szCs w:val="24"/>
            <w:lang w:val="en-US" w:eastAsia="zh-CN" w:bidi="ar-SA"/>
          </w:rPr>
          <m:t>(</m:t>
        </m:r>
        <m:sSub>
          <m:sSubPr>
            <m:ctrlPr>
              <m:rPr/>
              <w:rPr>
                <w:rFonts w:hint="default"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θ</m:t>
            </m:r>
            <m:ctrlPr>
              <m:r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G</m:t>
            </m:r>
            <m:ctrlPr>
              <m:r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)→1</m:t>
        </m:r>
      </m:oMath>
      <w:r>
        <m:rPr/>
        <w:rPr>
          <w:rFonts w:hint="eastAsia" w:hAnsi="Cambria Math" w:cs="Cambria Math"/>
          <w:i w:val="0"/>
          <w:kern w:val="2"/>
          <w:sz w:val="21"/>
          <w:szCs w:val="24"/>
          <w:lang w:val="en-US" w:eastAsia="zh-CN" w:bidi="ar-SA"/>
        </w:rPr>
        <w:t>。</w:t>
      </w:r>
    </w:p>
    <w:p w14:paraId="13E4FC03">
      <w:pPr>
        <w:bidi w:val="0"/>
        <w:jc w:val="left"/>
        <m:rPr/>
        <w:rPr>
          <w:rFonts w:hint="default" w:hAnsi="Cambria Math" w:cs="Cambria Math"/>
          <w:i w:val="0"/>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晨卓" w:date="2026-09-01T16:01:37Z" w:initials="">
    <w:p w14:paraId="5FE5A9DF">
      <w:pPr>
        <w:pStyle w:val="2"/>
        <w:rPr>
          <w:rFonts w:hint="eastAsia" w:ascii="NimbusRomNo9L-Medi" w:hAnsi="NimbusRomNo9L-Medi" w:eastAsia="NimbusRomNo9L-Medi" w:cs="NimbusRomNo9L-Medi"/>
          <w:b/>
          <w:bCs/>
          <w:color w:val="000000"/>
          <w:kern w:val="0"/>
          <w:sz w:val="28"/>
          <w:szCs w:val="28"/>
          <w:lang w:val="en-US" w:eastAsia="zh-CN" w:bidi="ar"/>
        </w:rPr>
      </w:pPr>
      <w:r>
        <w:rPr>
          <w:rFonts w:hint="eastAsia" w:ascii="NimbusRomNo9L-Medi" w:hAnsi="NimbusRomNo9L-Medi" w:eastAsia="NimbusRomNo9L-Medi" w:cs="NimbusRomNo9L-Medi"/>
          <w:b/>
          <w:bCs/>
          <w:color w:val="000000"/>
          <w:kern w:val="0"/>
          <w:sz w:val="28"/>
          <w:szCs w:val="28"/>
          <w:lang w:val="en-US" w:eastAsia="zh-CN" w:bidi="ar"/>
        </w:rPr>
        <w:t>When Backdoors Go Beyond Triggers: Semantic Drift in Diffusion Models</w:t>
      </w:r>
    </w:p>
    <w:p w14:paraId="69EA0593">
      <w:pPr>
        <w:pStyle w:val="2"/>
      </w:pPr>
      <w:r>
        <w:rPr>
          <w:rFonts w:hint="eastAsia" w:ascii="NimbusRomNo9L-Medi" w:hAnsi="NimbusRomNo9L-Medi" w:eastAsia="NimbusRomNo9L-Medi" w:cs="NimbusRomNo9L-Medi"/>
          <w:b/>
          <w:bCs/>
          <w:color w:val="000000"/>
          <w:kern w:val="0"/>
          <w:sz w:val="28"/>
          <w:szCs w:val="28"/>
          <w:lang w:val="en-US" w:eastAsia="zh-CN" w:bidi="ar"/>
        </w:rPr>
        <w:t>Under Encoder Attacks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9EA059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NimbusRomNo9L-Med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714C99"/>
    <w:multiLevelType w:val="singleLevel"/>
    <w:tmpl w:val="4F714C99"/>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晨卓">
    <w15:presenceInfo w15:providerId="WPS Office" w15:userId="50746872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E12B5A"/>
    <w:rsid w:val="13057FA9"/>
    <w:rsid w:val="13B33BB8"/>
    <w:rsid w:val="20C2105F"/>
    <w:rsid w:val="215258F2"/>
    <w:rsid w:val="245F09BC"/>
    <w:rsid w:val="306B6684"/>
    <w:rsid w:val="4E2D0AD5"/>
    <w:rsid w:val="55676485"/>
    <w:rsid w:val="5A76041D"/>
    <w:rsid w:val="5DC54A38"/>
    <w:rsid w:val="6635378D"/>
    <w:rsid w:val="6E233CED"/>
    <w:rsid w:val="79575C07"/>
    <w:rsid w:val="7C627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2026-08-31T16:45:26Z</dcterms:created>
  <dc:creator>20210</dc:creator>
  <cp:lastModifiedBy>王晨卓</cp:lastModifiedBy>
  <dcterms:modified xsi:type="dcterms:W3CDTF">2026-09-01T16:41:52Z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eyJoZGlkIjoiMWEzYTU0MjU3NjM1YTIxNWY1MDZkNzQzNWNjMjE4MTYiLCJ1c2VySWQiOiIxNjcwNTUyNTk2In0=</vt:lpwstr>
  </property>
  <property fmtid="{D5CDD505-2E9C-101B-9397-08002B2CF9AE}" pid="4" name="ICV">
    <vt:lpwstr>B761754762A0473294CF56DC88049288_12</vt:lpwstr>
  </property>
</Properties>
</file>