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35E8CD">
      <w:pPr>
        <w:spacing w:after="240"/>
        <w:jc w:val="center"/>
      </w:pPr>
      <w:bookmarkStart w:id="0" w:name="_GoBack"/>
      <w:bookmarkEnd w:id="0"/>
      <w:r>
        <w:rPr>
          <w:rFonts w:ascii="Times New Roman" w:hAnsi="Times New Roman" w:eastAsia="黑体"/>
          <w:b/>
          <w:sz w:val="36"/>
        </w:rPr>
        <w:t>基于 RVQ 离散语音索引在线传输的面向吞吐受限安全链路的低载荷语音语义通信</w:t>
      </w:r>
    </w:p>
    <w:p w14:paraId="42972631">
      <w:pPr>
        <w:spacing w:after="40"/>
        <w:jc w:val="center"/>
      </w:pPr>
      <w:r>
        <w:rPr>
          <w:rFonts w:ascii="Times New Roman" w:hAnsi="Times New Roman" w:eastAsia="宋体"/>
          <w:b w:val="0"/>
          <w:sz w:val="24"/>
        </w:rPr>
        <w:t>作者：待补充</w:t>
      </w:r>
    </w:p>
    <w:p w14:paraId="61832768">
      <w:pPr>
        <w:spacing w:after="40"/>
        <w:jc w:val="center"/>
      </w:pPr>
      <w:r>
        <w:rPr>
          <w:rFonts w:ascii="Times New Roman" w:hAnsi="Times New Roman" w:eastAsia="宋体"/>
          <w:b w:val="0"/>
          <w:sz w:val="24"/>
        </w:rPr>
        <w:t>单位：待补充</w:t>
      </w:r>
    </w:p>
    <w:p w14:paraId="21885C25">
      <w:pPr>
        <w:spacing w:after="40"/>
        <w:jc w:val="center"/>
      </w:pPr>
      <w:r>
        <w:rPr>
          <w:rFonts w:ascii="Times New Roman" w:hAnsi="Times New Roman" w:eastAsia="宋体"/>
          <w:b w:val="0"/>
          <w:sz w:val="24"/>
        </w:rPr>
        <w:t>通讯作者：待补充</w:t>
      </w:r>
    </w:p>
    <w:p w14:paraId="6C2E99C3">
      <w:pPr>
        <w:spacing w:after="40"/>
        <w:jc w:val="center"/>
      </w:pPr>
      <w:r>
        <w:rPr>
          <w:rFonts w:ascii="Times New Roman" w:hAnsi="Times New Roman" w:eastAsia="宋体"/>
          <w:b w:val="0"/>
          <w:sz w:val="24"/>
        </w:rPr>
        <w:t>基金项目：待补充</w:t>
      </w:r>
    </w:p>
    <w:p w14:paraId="0979C8DF"/>
    <w:p w14:paraId="6373F9DD">
      <w:pPr>
        <w:spacing w:before="160" w:after="80"/>
        <w:jc w:val="left"/>
      </w:pPr>
      <w:r>
        <w:rPr>
          <w:rFonts w:ascii="Times New Roman" w:hAnsi="Times New Roman" w:eastAsia="黑体"/>
          <w:b/>
          <w:sz w:val="28"/>
        </w:rPr>
        <w:t>摘要</w:t>
      </w:r>
    </w:p>
    <w:p w14:paraId="7179908A">
      <w:pPr>
        <w:jc w:val="both"/>
      </w:pPr>
      <w:r>
        <w:rPr>
          <w:rFonts w:ascii="Times New Roman" w:hAnsi="Times New Roman" w:eastAsia="宋体"/>
          <w:b w:val="0"/>
          <w:sz w:val="24"/>
        </w:rPr>
        <w:t>第六代通信正在将内生智能、语义化传输与安全可信连接推向通信系统设计的前台。针对传统语音通信在线阶段仍以波形样本、压缩帧或连续高维表示作为主要传输对象所带来的高负载问题，本文提出一种基于残差向量量化离散语音索引的语音语义通信机制，其核心思想是将量化后的离散索引而非连续语音表示提升为在线通信载荷。围绕这一机制，本文给出发送端索引生成、报文封装、链路传输、接收端索引恢复与语音重建的完整系统路径，并结合在线负载、纯索引载荷、元数据开销、重建质量、推理时延和部署效率建立统一评价口径。本文进一步将序列化策略、RVQ 层截断、神经架构搜索和双机实时原型纳入同一叙事，用于说明该机制在吞吐受限安全链路中的可部署性。按照当前正式稿约定，图表可暂以占位方式呈现，尚未统一统计的实验数值和参考文献采用规范占位表达。最终版应在统一实验口径下补入在线负载下降幅度、PESQ、STOI、SI-SNR、端到端时延以及 NAS 压缩收益等关键结果。</w:t>
      </w:r>
    </w:p>
    <w:p w14:paraId="2D5D61E8">
      <w:pPr>
        <w:ind w:firstLine="0"/>
      </w:pPr>
      <w:r>
        <w:rPr>
          <w:rFonts w:ascii="Times New Roman" w:hAnsi="Times New Roman" w:eastAsia="宋体"/>
          <w:b w:val="0"/>
          <w:sz w:val="24"/>
        </w:rPr>
        <w:t>关键词：第六代通信；语音语义通信；离散语音索引；残差向量量化；在线负载；神经架构搜索；安全链路</w:t>
      </w:r>
    </w:p>
    <w:p w14:paraId="223AF15F">
      <w:pPr>
        <w:spacing w:before="160" w:after="80"/>
        <w:jc w:val="left"/>
      </w:pPr>
      <w:r>
        <w:rPr>
          <w:rFonts w:ascii="Times New Roman" w:hAnsi="Times New Roman" w:eastAsia="黑体"/>
          <w:b/>
          <w:sz w:val="28"/>
        </w:rPr>
        <w:t>1 引言</w:t>
      </w:r>
    </w:p>
    <w:p w14:paraId="37915EE4">
      <w:pPr>
        <w:jc w:val="both"/>
      </w:pPr>
      <w:r>
        <w:rPr>
          <w:rFonts w:ascii="Times New Roman" w:hAnsi="Times New Roman" w:eastAsia="宋体"/>
          <w:b w:val="0"/>
          <w:sz w:val="24"/>
        </w:rPr>
        <w:t>语音通信长期默认“在线阶段应传输数值本体”。无论链路承载的是原始 PCM 波形、传统编解码帧，还是近年来出现的连续潜表示，系统设计的基本逻辑始终是将高维数值流跨信道发送，再由接收端完成还原或重建。该范式在带宽相对充足、链路组织相对稳定的常规网络环境中已相当成熟，但在吞吐受限、有效负载预算紧张且安全约束较强的场景中，这一设计前提会重新暴露出效率瓶颈。尤其在第六代通信强调语义感知、任务导向传输和可信安全能力的语境下，系统究竟必须在线传输什么，已经不再是一个可以被忽略的工程细节，而是通信机制本身的重要问题[1-2]。</w:t>
      </w:r>
    </w:p>
    <w:p w14:paraId="0C2DD7B6">
      <w:pPr>
        <w:jc w:val="both"/>
      </w:pPr>
      <w:r>
        <w:rPr>
          <w:rFonts w:ascii="Times New Roman" w:hAnsi="Times New Roman" w:eastAsia="宋体"/>
          <w:b w:val="0"/>
          <w:sz w:val="24"/>
        </w:rPr>
        <w:t>现有相关研究大体沿三条路线展开。第一类工作以 neural codec 为代表，主要围绕低码率语音重建、感知失真控制与压缩效率提升展开，其重点往往是率失真性能和重建质量[3]。第二类工作以连续潜表示传输为核心，尝试使用神经网络中间特征替代原始波形，但在线传输对象仍然是浮点或高精度数值，通信负担并未从根本上重定义[4]。第三类工作以语义通信为核心叙事，强调任务保持与语义保真，但在双端语音场景下，仍较少给出一个带有明确报文结构、统一负载记账口径和实时原型支撑的离散化实现路径[5]。因此，现有工作虽然分别触及“如何更好地重建”“如何更紧凑地表示”和“如何更贴近语义地传输”等问题，但尚未将量化后的离散语音索引正式提升为在线通信载荷。</w:t>
      </w:r>
    </w:p>
    <w:p w14:paraId="2B9FF2D8">
      <w:pPr>
        <w:jc w:val="both"/>
      </w:pPr>
      <w:r>
        <w:rPr>
          <w:rFonts w:ascii="Times New Roman" w:hAnsi="Times New Roman" w:eastAsia="宋体"/>
          <w:b w:val="0"/>
          <w:sz w:val="24"/>
        </w:rPr>
        <w:t>本文的关键观察并不在于“语音可以被量化”，而在于“量化后的离散索引可以直接成为在线传输对象”。对于基于残差向量量化的离散语音分词器而言，量化器、码本和解码能力并不是会话内需要临时交换的对象，而是稳定附着于模型参数中的结构化能力。只要通信双方部署兼容的编码解码模型、参数版本和码本结构，跨信道移动的对象就可以从连续语音表示改写为离散索引流。换言之，本文并不把量化本身写成创新点，而是将量化结果在通信系统中的地位从“模型内部中间表示”重写为“在线通信载荷”[6]。</w:t>
      </w:r>
    </w:p>
    <w:p w14:paraId="3246F1B5">
      <w:pPr>
        <w:jc w:val="both"/>
      </w:pPr>
      <w:r>
        <w:rPr>
          <w:rFonts w:ascii="Times New Roman" w:hAnsi="Times New Roman" w:eastAsia="宋体"/>
          <w:b w:val="0"/>
          <w:sz w:val="24"/>
        </w:rPr>
        <w:t>基于这一观察，本文围绕吞吐受限安全链路中的语音语义通信提出一套完整的系统实现与论文组织方式。该系统以离散语音索引为在线载荷，通过统一的报文格式、负载记账口径、层截断策略、序列化方案和实时链路组织，将离散语音分词器从重建工具推进为通信前端。考虑到真实部署中还存在推理复杂度、缓冲时延与硬件资源等现实约束，本文进一步将神经架构搜索放在部署优化而非主创新的位置，考察该机制在实时系统中的可运行性。同时，本文将量子安全链路等高安全场景视为应用牵引，而非当前工作的直接实验结论。</w:t>
      </w:r>
    </w:p>
    <w:p w14:paraId="530515DB">
      <w:pPr>
        <w:jc w:val="both"/>
      </w:pPr>
      <w:r>
        <w:rPr>
          <w:rFonts w:ascii="Times New Roman" w:hAnsi="Times New Roman" w:eastAsia="宋体"/>
          <w:b w:val="0"/>
          <w:sz w:val="24"/>
        </w:rPr>
        <w:t>本文的主要贡献可概括为以下三点。其一，本文将基于 RVQ 的离散语音表示正式引入语音语义通信，并将量化后的离散索引重新定义为在线传输载荷。其二，本文建立了覆盖索引生成、封包、传输、重建与在线负载度量的端到端系统路径，使纯索引式语音传输具有明确的工程实现基础。其三，本文围绕负载下降、重建质量、序列化策略、NAS 压缩与实时原型验证建立统一实验框架，以支撑该通信机制在部署导向场景中的可行性分析。</w:t>
      </w:r>
    </w:p>
    <w:p w14:paraId="4A84B58F">
      <w:pPr>
        <w:spacing w:before="160" w:after="80"/>
        <w:jc w:val="left"/>
      </w:pPr>
      <w:r>
        <w:rPr>
          <w:rFonts w:ascii="Times New Roman" w:hAnsi="Times New Roman" w:eastAsia="黑体"/>
          <w:b/>
          <w:sz w:val="28"/>
        </w:rPr>
        <w:t>2 系统框架与方法</w:t>
      </w:r>
    </w:p>
    <w:p w14:paraId="4908065E">
      <w:pPr>
        <w:spacing w:before="120" w:after="40"/>
        <w:jc w:val="left"/>
      </w:pPr>
      <w:r>
        <w:rPr>
          <w:rFonts w:ascii="Times New Roman" w:hAnsi="Times New Roman" w:eastAsia="黑体"/>
          <w:b/>
          <w:sz w:val="24"/>
        </w:rPr>
        <w:t>2.1 总体框架</w:t>
      </w:r>
    </w:p>
    <w:p w14:paraId="14AFE11A">
      <w:pPr>
        <w:jc w:val="both"/>
      </w:pPr>
      <w:r>
        <w:rPr>
          <w:rFonts w:ascii="Times New Roman" w:hAnsi="Times New Roman" w:eastAsia="宋体"/>
          <w:b w:val="0"/>
          <w:sz w:val="24"/>
        </w:rPr>
        <w:t>本文系统采用发送端编码、链路传输、接收端重建的双端结构。发送端首先对输入语音执行重采样和分块处理，再将每个语音块送入离散语音分词器编码器得到多层 RVQ 索引；随后根据通信配置对索引进行层截断、序列化与封包，并将所得报文通过网络链路发送至接收端。接收端在恢复索引数组后，利用本地部署的兼容解码模型完成量化表示重建与语音解码，并将结果送入播放缓冲和音频输出链路。与传统语音通信相比，该系统的核心变化不在于链路管理本身，而在于在线阶段传输主体已经从波形样本或连续潜表示转化为离散索引与必要元信息。</w:t>
      </w:r>
    </w:p>
    <w:p w14:paraId="3B9E5D2D">
      <w:pPr>
        <w:jc w:val="both"/>
      </w:pPr>
      <w:r>
        <w:rPr>
          <w:rFonts w:ascii="Times New Roman" w:hAnsi="Times New Roman" w:eastAsia="宋体"/>
          <w:b w:val="0"/>
          <w:sz w:val="24"/>
        </w:rPr>
        <w:t>在这一框架下，系统设计的核心问题也随之改变：一方面，需要评估离散索引本体究竟能够将在线负载压缩到何种程度；另一方面，需要评估层截断、序列化和实时缓冲等工程策略是否会削弱语音质量或部署可行性。因此，本文方法部分不仅描述模型端的索引生成过程，也同时描述报文组织、负载度量和实时调度逻辑，以确保后续实验能够在统一口径下展开。</w:t>
      </w:r>
    </w:p>
    <w:p w14:paraId="3C4F9A2C">
      <w:pPr>
        <w:pBdr>
          <w:top w:val="single" w:color="808080" w:sz="8" w:space="6"/>
          <w:left w:val="single" w:color="808080" w:sz="8" w:space="6"/>
          <w:bottom w:val="single" w:color="808080" w:sz="8" w:space="6"/>
          <w:right w:val="single" w:color="808080" w:sz="8" w:space="6"/>
        </w:pBdr>
        <w:spacing w:before="80" w:after="80"/>
        <w:jc w:val="center"/>
      </w:pPr>
      <w:r>
        <w:rPr>
          <w:rFonts w:ascii="Times New Roman" w:hAnsi="Times New Roman" w:eastAsia="黑体"/>
          <w:b/>
          <w:sz w:val="24"/>
        </w:rPr>
        <w:t>插图位置预留</w:t>
      </w:r>
    </w:p>
    <w:p w14:paraId="2C079D49">
      <w:pPr>
        <w:jc w:val="center"/>
      </w:pPr>
      <w:r>
        <w:rPr>
          <w:rFonts w:ascii="Times New Roman" w:hAnsi="Times New Roman" w:eastAsia="宋体"/>
          <w:b/>
          <w:sz w:val="22"/>
        </w:rPr>
        <w:t>图1 系统总体框架（待插入）</w:t>
      </w:r>
    </w:p>
    <w:p w14:paraId="592BAFA9">
      <w:pPr>
        <w:ind w:firstLine="0"/>
        <w:jc w:val="center"/>
      </w:pPr>
      <w:r>
        <w:rPr>
          <w:rFonts w:ascii="Times New Roman" w:hAnsi="Times New Roman" w:eastAsia="宋体"/>
          <w:b w:val="0"/>
          <w:sz w:val="21"/>
        </w:rPr>
        <w:t>该图用于展示发送端索引生成、链路封包传输、接收端本地重建以及两端本地模型之间的对应关系。</w:t>
      </w:r>
    </w:p>
    <w:p w14:paraId="599DC683">
      <w:pPr>
        <w:spacing w:before="120" w:after="40"/>
        <w:jc w:val="left"/>
        <w:rPr>
          <w:rFonts w:ascii="Times New Roman" w:hAnsi="Times New Roman" w:eastAsia="黑体"/>
          <w:b/>
          <w:sz w:val="24"/>
        </w:rPr>
      </w:pPr>
      <w:r>
        <w:rPr>
          <w:rFonts w:ascii="Times New Roman" w:hAnsi="Times New Roman" w:eastAsia="黑体"/>
          <w:b/>
          <w:sz w:val="24"/>
        </w:rPr>
        <w:t>2.3 在线索引生成与分层量化方法</w:t>
      </w:r>
    </w:p>
    <w:p w14:paraId="56EB733A">
      <w:pPr>
        <w:jc w:val="both"/>
      </w:pPr>
      <w:r>
        <w:t>在当前实现中，发送端首先从声卡采集连续语音帧，并根据模型采样率完成重采样。若干较短音频帧随后被聚合为固定长度的 chunk。实时原型默认采用 frame_seconds 为 0.02 s 的采集回调帧长，以及 chunk_seconds 为 0.25 s 的编码分块时长，这意味着编码器接收到的是 250 ms 粒度的模型输入块。这样的分块方式一方面保证了索引生成的时间连续性，另一方面也为后续在线时延控制提供了稳定的处理粒度。</w:t>
      </w:r>
    </w:p>
    <w:p w14:paraId="401C1966">
      <w:pPr>
        <w:jc w:val="both"/>
      </w:pPr>
      <w:r>
        <w:t>每个语音块经 model.encode() 后会得到多层 RVQ 索引。当前主线训练配置采用 n_q=3 和 codebook_size=1024，这意味着单层离散编号的理论表示下界约为 10 bit。RVQ 的基本思想是逐层量化残差信息：前层索引首先给出较粗粒度的语音离散表示，后续层继续补充未被前层刻画的剩余细节。对本文而言，这一分层量化结构的价值不在于解释表征语义本身，而在于为在线通信提供一个天然可裁剪的载荷生成机制。发送端既可以保留全部量化层，也可以通过 rvq_layers 仅发送前若干层索引，从而在在线负载与重建质量之间建立直接可控的折中路径。</w:t>
      </w:r>
    </w:p>
    <w:p w14:paraId="5A6A9742">
      <w:pPr>
        <w:jc w:val="both"/>
      </w:pPr>
      <w:r>
        <w:rPr>
          <w:rFonts w:hint="eastAsia"/>
        </w:rPr>
        <w:t>在完成量化之后，所得索引以整数数组形式进入后续序列化和报文封装阶段。当前原型采用 [4B header len][header json][body bytes]的简单组织形式，其中header _json 至少包含 kind、dtype、shape 与 body len 四个字段，body _bytes 则承载量化后的离散索引数组本体。本文在本节强调的是索引如何被生成和裁剪，而报文组织方式的通信含义将在后续在线负载定义和序列化策略分析中继续展开。</w:t>
      </w:r>
    </w:p>
    <w:p w14:paraId="00BF08B1">
      <w:pPr>
        <w:jc w:val="both"/>
      </w:pPr>
      <w:r>
        <w:rPr>
          <w:sz w:val="24"/>
        </w:rPr>
        <mc:AlternateContent>
          <mc:Choice Requires="wps">
            <w:drawing>
              <wp:anchor distT="0" distB="0" distL="114300" distR="114300" simplePos="0" relativeHeight="251659264" behindDoc="0" locked="0" layoutInCell="1" allowOverlap="1">
                <wp:simplePos x="0" y="0"/>
                <wp:positionH relativeFrom="column">
                  <wp:posOffset>285750</wp:posOffset>
                </wp:positionH>
                <wp:positionV relativeFrom="paragraph">
                  <wp:posOffset>254000</wp:posOffset>
                </wp:positionV>
                <wp:extent cx="4886960" cy="241935"/>
                <wp:effectExtent l="38735" t="15240" r="46355" b="66675"/>
                <wp:wrapSquare wrapText="bothSides"/>
                <wp:docPr id="1" name="矩形 1"/>
                <wp:cNvGraphicFramePr/>
                <a:graphic xmlns:a="http://schemas.openxmlformats.org/drawingml/2006/main">
                  <a:graphicData uri="http://schemas.microsoft.com/office/word/2010/wordprocessingShape">
                    <wps:wsp>
                      <wps:cNvSpPr/>
                      <wps:spPr>
                        <a:xfrm>
                          <a:off x="1324610" y="4490720"/>
                          <a:ext cx="4886960" cy="241935"/>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5pt;margin-top:20pt;height:19.05pt;width:384.8pt;mso-wrap-distance-bottom:0pt;mso-wrap-distance-left:9pt;mso-wrap-distance-right:9pt;mso-wrap-distance-top:0pt;z-index:251659264;v-text-anchor:middle;mso-width-relative:page;mso-height-relative:page;" fillcolor="#3F80CE [3216]" filled="t" stroked="t" coordsize="21600,21600" o:gfxdata="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w10:wrap type="square"/>
              </v:rect>
            </w:pict>
          </mc:Fallback>
        </mc:AlternateContent>
      </w:r>
    </w:p>
    <w:p w14:paraId="52A9BFF7">
      <w:pPr>
        <w:ind w:firstLine="0"/>
        <w:jc w:val="center"/>
      </w:pPr>
      <w:r>
        <w:t>图2 在线索引生成与分层量化示意图（待插入）</w:t>
      </w:r>
    </w:p>
    <w:p w14:paraId="61E46810">
      <w:pPr>
        <w:spacing w:before="120" w:after="40"/>
        <w:jc w:val="left"/>
      </w:pPr>
      <w:r>
        <w:t>该图用于展示语音分块、编码器输出、多层 RVQ 量化以及 rvq_layers 截断位置。</w:t>
      </w:r>
    </w:p>
    <w:p w14:paraId="1893D676">
      <w:pPr>
        <w:spacing w:before="120" w:after="40"/>
        <w:jc w:val="left"/>
      </w:pPr>
      <w:r>
        <w:rPr>
          <w:rFonts w:ascii="Times New Roman" w:hAnsi="Times New Roman" w:eastAsia="黑体"/>
          <w:b/>
          <w:sz w:val="24"/>
        </w:rPr>
        <w:t>2.</w:t>
      </w:r>
      <w:r>
        <w:rPr>
          <w:rFonts w:hint="eastAsia" w:eastAsia="黑体"/>
          <w:b/>
          <w:sz w:val="24"/>
          <w:lang w:val="en-US" w:eastAsia="zh-CN"/>
        </w:rPr>
        <w:t>4</w:t>
      </w:r>
      <w:r>
        <w:rPr>
          <w:rFonts w:ascii="Times New Roman" w:hAnsi="Times New Roman" w:eastAsia="黑体"/>
          <w:b/>
          <w:sz w:val="24"/>
        </w:rPr>
        <w:t xml:space="preserve"> 序列化与位宽压缩策略</w:t>
      </w:r>
    </w:p>
    <w:p w14:paraId="7A12D116">
      <w:pPr>
        <w:jc w:val="both"/>
        <w:rPr>
          <w:color w:val="0000FF"/>
        </w:rPr>
      </w:pPr>
      <w:r>
        <w:rPr>
          <w:rFonts w:ascii="Times New Roman" w:hAnsi="Times New Roman" w:eastAsia="宋体"/>
          <w:b w:val="0"/>
          <w:color w:val="0000FF"/>
          <w:sz w:val="24"/>
        </w:rPr>
        <w:t>离散索引通信的收益并不只由模型端决定，还强烈依赖索引如何被承载到字节层。当前主线训练配置中，码本大小 codebook_size 为 1024，这意味着单个离散编号理论上只需 10 bit 即可表示。然而，若系统直接以 int64 或原始 ndarray 形式发送索引，则实际通信位宽会明显偏离理论下界。为此，本文将索引承载方式视为与 RVQ 层数同样重要的系统变量。</w:t>
      </w:r>
    </w:p>
    <w:p w14:paraId="1BF776C1">
      <w:pPr>
        <w:jc w:val="both"/>
      </w:pPr>
      <w:r>
        <w:rPr>
          <w:rFonts w:ascii="Times New Roman" w:hAnsi="Times New Roman" w:eastAsia="宋体"/>
          <w:b w:val="0"/>
          <w:color w:val="0000FF"/>
          <w:sz w:val="24"/>
        </w:rPr>
        <w:t>在当前正式稿中，本文考虑四类代表性序列化方案：原始数组字节流、16 bit 无符号整数定宽承载、10 bit 打包以及在打包基础上的算术编码。现有仓库中已经存在 quantization/ac.py，对应算术编码扩展的实现基础。本文并不预设某一种方案必然最优，而是通过统一实验口</w:t>
      </w:r>
      <w:r>
        <w:rPr>
          <w:rFonts w:ascii="Times New Roman" w:hAnsi="Times New Roman" w:eastAsia="宋体"/>
          <w:b w:val="0"/>
          <w:sz w:val="24"/>
        </w:rPr>
        <w:t>径比较不同策略对纯索引载荷、元数据开销、解码复杂度和实时性边界的综合影响。</w:t>
      </w:r>
    </w:p>
    <w:p w14:paraId="0E3DCF95">
      <w:pPr>
        <w:spacing w:before="120" w:after="40"/>
        <w:jc w:val="left"/>
      </w:pPr>
      <w:r>
        <w:rPr>
          <w:rFonts w:ascii="Times New Roman" w:hAnsi="Times New Roman" w:eastAsia="黑体"/>
          <w:b/>
          <w:sz w:val="24"/>
        </w:rPr>
        <w:t>2.</w:t>
      </w:r>
      <w:r>
        <w:rPr>
          <w:rFonts w:hint="eastAsia" w:eastAsia="黑体"/>
          <w:b/>
          <w:sz w:val="24"/>
          <w:lang w:val="en-US" w:eastAsia="zh-CN"/>
        </w:rPr>
        <w:t>5</w:t>
      </w:r>
      <w:r>
        <w:rPr>
          <w:rFonts w:ascii="Times New Roman" w:hAnsi="Times New Roman" w:eastAsia="黑体"/>
          <w:b/>
          <w:sz w:val="24"/>
        </w:rPr>
        <w:t xml:space="preserve"> 基于 NAS 的部署优化</w:t>
      </w:r>
    </w:p>
    <w:p w14:paraId="7E16FAA8">
      <w:pPr>
        <w:jc w:val="both"/>
      </w:pPr>
      <w:r>
        <w:rPr>
          <w:rFonts w:hint="eastAsia"/>
          <w:b w:val="0"/>
          <w:sz w:val="24"/>
          <w:lang w:val="en-US" w:eastAsia="zh-CN"/>
        </w:rPr>
        <w:t>此外本文还引入了NAS搜索以</w:t>
      </w:r>
      <w:r>
        <w:rPr>
          <w:rFonts w:ascii="Times New Roman" w:hAnsi="Times New Roman" w:eastAsia="宋体"/>
          <w:b w:val="0"/>
          <w:sz w:val="24"/>
        </w:rPr>
        <w:t>降低该通信机制在真实系统中的运行成本。用于在给定搜索空间内探索编码器和解码器结构的复杂度-性能平衡。搜索变量至少覆盖卷积通道数、LSTM 层数、激活函数、逐层算子类型以及压缩激励模块开关等维度。</w:t>
      </w:r>
    </w:p>
    <w:p w14:paraId="7CECE6D4">
      <w:pPr>
        <w:jc w:val="both"/>
      </w:pPr>
      <w:r>
        <w:rPr>
          <w:rFonts w:ascii="Times New Roman" w:hAnsi="Times New Roman" w:eastAsia="宋体"/>
          <w:b w:val="0"/>
          <w:sz w:val="24"/>
        </w:rPr>
        <w:t>对本文而言，NAS 的评价问题是“是否让离散索引通信更易于部署”。如果搜索后的模型能在质量保持基本可接受的前提下降低参数量、FLOPs 和推理时延，那么它就构成对本文通信机制的工程增强；反之，如果复杂度下降伴随明显质量失真，NAS 的价值就仅限于有限优化。因此，本文在后续结果部分始终将 NAS 放在部署效率维度下进行比较。</w:t>
      </w:r>
    </w:p>
    <w:p w14:paraId="6B207905">
      <w:pPr>
        <w:spacing w:before="120" w:after="40"/>
        <w:jc w:val="left"/>
      </w:pPr>
      <w:r>
        <w:rPr>
          <w:rFonts w:ascii="Times New Roman" w:hAnsi="Times New Roman" w:eastAsia="黑体"/>
          <w:b/>
          <w:sz w:val="24"/>
        </w:rPr>
        <w:t>2.</w:t>
      </w:r>
      <w:r>
        <w:rPr>
          <w:rFonts w:hint="eastAsia" w:eastAsia="黑体"/>
          <w:b/>
          <w:sz w:val="24"/>
          <w:lang w:val="en-US" w:eastAsia="zh-CN"/>
        </w:rPr>
        <w:t>6</w:t>
      </w:r>
      <w:r>
        <w:rPr>
          <w:rFonts w:ascii="Times New Roman" w:hAnsi="Times New Roman" w:eastAsia="黑体"/>
          <w:b/>
          <w:sz w:val="24"/>
        </w:rPr>
        <w:t xml:space="preserve"> 实时传输原型</w:t>
      </w:r>
    </w:p>
    <w:p w14:paraId="618B65E0">
      <w:pPr>
        <w:jc w:val="both"/>
        <w:rPr>
          <w:rFonts w:ascii="Times New Roman" w:hAnsi="Times New Roman" w:eastAsia="宋体"/>
          <w:b w:val="0"/>
          <w:sz w:val="24"/>
        </w:rPr>
      </w:pPr>
      <w:r>
        <w:rPr>
          <w:rFonts w:ascii="Times New Roman" w:hAnsi="Times New Roman" w:eastAsia="宋体"/>
          <w:b w:val="0"/>
          <w:sz w:val="24"/>
        </w:rPr>
        <w:t>当前项目已经具备双机实时语音通信原型。发送端完成麦克风采集、分块编码和 TCP 发送，接收端负责监听、解包、解码、缓冲与播放。接收侧默认使用 target_lat 为 0.25 s 的目标播放延迟和 max_lat 为 0.80 s 的最大允许延迟，并通过 drop_when_over 控制极端情况下的缓冲失稳。这些设置说明本文所讨论的离散索引通信并非停留在离线重建层面，而是具备嵌入实际输入输出闭环的实现基础。</w:t>
      </w:r>
    </w:p>
    <w:p w14:paraId="7850D35B">
      <w:pPr>
        <w:jc w:val="both"/>
        <w:rPr>
          <w:rFonts w:hint="eastAsia" w:ascii="Times New Roman" w:hAnsi="Times New Roman" w:eastAsia="宋体"/>
          <w:b w:val="0"/>
          <w:sz w:val="24"/>
          <w:lang w:eastAsia="zh-CN"/>
        </w:rPr>
      </w:pPr>
      <w:r>
        <w:rPr>
          <w:rFonts w:hint="eastAsia"/>
          <w:b w:val="0"/>
          <w:sz w:val="24"/>
          <w:lang w:eastAsia="zh-CN"/>
        </w:rPr>
        <w:t>（</w:t>
      </w:r>
      <w:r>
        <w:rPr>
          <w:rFonts w:hint="eastAsia"/>
          <w:b w:val="0"/>
          <w:sz w:val="24"/>
          <w:lang w:val="en-US" w:eastAsia="zh-CN"/>
        </w:rPr>
        <w:t>新增一个验证，说话人身份</w:t>
      </w:r>
      <w:r>
        <w:rPr>
          <w:rFonts w:hint="eastAsia"/>
          <w:b w:val="0"/>
          <w:sz w:val="24"/>
          <w:lang w:eastAsia="zh-CN"/>
        </w:rPr>
        <w:t>）</w:t>
      </w:r>
    </w:p>
    <w:p w14:paraId="44DE2775">
      <w:pPr>
        <w:jc w:val="both"/>
      </w:pPr>
    </w:p>
    <w:p w14:paraId="3B693B45">
      <w:pPr>
        <w:spacing w:before="160" w:after="80"/>
        <w:jc w:val="left"/>
      </w:pPr>
      <w:r>
        <w:rPr>
          <w:rFonts w:ascii="Times New Roman" w:hAnsi="Times New Roman" w:eastAsia="黑体"/>
          <w:b/>
          <w:sz w:val="28"/>
        </w:rPr>
        <w:t>3 实验设计与评价设置</w:t>
      </w:r>
    </w:p>
    <w:p w14:paraId="5D1BDA93">
      <w:pPr>
        <w:spacing w:before="120" w:after="40"/>
        <w:jc w:val="left"/>
      </w:pPr>
      <w:r>
        <w:rPr>
          <w:rFonts w:ascii="Times New Roman" w:hAnsi="Times New Roman" w:eastAsia="黑体"/>
          <w:b/>
          <w:sz w:val="24"/>
        </w:rPr>
        <w:t>3.1 数据集与训练配置</w:t>
      </w:r>
    </w:p>
    <w:p w14:paraId="0C42B04E">
      <w:pPr>
        <w:jc w:val="both"/>
      </w:pPr>
      <w:r>
        <w:rPr>
          <w:rFonts w:ascii="Times New Roman" w:hAnsi="Times New Roman" w:eastAsia="宋体"/>
          <w:b w:val="0"/>
          <w:sz w:val="24"/>
        </w:rPr>
        <w:t>主线训练配置文件 spt_base_cfg.json 使用 sample_rate=16000、n_filters=64、strides=[8,5,4,2]、dimension=1024、semantic_dimension=768、lstm_layers=2、codebook_size=1024 与n_q=</w:t>
      </w:r>
      <w:r>
        <w:rPr>
          <w:rFonts w:hint="eastAsia"/>
          <w:b w:val="0"/>
          <w:sz w:val="24"/>
          <w:lang w:val="en-US" w:eastAsia="zh-CN"/>
        </w:rPr>
        <w:t>3,</w:t>
      </w:r>
      <w:r>
        <w:rPr>
          <w:rFonts w:ascii="Times New Roman" w:hAnsi="Times New Roman" w:eastAsia="宋体"/>
          <w:b w:val="0"/>
          <w:sz w:val="24"/>
        </w:rPr>
        <w:t>并采用 batch_size=8、epochs=60、gradient_accumulation_steps=4 和 mixed_precision=bf16 的训练参数设置。训练数据组织为 LibriSpeech train-clean-100 音频及其对应的 HuBERT 教师表征文件，项目说明文档记录的当前规模为 28539 个音频文件和同等数量的 .hubert.npy 文件，其中 train_files.txt 为 27039 行，valid_files.txt 为 1500 行。</w:t>
      </w:r>
    </w:p>
    <w:p w14:paraId="42C7A492">
      <w:pPr>
        <w:jc w:val="both"/>
      </w:pPr>
      <w:r>
        <w:rPr>
          <w:rFonts w:ascii="Times New Roman" w:hAnsi="Times New Roman" w:eastAsia="宋体"/>
          <w:b w:val="0"/>
          <w:sz w:val="24"/>
        </w:rPr>
        <w:t>正式实验应明确区分三类模型：训练用模型、实时原型用模型和 NAS 后重训练模型。</w:t>
      </w:r>
    </w:p>
    <w:p w14:paraId="543E5428">
      <w:pPr>
        <w:spacing w:before="120" w:after="40"/>
        <w:jc w:val="left"/>
      </w:pPr>
      <w:r>
        <w:rPr>
          <w:rFonts w:ascii="Times New Roman" w:hAnsi="Times New Roman" w:eastAsia="黑体"/>
          <w:b/>
          <w:sz w:val="24"/>
        </w:rPr>
        <w:t>3.2 比较对象与实验变量</w:t>
      </w:r>
    </w:p>
    <w:p w14:paraId="47AE4476">
      <w:pPr>
        <w:jc w:val="both"/>
      </w:pPr>
      <w:r>
        <w:rPr>
          <w:rFonts w:ascii="Times New Roman" w:hAnsi="Times New Roman" w:eastAsia="宋体"/>
          <w:b w:val="0"/>
          <w:sz w:val="24"/>
        </w:rPr>
        <w:t>围绕“离散索引是否可以成为在线通信载荷”这一核心问题，本文实验至少设置以下比较对象：原始 PCM 传输、连续潜表示传输、原始索引传输、16 bit 定宽承载、10 bit 打包以及算术编码方案。在模型维度上，应比较全层 RVQ 与前 K 层 RVQ 截断方案；在部署维度上，应比较 baseline model 与 searched model；在实时维度上，应比较 CPU 与 GPU 两种执行模式，以及不同 chunk_seconds 配置对时延和稳定性的影响。</w:t>
      </w:r>
    </w:p>
    <w:p w14:paraId="59B1F9DD">
      <w:pPr>
        <w:jc w:val="both"/>
      </w:pPr>
      <w:r>
        <w:rPr>
          <w:rFonts w:ascii="Times New Roman" w:hAnsi="Times New Roman" w:eastAsia="宋体"/>
          <w:b w:val="0"/>
          <w:sz w:val="24"/>
        </w:rPr>
        <w:t>这些变量并不是彼此独立存在的。层数截断直接影响索引体积与重建质量，序列化策略同时影响在线负载与解码复杂度，NAS 则主要影响推理时延和部署边界。因此，后续结果部分将围绕“负载下降”“质量变化”“部署效率”和“实时可运行性”四条主线展开组织。</w:t>
      </w:r>
    </w:p>
    <w:p w14:paraId="766624C7">
      <w:pPr>
        <w:spacing w:before="120" w:after="40"/>
        <w:jc w:val="left"/>
      </w:pPr>
      <w:r>
        <w:rPr>
          <w:rFonts w:ascii="Times New Roman" w:hAnsi="Times New Roman" w:eastAsia="黑体"/>
          <w:b/>
          <w:sz w:val="24"/>
        </w:rPr>
        <w:t>3.3 评价指标</w:t>
      </w:r>
    </w:p>
    <w:p w14:paraId="0F79A075">
      <w:pPr>
        <w:jc w:val="both"/>
      </w:pPr>
      <w:r>
        <w:rPr>
          <w:rFonts w:ascii="Times New Roman" w:hAnsi="Times New Roman" w:eastAsia="宋体"/>
          <w:b w:val="0"/>
          <w:sz w:val="24"/>
        </w:rPr>
        <w:t>本文评价指标分为四组。第一组为通信负载指标，包括纯索引载荷、元数据开销和总在线负载。第二组为语音质量指标，包括 PESQ、STOI、SI-SNR 以及必要时的梅尔频谱误差或主观听感样例。第三组为部署效率指标，包括参数量、FLOPs、编码时延和解码时延。第四组为系统运行指标，包括端到端时延、缓冲稳定性、丢弃策略触发频率以及在安全链路场景下的接口兼容性分析。</w:t>
      </w:r>
    </w:p>
    <w:p w14:paraId="63124B10">
      <w:pPr>
        <w:jc w:val="both"/>
      </w:pPr>
      <w:r>
        <w:rPr>
          <w:rFonts w:ascii="Times New Roman" w:hAnsi="Times New Roman" w:eastAsia="宋体"/>
          <w:b w:val="0"/>
          <w:sz w:val="24"/>
        </w:rPr>
        <w:t>所有负载相关指标都应按统一口径统计，即在相同采样率、相同 chunk 长度、相同头部格式和相同层截断设置下比较。对于质量指标，应避免只报告脱离通信约束的单点结果，而应在相应的在线负载条件下同步汇报，以形成可以解释的负载-质量权衡曲线。</w:t>
      </w:r>
    </w:p>
    <w:p w14:paraId="0AF3DC91">
      <w:pPr>
        <w:spacing w:before="120" w:after="40"/>
        <w:jc w:val="left"/>
      </w:pPr>
      <w:r>
        <w:rPr>
          <w:rFonts w:ascii="Times New Roman" w:hAnsi="Times New Roman" w:eastAsia="黑体"/>
          <w:b/>
          <w:sz w:val="24"/>
        </w:rPr>
        <w:t>3.4 统一实验口径与复现约束</w:t>
      </w:r>
    </w:p>
    <w:p w14:paraId="508E200A">
      <w:pPr>
        <w:jc w:val="both"/>
        <w:rPr>
          <w:color w:val="0000FF"/>
        </w:rPr>
      </w:pPr>
      <w:r>
        <w:rPr>
          <w:rFonts w:ascii="Times New Roman" w:hAnsi="Times New Roman" w:eastAsia="宋体"/>
          <w:b w:val="0"/>
          <w:sz w:val="24"/>
        </w:rPr>
        <w:t>为了使不同维度的结果能够彼此对齐，正式实验需要遵守三项统一约束。其一，推理时所采用的模型版本必须明确且固定，避免训练模型、公开 checkpoint 和 NAS 后模型混写。其二，chunk_seconds、rvq_layers、头部字段和序列化策略必须在对比时保持一一对应，避免把通信设置差异误写为模型收益。其三，所有统计结果需要通过统一脚本生成，并将字节数、时间戳和质量指标的计算方式固化，以避免表格之间口</w:t>
      </w:r>
      <w:r>
        <w:rPr>
          <w:rFonts w:ascii="Times New Roman" w:hAnsi="Times New Roman" w:eastAsia="宋体"/>
          <w:b w:val="0"/>
          <w:color w:val="0000FF"/>
          <w:sz w:val="24"/>
        </w:rPr>
        <w:t>径不一致。</w:t>
      </w:r>
    </w:p>
    <w:p w14:paraId="3F7FD930">
      <w:pPr>
        <w:jc w:val="both"/>
      </w:pPr>
      <w:r>
        <w:rPr>
          <w:rFonts w:ascii="Times New Roman" w:hAnsi="Times New Roman" w:eastAsia="宋体"/>
          <w:b w:val="0"/>
          <w:color w:val="0000FF"/>
          <w:sz w:val="24"/>
        </w:rPr>
        <w:t>基于上述约束，本文结果部分中的所有“结果待补”字段都应理解为需要由统一评估脚本回填的正式实验位点，而不是概念性空白。这样处理可以在不虚构数据的前提下，先把正式论文叙事、表格结构和指标逻辑完整建立起来。</w:t>
      </w:r>
    </w:p>
    <w:p w14:paraId="67B0D8EC">
      <w:pPr>
        <w:spacing w:before="160" w:after="80"/>
        <w:jc w:val="left"/>
      </w:pPr>
      <w:r>
        <w:rPr>
          <w:rFonts w:ascii="Times New Roman" w:hAnsi="Times New Roman" w:eastAsia="黑体"/>
          <w:b/>
          <w:sz w:val="28"/>
        </w:rPr>
        <w:t>4 结果与分析</w:t>
      </w:r>
    </w:p>
    <w:p w14:paraId="5FC27538">
      <w:pPr>
        <w:spacing w:before="120" w:after="40"/>
        <w:jc w:val="left"/>
      </w:pPr>
      <w:r>
        <w:rPr>
          <w:rFonts w:ascii="Times New Roman" w:hAnsi="Times New Roman" w:eastAsia="黑体"/>
          <w:b/>
          <w:sz w:val="24"/>
        </w:rPr>
        <w:t>4.1 在线负载降低效果</w:t>
      </w:r>
    </w:p>
    <w:p w14:paraId="623BC149">
      <w:pPr>
        <w:jc w:val="both"/>
      </w:pPr>
      <w:r>
        <w:rPr>
          <w:rFonts w:ascii="Times New Roman" w:hAnsi="Times New Roman" w:eastAsia="宋体"/>
          <w:b w:val="0"/>
          <w:sz w:val="24"/>
        </w:rPr>
        <w:t>在线负载下降是本文最直接的结果目标。如表1所示，在相同采样率、相同 chunk 时长和相同头部格式下，原始 PCM 方案应作为在线负载的上限基线；连续潜表示传输、原始索引传输、16 bit 定宽承载、10 bit 打包以及算术编码则构成逐步收缩的比较序列。最终版应在表1中填入每种方案的纯索引载荷、元数据开销和总在线负载，并报告相对于 PCM 基线的压缩比。当前正式稿不虚构任何数字，因此相关单元格统一保留为结果待补。</w:t>
      </w:r>
    </w:p>
    <w:p w14:paraId="1C5919E3">
      <w:pPr>
        <w:jc w:val="both"/>
      </w:pPr>
      <w:r>
        <w:rPr>
          <w:rFonts w:ascii="Times New Roman" w:hAnsi="Times New Roman" w:eastAsia="宋体"/>
          <w:b w:val="0"/>
          <w:sz w:val="24"/>
        </w:rPr>
        <w:t>从机制上看，离散索引方案的收益主要来自两个方面：其一，量化后的索引天然规避了连续高精度表示的数值冗余；其二，层截断和位宽压缩为在线载荷进一步收缩提供了可操作空间。与此同时，报文头部、字段对齐和保护处理也会引入非忽略的元数据开销，特别是在较短 chunk 配置下，这部分占比可能明显上升。因此，仅比较名义码率并不足以说明问题，必须同时报告纯索引载荷与总在线负载。</w:t>
      </w:r>
    </w:p>
    <w:p w14:paraId="5D4AF262">
      <w:pPr>
        <w:jc w:val="center"/>
      </w:pPr>
      <w:r>
        <w:rPr>
          <w:rFonts w:ascii="Times New Roman" w:hAnsi="Times New Roman" w:eastAsia="宋体"/>
          <w:b/>
          <w:sz w:val="22"/>
        </w:rPr>
        <w:t>表1 不同传输方案的在线负载比较（待补）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2"/>
        <w:gridCol w:w="1792"/>
        <w:gridCol w:w="1792"/>
        <w:gridCol w:w="1792"/>
        <w:gridCol w:w="1792"/>
      </w:tblGrid>
      <w:tr w14:paraId="78894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Align w:val="center"/>
          </w:tcPr>
          <w:p w14:paraId="767BCB48">
            <w:pPr>
              <w:jc w:val="center"/>
            </w:pPr>
            <w:r>
              <w:rPr>
                <w:rFonts w:ascii="Times New Roman" w:hAnsi="Times New Roman" w:eastAsia="黑体"/>
                <w:b/>
                <w:sz w:val="21"/>
              </w:rPr>
              <w:t>方案</w:t>
            </w:r>
          </w:p>
        </w:tc>
        <w:tc>
          <w:tcPr>
            <w:tcW w:w="1792" w:type="dxa"/>
            <w:vAlign w:val="center"/>
          </w:tcPr>
          <w:p w14:paraId="16BA17EA">
            <w:pPr>
              <w:jc w:val="center"/>
            </w:pPr>
            <w:r>
              <w:rPr>
                <w:rFonts w:ascii="Times New Roman" w:hAnsi="Times New Roman" w:eastAsia="黑体"/>
                <w:b/>
                <w:sz w:val="21"/>
              </w:rPr>
              <w:t>纯索引载荷</w:t>
            </w:r>
          </w:p>
        </w:tc>
        <w:tc>
          <w:tcPr>
            <w:tcW w:w="1792" w:type="dxa"/>
            <w:vAlign w:val="center"/>
          </w:tcPr>
          <w:p w14:paraId="057AFB50">
            <w:pPr>
              <w:jc w:val="center"/>
            </w:pPr>
            <w:r>
              <w:rPr>
                <w:rFonts w:ascii="Times New Roman" w:hAnsi="Times New Roman" w:eastAsia="黑体"/>
                <w:b/>
                <w:sz w:val="21"/>
              </w:rPr>
              <w:t>元数据开销</w:t>
            </w:r>
          </w:p>
        </w:tc>
        <w:tc>
          <w:tcPr>
            <w:tcW w:w="1792" w:type="dxa"/>
            <w:vAlign w:val="center"/>
          </w:tcPr>
          <w:p w14:paraId="101A1C7E">
            <w:pPr>
              <w:jc w:val="center"/>
            </w:pPr>
            <w:r>
              <w:rPr>
                <w:rFonts w:ascii="Times New Roman" w:hAnsi="Times New Roman" w:eastAsia="黑体"/>
                <w:b/>
                <w:sz w:val="21"/>
              </w:rPr>
              <w:t>总在线负载</w:t>
            </w:r>
          </w:p>
        </w:tc>
        <w:tc>
          <w:tcPr>
            <w:tcW w:w="1792" w:type="dxa"/>
            <w:vAlign w:val="center"/>
          </w:tcPr>
          <w:p w14:paraId="04C50E36">
            <w:pPr>
              <w:jc w:val="center"/>
            </w:pPr>
            <w:r>
              <w:rPr>
                <w:rFonts w:ascii="Times New Roman" w:hAnsi="Times New Roman" w:eastAsia="黑体"/>
                <w:b/>
                <w:sz w:val="21"/>
              </w:rPr>
              <w:t>相对 PCM 压缩比</w:t>
            </w:r>
          </w:p>
        </w:tc>
      </w:tr>
      <w:tr w14:paraId="4DAD2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Align w:val="center"/>
          </w:tcPr>
          <w:p w14:paraId="76358BC8">
            <w:pPr>
              <w:jc w:val="center"/>
            </w:pPr>
            <w:r>
              <w:rPr>
                <w:rFonts w:ascii="Times New Roman" w:hAnsi="Times New Roman" w:eastAsia="宋体"/>
                <w:b w:val="0"/>
                <w:sz w:val="21"/>
              </w:rPr>
              <w:t>PCM 波形传输</w:t>
            </w:r>
          </w:p>
        </w:tc>
        <w:tc>
          <w:tcPr>
            <w:tcW w:w="1792" w:type="dxa"/>
            <w:vAlign w:val="center"/>
          </w:tcPr>
          <w:p w14:paraId="7E2C90E9">
            <w:pPr>
              <w:jc w:val="center"/>
            </w:pPr>
            <w:r>
              <w:rPr>
                <w:rFonts w:ascii="Times New Roman" w:hAnsi="Times New Roman" w:eastAsia="宋体"/>
                <w:b w:val="0"/>
                <w:sz w:val="21"/>
              </w:rPr>
              <w:t>结果待补</w:t>
            </w:r>
          </w:p>
        </w:tc>
        <w:tc>
          <w:tcPr>
            <w:tcW w:w="1792" w:type="dxa"/>
            <w:vAlign w:val="center"/>
          </w:tcPr>
          <w:p w14:paraId="43F1AB40">
            <w:pPr>
              <w:jc w:val="center"/>
            </w:pPr>
            <w:r>
              <w:rPr>
                <w:rFonts w:ascii="Times New Roman" w:hAnsi="Times New Roman" w:eastAsia="宋体"/>
                <w:b w:val="0"/>
                <w:sz w:val="21"/>
              </w:rPr>
              <w:t>结果待补</w:t>
            </w:r>
          </w:p>
        </w:tc>
        <w:tc>
          <w:tcPr>
            <w:tcW w:w="1792" w:type="dxa"/>
            <w:vAlign w:val="center"/>
          </w:tcPr>
          <w:p w14:paraId="28626491">
            <w:pPr>
              <w:jc w:val="center"/>
            </w:pPr>
            <w:r>
              <w:rPr>
                <w:rFonts w:ascii="Times New Roman" w:hAnsi="Times New Roman" w:eastAsia="宋体"/>
                <w:b w:val="0"/>
                <w:sz w:val="21"/>
              </w:rPr>
              <w:t>结果待补</w:t>
            </w:r>
          </w:p>
        </w:tc>
        <w:tc>
          <w:tcPr>
            <w:tcW w:w="1792" w:type="dxa"/>
            <w:vAlign w:val="center"/>
          </w:tcPr>
          <w:p w14:paraId="37252732">
            <w:pPr>
              <w:jc w:val="center"/>
            </w:pPr>
            <w:r>
              <w:rPr>
                <w:rFonts w:ascii="Times New Roman" w:hAnsi="Times New Roman" w:eastAsia="宋体"/>
                <w:b w:val="0"/>
                <w:sz w:val="21"/>
              </w:rPr>
              <w:t>1.00</w:t>
            </w:r>
          </w:p>
        </w:tc>
      </w:tr>
      <w:tr w14:paraId="11732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Align w:val="center"/>
          </w:tcPr>
          <w:p w14:paraId="1A60B2A1">
            <w:pPr>
              <w:jc w:val="center"/>
            </w:pPr>
            <w:r>
              <w:rPr>
                <w:rFonts w:ascii="Times New Roman" w:hAnsi="Times New Roman" w:eastAsia="宋体"/>
                <w:b w:val="0"/>
                <w:sz w:val="21"/>
              </w:rPr>
              <w:t>连续潜表示传输</w:t>
            </w:r>
          </w:p>
        </w:tc>
        <w:tc>
          <w:tcPr>
            <w:tcW w:w="1792" w:type="dxa"/>
            <w:vAlign w:val="center"/>
          </w:tcPr>
          <w:p w14:paraId="6540A02F">
            <w:pPr>
              <w:jc w:val="center"/>
            </w:pPr>
            <w:r>
              <w:rPr>
                <w:rFonts w:ascii="Times New Roman" w:hAnsi="Times New Roman" w:eastAsia="宋体"/>
                <w:b w:val="0"/>
                <w:sz w:val="21"/>
              </w:rPr>
              <w:t>结果待补</w:t>
            </w:r>
          </w:p>
        </w:tc>
        <w:tc>
          <w:tcPr>
            <w:tcW w:w="1792" w:type="dxa"/>
            <w:vAlign w:val="center"/>
          </w:tcPr>
          <w:p w14:paraId="546B9462">
            <w:pPr>
              <w:jc w:val="center"/>
            </w:pPr>
            <w:r>
              <w:rPr>
                <w:rFonts w:ascii="Times New Roman" w:hAnsi="Times New Roman" w:eastAsia="宋体"/>
                <w:b w:val="0"/>
                <w:sz w:val="21"/>
              </w:rPr>
              <w:t>结果待补</w:t>
            </w:r>
          </w:p>
        </w:tc>
        <w:tc>
          <w:tcPr>
            <w:tcW w:w="1792" w:type="dxa"/>
            <w:vAlign w:val="center"/>
          </w:tcPr>
          <w:p w14:paraId="77E0947F">
            <w:pPr>
              <w:jc w:val="center"/>
            </w:pPr>
            <w:r>
              <w:rPr>
                <w:rFonts w:ascii="Times New Roman" w:hAnsi="Times New Roman" w:eastAsia="宋体"/>
                <w:b w:val="0"/>
                <w:sz w:val="21"/>
              </w:rPr>
              <w:t>结果待补</w:t>
            </w:r>
          </w:p>
        </w:tc>
        <w:tc>
          <w:tcPr>
            <w:tcW w:w="1792" w:type="dxa"/>
            <w:vAlign w:val="center"/>
          </w:tcPr>
          <w:p w14:paraId="7F120DC5">
            <w:pPr>
              <w:jc w:val="center"/>
            </w:pPr>
            <w:r>
              <w:rPr>
                <w:rFonts w:ascii="Times New Roman" w:hAnsi="Times New Roman" w:eastAsia="宋体"/>
                <w:b w:val="0"/>
                <w:sz w:val="21"/>
              </w:rPr>
              <w:t>结果待补</w:t>
            </w:r>
          </w:p>
        </w:tc>
      </w:tr>
      <w:tr w14:paraId="18922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Align w:val="center"/>
          </w:tcPr>
          <w:p w14:paraId="226C86C5">
            <w:pPr>
              <w:jc w:val="center"/>
            </w:pPr>
            <w:r>
              <w:rPr>
                <w:rFonts w:ascii="Times New Roman" w:hAnsi="Times New Roman" w:eastAsia="宋体"/>
                <w:b w:val="0"/>
                <w:sz w:val="21"/>
              </w:rPr>
              <w:t>原始索引传输</w:t>
            </w:r>
          </w:p>
        </w:tc>
        <w:tc>
          <w:tcPr>
            <w:tcW w:w="1792" w:type="dxa"/>
            <w:vAlign w:val="center"/>
          </w:tcPr>
          <w:p w14:paraId="13833F47">
            <w:pPr>
              <w:jc w:val="center"/>
            </w:pPr>
            <w:r>
              <w:rPr>
                <w:rFonts w:ascii="Times New Roman" w:hAnsi="Times New Roman" w:eastAsia="宋体"/>
                <w:b w:val="0"/>
                <w:sz w:val="21"/>
              </w:rPr>
              <w:t>结果待补</w:t>
            </w:r>
          </w:p>
        </w:tc>
        <w:tc>
          <w:tcPr>
            <w:tcW w:w="1792" w:type="dxa"/>
            <w:vAlign w:val="center"/>
          </w:tcPr>
          <w:p w14:paraId="26FC6BA8">
            <w:pPr>
              <w:jc w:val="center"/>
            </w:pPr>
            <w:r>
              <w:rPr>
                <w:rFonts w:ascii="Times New Roman" w:hAnsi="Times New Roman" w:eastAsia="宋体"/>
                <w:b w:val="0"/>
                <w:sz w:val="21"/>
              </w:rPr>
              <w:t>结果待补</w:t>
            </w:r>
          </w:p>
        </w:tc>
        <w:tc>
          <w:tcPr>
            <w:tcW w:w="1792" w:type="dxa"/>
            <w:vAlign w:val="center"/>
          </w:tcPr>
          <w:p w14:paraId="1DCF12B7">
            <w:pPr>
              <w:jc w:val="center"/>
            </w:pPr>
            <w:r>
              <w:rPr>
                <w:rFonts w:ascii="Times New Roman" w:hAnsi="Times New Roman" w:eastAsia="宋体"/>
                <w:b w:val="0"/>
                <w:sz w:val="21"/>
              </w:rPr>
              <w:t>结果待补</w:t>
            </w:r>
          </w:p>
        </w:tc>
        <w:tc>
          <w:tcPr>
            <w:tcW w:w="1792" w:type="dxa"/>
            <w:vAlign w:val="center"/>
          </w:tcPr>
          <w:p w14:paraId="33BB5C70">
            <w:pPr>
              <w:jc w:val="center"/>
            </w:pPr>
            <w:r>
              <w:rPr>
                <w:rFonts w:ascii="Times New Roman" w:hAnsi="Times New Roman" w:eastAsia="宋体"/>
                <w:b w:val="0"/>
                <w:sz w:val="21"/>
              </w:rPr>
              <w:t>结果待补</w:t>
            </w:r>
          </w:p>
        </w:tc>
      </w:tr>
      <w:tr w14:paraId="511FF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Align w:val="center"/>
          </w:tcPr>
          <w:p w14:paraId="126F62FB">
            <w:pPr>
              <w:jc w:val="center"/>
            </w:pPr>
            <w:r>
              <w:rPr>
                <w:rFonts w:ascii="Times New Roman" w:hAnsi="Times New Roman" w:eastAsia="宋体"/>
                <w:b w:val="0"/>
                <w:sz w:val="21"/>
              </w:rPr>
              <w:t>16 bit 定宽承载</w:t>
            </w:r>
          </w:p>
        </w:tc>
        <w:tc>
          <w:tcPr>
            <w:tcW w:w="1792" w:type="dxa"/>
            <w:vAlign w:val="center"/>
          </w:tcPr>
          <w:p w14:paraId="0B269EB1">
            <w:pPr>
              <w:jc w:val="center"/>
            </w:pPr>
            <w:r>
              <w:rPr>
                <w:rFonts w:ascii="Times New Roman" w:hAnsi="Times New Roman" w:eastAsia="宋体"/>
                <w:b w:val="0"/>
                <w:sz w:val="21"/>
              </w:rPr>
              <w:t>结果待补</w:t>
            </w:r>
          </w:p>
        </w:tc>
        <w:tc>
          <w:tcPr>
            <w:tcW w:w="1792" w:type="dxa"/>
            <w:vAlign w:val="center"/>
          </w:tcPr>
          <w:p w14:paraId="45B80B57">
            <w:pPr>
              <w:jc w:val="center"/>
            </w:pPr>
            <w:r>
              <w:rPr>
                <w:rFonts w:ascii="Times New Roman" w:hAnsi="Times New Roman" w:eastAsia="宋体"/>
                <w:b w:val="0"/>
                <w:sz w:val="21"/>
              </w:rPr>
              <w:t>结果待补</w:t>
            </w:r>
          </w:p>
        </w:tc>
        <w:tc>
          <w:tcPr>
            <w:tcW w:w="1792" w:type="dxa"/>
            <w:vAlign w:val="center"/>
          </w:tcPr>
          <w:p w14:paraId="249B1631">
            <w:pPr>
              <w:jc w:val="center"/>
            </w:pPr>
            <w:r>
              <w:rPr>
                <w:rFonts w:ascii="Times New Roman" w:hAnsi="Times New Roman" w:eastAsia="宋体"/>
                <w:b w:val="0"/>
                <w:sz w:val="21"/>
              </w:rPr>
              <w:t>结果待补</w:t>
            </w:r>
          </w:p>
        </w:tc>
        <w:tc>
          <w:tcPr>
            <w:tcW w:w="1792" w:type="dxa"/>
            <w:vAlign w:val="center"/>
          </w:tcPr>
          <w:p w14:paraId="1B2FD1FB">
            <w:pPr>
              <w:jc w:val="center"/>
            </w:pPr>
            <w:r>
              <w:rPr>
                <w:rFonts w:ascii="Times New Roman" w:hAnsi="Times New Roman" w:eastAsia="宋体"/>
                <w:b w:val="0"/>
                <w:sz w:val="21"/>
              </w:rPr>
              <w:t>结果待补</w:t>
            </w:r>
          </w:p>
        </w:tc>
      </w:tr>
      <w:tr w14:paraId="6E775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Align w:val="center"/>
          </w:tcPr>
          <w:p w14:paraId="5924F973">
            <w:pPr>
              <w:jc w:val="center"/>
            </w:pPr>
            <w:r>
              <w:rPr>
                <w:rFonts w:ascii="Times New Roman" w:hAnsi="Times New Roman" w:eastAsia="宋体"/>
                <w:b w:val="0"/>
                <w:sz w:val="21"/>
              </w:rPr>
              <w:t>10 bit 打包</w:t>
            </w:r>
          </w:p>
        </w:tc>
        <w:tc>
          <w:tcPr>
            <w:tcW w:w="1792" w:type="dxa"/>
            <w:vAlign w:val="center"/>
          </w:tcPr>
          <w:p w14:paraId="4A0990E7">
            <w:pPr>
              <w:jc w:val="center"/>
            </w:pPr>
            <w:r>
              <w:rPr>
                <w:rFonts w:ascii="Times New Roman" w:hAnsi="Times New Roman" w:eastAsia="宋体"/>
                <w:b w:val="0"/>
                <w:sz w:val="21"/>
              </w:rPr>
              <w:t>结果待补</w:t>
            </w:r>
          </w:p>
        </w:tc>
        <w:tc>
          <w:tcPr>
            <w:tcW w:w="1792" w:type="dxa"/>
            <w:vAlign w:val="center"/>
          </w:tcPr>
          <w:p w14:paraId="00A1A5C5">
            <w:pPr>
              <w:jc w:val="center"/>
            </w:pPr>
            <w:r>
              <w:rPr>
                <w:rFonts w:ascii="Times New Roman" w:hAnsi="Times New Roman" w:eastAsia="宋体"/>
                <w:b w:val="0"/>
                <w:sz w:val="21"/>
              </w:rPr>
              <w:t>结果待补</w:t>
            </w:r>
          </w:p>
        </w:tc>
        <w:tc>
          <w:tcPr>
            <w:tcW w:w="1792" w:type="dxa"/>
            <w:vAlign w:val="center"/>
          </w:tcPr>
          <w:p w14:paraId="30FBD3F1">
            <w:pPr>
              <w:jc w:val="center"/>
            </w:pPr>
            <w:r>
              <w:rPr>
                <w:rFonts w:ascii="Times New Roman" w:hAnsi="Times New Roman" w:eastAsia="宋体"/>
                <w:b w:val="0"/>
                <w:sz w:val="21"/>
              </w:rPr>
              <w:t>结果待补</w:t>
            </w:r>
          </w:p>
        </w:tc>
        <w:tc>
          <w:tcPr>
            <w:tcW w:w="1792" w:type="dxa"/>
            <w:vAlign w:val="center"/>
          </w:tcPr>
          <w:p w14:paraId="540BA4E2">
            <w:pPr>
              <w:jc w:val="center"/>
            </w:pPr>
            <w:r>
              <w:rPr>
                <w:rFonts w:ascii="Times New Roman" w:hAnsi="Times New Roman" w:eastAsia="宋体"/>
                <w:b w:val="0"/>
                <w:sz w:val="21"/>
              </w:rPr>
              <w:t>结果待补</w:t>
            </w:r>
          </w:p>
        </w:tc>
      </w:tr>
      <w:tr w14:paraId="65528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Align w:val="center"/>
          </w:tcPr>
          <w:p w14:paraId="60E644C4">
            <w:pPr>
              <w:jc w:val="center"/>
            </w:pPr>
            <w:r>
              <w:rPr>
                <w:rFonts w:ascii="Times New Roman" w:hAnsi="Times New Roman" w:eastAsia="宋体"/>
                <w:b w:val="0"/>
                <w:sz w:val="21"/>
              </w:rPr>
              <w:t>算术编码</w:t>
            </w:r>
          </w:p>
        </w:tc>
        <w:tc>
          <w:tcPr>
            <w:tcW w:w="1792" w:type="dxa"/>
            <w:vAlign w:val="center"/>
          </w:tcPr>
          <w:p w14:paraId="2F2FD9FC">
            <w:pPr>
              <w:jc w:val="center"/>
            </w:pPr>
            <w:r>
              <w:rPr>
                <w:rFonts w:ascii="Times New Roman" w:hAnsi="Times New Roman" w:eastAsia="宋体"/>
                <w:b w:val="0"/>
                <w:sz w:val="21"/>
              </w:rPr>
              <w:t>结果待补</w:t>
            </w:r>
          </w:p>
        </w:tc>
        <w:tc>
          <w:tcPr>
            <w:tcW w:w="1792" w:type="dxa"/>
            <w:vAlign w:val="center"/>
          </w:tcPr>
          <w:p w14:paraId="5210FA1C">
            <w:pPr>
              <w:jc w:val="center"/>
            </w:pPr>
            <w:r>
              <w:rPr>
                <w:rFonts w:ascii="Times New Roman" w:hAnsi="Times New Roman" w:eastAsia="宋体"/>
                <w:b w:val="0"/>
                <w:sz w:val="21"/>
              </w:rPr>
              <w:t>结果待补</w:t>
            </w:r>
          </w:p>
        </w:tc>
        <w:tc>
          <w:tcPr>
            <w:tcW w:w="1792" w:type="dxa"/>
            <w:vAlign w:val="center"/>
          </w:tcPr>
          <w:p w14:paraId="34CF5A35">
            <w:pPr>
              <w:jc w:val="center"/>
            </w:pPr>
            <w:r>
              <w:rPr>
                <w:rFonts w:ascii="Times New Roman" w:hAnsi="Times New Roman" w:eastAsia="宋体"/>
                <w:b w:val="0"/>
                <w:sz w:val="21"/>
              </w:rPr>
              <w:t>结果待补</w:t>
            </w:r>
          </w:p>
        </w:tc>
        <w:tc>
          <w:tcPr>
            <w:tcW w:w="1792" w:type="dxa"/>
            <w:vAlign w:val="center"/>
          </w:tcPr>
          <w:p w14:paraId="04F21093">
            <w:pPr>
              <w:jc w:val="center"/>
            </w:pPr>
            <w:r>
              <w:rPr>
                <w:rFonts w:ascii="Times New Roman" w:hAnsi="Times New Roman" w:eastAsia="宋体"/>
                <w:b w:val="0"/>
                <w:sz w:val="21"/>
              </w:rPr>
              <w:t>结果待补</w:t>
            </w:r>
          </w:p>
        </w:tc>
      </w:tr>
    </w:tbl>
    <w:p w14:paraId="3947357C">
      <w:pPr>
        <w:ind w:firstLine="0"/>
      </w:pPr>
      <w:r>
        <w:rPr>
          <w:rFonts w:ascii="Times New Roman" w:hAnsi="Times New Roman" w:eastAsia="宋体"/>
          <w:b w:val="0"/>
          <w:sz w:val="21"/>
        </w:rPr>
        <w:t>注：本表用于在统一 chunk 设置、统一头部字段和统一模型版本下汇报在线负载构成。所有“结果待补”字段均待统一评估脚本生成。</w:t>
      </w:r>
    </w:p>
    <w:p w14:paraId="50E327CB">
      <w:pPr>
        <w:pBdr>
          <w:top w:val="single" w:color="808080" w:sz="8" w:space="6"/>
          <w:left w:val="single" w:color="808080" w:sz="8" w:space="6"/>
          <w:bottom w:val="single" w:color="808080" w:sz="8" w:space="6"/>
          <w:right w:val="single" w:color="808080" w:sz="8" w:space="6"/>
        </w:pBdr>
        <w:spacing w:before="80" w:after="80"/>
        <w:jc w:val="center"/>
      </w:pPr>
      <w:r>
        <w:rPr>
          <w:rFonts w:ascii="Times New Roman" w:hAnsi="Times New Roman" w:eastAsia="黑体"/>
          <w:b/>
          <w:sz w:val="24"/>
        </w:rPr>
        <w:t>插图位置预留</w:t>
      </w:r>
    </w:p>
    <w:p w14:paraId="0C47C990">
      <w:pPr>
        <w:jc w:val="center"/>
      </w:pPr>
      <w:r>
        <w:rPr>
          <w:rFonts w:ascii="Times New Roman" w:hAnsi="Times New Roman" w:eastAsia="宋体"/>
          <w:b/>
          <w:sz w:val="22"/>
        </w:rPr>
        <w:t>图3 不同传输方式的在线负载与压缩比对比（待插入）</w:t>
      </w:r>
    </w:p>
    <w:p w14:paraId="68A5539F">
      <w:pPr>
        <w:ind w:firstLine="0"/>
        <w:jc w:val="center"/>
      </w:pPr>
      <w:r>
        <w:rPr>
          <w:rFonts w:ascii="Times New Roman" w:hAnsi="Times New Roman" w:eastAsia="宋体"/>
          <w:b w:val="0"/>
          <w:sz w:val="21"/>
        </w:rPr>
        <w:t>该图用于展示不同传输方案的总在线负载、纯索引载荷占比以及相对 PCM 基线的压缩效果。</w:t>
      </w:r>
    </w:p>
    <w:p w14:paraId="4C8069FE">
      <w:pPr>
        <w:spacing w:before="120" w:after="40"/>
        <w:jc w:val="left"/>
      </w:pPr>
      <w:r>
        <w:rPr>
          <w:rFonts w:ascii="Times New Roman" w:hAnsi="Times New Roman" w:eastAsia="黑体"/>
          <w:b/>
          <w:sz w:val="24"/>
        </w:rPr>
        <w:t>4.2 语音重建质量</w:t>
      </w:r>
    </w:p>
    <w:p w14:paraId="7D4811B1">
      <w:pPr>
        <w:jc w:val="both"/>
      </w:pPr>
      <w:r>
        <w:rPr>
          <w:rFonts w:ascii="Times New Roman" w:hAnsi="Times New Roman" w:eastAsia="宋体"/>
          <w:b w:val="0"/>
          <w:sz w:val="24"/>
        </w:rPr>
        <w:t>语音质量是离散索引通信能否成立的另一项核心约束。如表2所示，正式实验应在相同负载统计口径下同步报告不同 RVQ 层数与不同序列化策略对应的 PESQ、STOI、SI-SNR 以及必要的主观结论，从而避免脱离通信负担单独讨论重建质量。最终版尤其需要补入不同 rvq_layers 设置下的质量退化曲线，以说明在线负载下降是否仍能维持可接受的语音可懂度和感知质量。</w:t>
      </w:r>
    </w:p>
    <w:p w14:paraId="70A91236">
      <w:pPr>
        <w:jc w:val="both"/>
      </w:pPr>
      <w:r>
        <w:rPr>
          <w:rFonts w:ascii="Times New Roman" w:hAnsi="Times New Roman" w:eastAsia="宋体"/>
          <w:b w:val="0"/>
          <w:sz w:val="24"/>
        </w:rPr>
        <w:t>从模型机制判断，保留更多 RVQ 层通常更有利于补足音色与细节信息，因此质量结果预期将随保留层数增加而改善；但改善的幅度、不同指标之间的一致性，以及其与在线负载之间的平衡关系，仍需由统一测试集和统一脚本正式验证。本文在这里不预写结果方向之外的结论，只保留正式表格与图形位点。</w:t>
      </w:r>
    </w:p>
    <w:p w14:paraId="037EF717">
      <w:pPr>
        <w:jc w:val="center"/>
      </w:pPr>
      <w:r>
        <w:rPr>
          <w:rFonts w:ascii="Times New Roman" w:hAnsi="Times New Roman" w:eastAsia="宋体"/>
          <w:b/>
          <w:sz w:val="22"/>
        </w:rPr>
        <w:t>表2 不同 RVQ 层设置下的重建质量与在线负载比较（待补）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3"/>
        <w:gridCol w:w="1493"/>
        <w:gridCol w:w="1493"/>
        <w:gridCol w:w="1493"/>
        <w:gridCol w:w="1493"/>
        <w:gridCol w:w="1493"/>
      </w:tblGrid>
      <w:tr w14:paraId="79A67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3" w:type="dxa"/>
            <w:vAlign w:val="center"/>
          </w:tcPr>
          <w:p w14:paraId="0E85C6F4">
            <w:pPr>
              <w:jc w:val="center"/>
            </w:pPr>
            <w:r>
              <w:rPr>
                <w:rFonts w:ascii="Times New Roman" w:hAnsi="Times New Roman" w:eastAsia="黑体"/>
                <w:b/>
                <w:sz w:val="21"/>
              </w:rPr>
              <w:t>RVQ 层数</w:t>
            </w:r>
          </w:p>
        </w:tc>
        <w:tc>
          <w:tcPr>
            <w:tcW w:w="1493" w:type="dxa"/>
            <w:vAlign w:val="center"/>
          </w:tcPr>
          <w:p w14:paraId="2496304B">
            <w:pPr>
              <w:jc w:val="center"/>
            </w:pPr>
            <w:r>
              <w:rPr>
                <w:rFonts w:ascii="Times New Roman" w:hAnsi="Times New Roman" w:eastAsia="黑体"/>
                <w:b/>
                <w:sz w:val="21"/>
              </w:rPr>
              <w:t>序列化方案</w:t>
            </w:r>
          </w:p>
        </w:tc>
        <w:tc>
          <w:tcPr>
            <w:tcW w:w="1493" w:type="dxa"/>
            <w:vAlign w:val="center"/>
          </w:tcPr>
          <w:p w14:paraId="16670FB0">
            <w:pPr>
              <w:jc w:val="center"/>
            </w:pPr>
            <w:r>
              <w:rPr>
                <w:rFonts w:ascii="Times New Roman" w:hAnsi="Times New Roman" w:eastAsia="黑体"/>
                <w:b/>
                <w:sz w:val="21"/>
              </w:rPr>
              <w:t>PESQ</w:t>
            </w:r>
          </w:p>
        </w:tc>
        <w:tc>
          <w:tcPr>
            <w:tcW w:w="1493" w:type="dxa"/>
            <w:vAlign w:val="center"/>
          </w:tcPr>
          <w:p w14:paraId="08B2F5D6">
            <w:pPr>
              <w:jc w:val="center"/>
            </w:pPr>
            <w:r>
              <w:rPr>
                <w:rFonts w:ascii="Times New Roman" w:hAnsi="Times New Roman" w:eastAsia="黑体"/>
                <w:b/>
                <w:sz w:val="21"/>
              </w:rPr>
              <w:t>STOI</w:t>
            </w:r>
          </w:p>
        </w:tc>
        <w:tc>
          <w:tcPr>
            <w:tcW w:w="1493" w:type="dxa"/>
            <w:vAlign w:val="center"/>
          </w:tcPr>
          <w:p w14:paraId="47D4659B">
            <w:pPr>
              <w:jc w:val="center"/>
            </w:pPr>
            <w:r>
              <w:rPr>
                <w:rFonts w:ascii="Times New Roman" w:hAnsi="Times New Roman" w:eastAsia="黑体"/>
                <w:b/>
                <w:sz w:val="21"/>
              </w:rPr>
              <w:t>SI-SNR</w:t>
            </w:r>
          </w:p>
        </w:tc>
        <w:tc>
          <w:tcPr>
            <w:tcW w:w="1493" w:type="dxa"/>
            <w:vAlign w:val="center"/>
          </w:tcPr>
          <w:p w14:paraId="06CB7C01">
            <w:pPr>
              <w:jc w:val="center"/>
            </w:pPr>
            <w:r>
              <w:rPr>
                <w:rFonts w:ascii="Times New Roman" w:hAnsi="Times New Roman" w:eastAsia="黑体"/>
                <w:b/>
                <w:sz w:val="21"/>
              </w:rPr>
              <w:t>总在线负载</w:t>
            </w:r>
          </w:p>
        </w:tc>
      </w:tr>
      <w:tr w14:paraId="3FB4D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3" w:type="dxa"/>
            <w:vAlign w:val="center"/>
          </w:tcPr>
          <w:p w14:paraId="4FC9271C">
            <w:pPr>
              <w:jc w:val="center"/>
            </w:pPr>
            <w:r>
              <w:rPr>
                <w:rFonts w:ascii="Times New Roman" w:hAnsi="Times New Roman" w:eastAsia="宋体"/>
                <w:b w:val="0"/>
                <w:sz w:val="21"/>
              </w:rPr>
              <w:t>1 层</w:t>
            </w:r>
          </w:p>
        </w:tc>
        <w:tc>
          <w:tcPr>
            <w:tcW w:w="1493" w:type="dxa"/>
            <w:vAlign w:val="center"/>
          </w:tcPr>
          <w:p w14:paraId="48C8D06F">
            <w:pPr>
              <w:jc w:val="center"/>
            </w:pPr>
            <w:r>
              <w:rPr>
                <w:rFonts w:ascii="Times New Roman" w:hAnsi="Times New Roman" w:eastAsia="宋体"/>
                <w:b w:val="0"/>
                <w:sz w:val="21"/>
              </w:rPr>
              <w:t>原始索引</w:t>
            </w:r>
          </w:p>
        </w:tc>
        <w:tc>
          <w:tcPr>
            <w:tcW w:w="1493" w:type="dxa"/>
            <w:vAlign w:val="center"/>
          </w:tcPr>
          <w:p w14:paraId="260BF48D">
            <w:pPr>
              <w:jc w:val="center"/>
            </w:pPr>
            <w:r>
              <w:rPr>
                <w:rFonts w:ascii="Times New Roman" w:hAnsi="Times New Roman" w:eastAsia="宋体"/>
                <w:b w:val="0"/>
                <w:sz w:val="21"/>
              </w:rPr>
              <w:t>结果待补</w:t>
            </w:r>
          </w:p>
        </w:tc>
        <w:tc>
          <w:tcPr>
            <w:tcW w:w="1493" w:type="dxa"/>
            <w:vAlign w:val="center"/>
          </w:tcPr>
          <w:p w14:paraId="310B8D08">
            <w:pPr>
              <w:jc w:val="center"/>
            </w:pPr>
            <w:r>
              <w:rPr>
                <w:rFonts w:ascii="Times New Roman" w:hAnsi="Times New Roman" w:eastAsia="宋体"/>
                <w:b w:val="0"/>
                <w:sz w:val="21"/>
              </w:rPr>
              <w:t>结果待补</w:t>
            </w:r>
          </w:p>
        </w:tc>
        <w:tc>
          <w:tcPr>
            <w:tcW w:w="1493" w:type="dxa"/>
            <w:vAlign w:val="center"/>
          </w:tcPr>
          <w:p w14:paraId="38ADE818">
            <w:pPr>
              <w:jc w:val="center"/>
            </w:pPr>
            <w:r>
              <w:rPr>
                <w:rFonts w:ascii="Times New Roman" w:hAnsi="Times New Roman" w:eastAsia="宋体"/>
                <w:b w:val="0"/>
                <w:sz w:val="21"/>
              </w:rPr>
              <w:t>结果待补</w:t>
            </w:r>
          </w:p>
        </w:tc>
        <w:tc>
          <w:tcPr>
            <w:tcW w:w="1493" w:type="dxa"/>
            <w:vAlign w:val="center"/>
          </w:tcPr>
          <w:p w14:paraId="133FA093">
            <w:pPr>
              <w:jc w:val="center"/>
            </w:pPr>
            <w:r>
              <w:rPr>
                <w:rFonts w:ascii="Times New Roman" w:hAnsi="Times New Roman" w:eastAsia="宋体"/>
                <w:b w:val="0"/>
                <w:sz w:val="21"/>
              </w:rPr>
              <w:t>结果待补</w:t>
            </w:r>
          </w:p>
        </w:tc>
      </w:tr>
      <w:tr w14:paraId="0A525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3" w:type="dxa"/>
            <w:vAlign w:val="center"/>
          </w:tcPr>
          <w:p w14:paraId="3E8B454D">
            <w:pPr>
              <w:jc w:val="center"/>
            </w:pPr>
            <w:r>
              <w:rPr>
                <w:rFonts w:ascii="Times New Roman" w:hAnsi="Times New Roman" w:eastAsia="宋体"/>
                <w:b w:val="0"/>
                <w:sz w:val="21"/>
              </w:rPr>
              <w:t>2 层</w:t>
            </w:r>
          </w:p>
        </w:tc>
        <w:tc>
          <w:tcPr>
            <w:tcW w:w="1493" w:type="dxa"/>
            <w:vAlign w:val="center"/>
          </w:tcPr>
          <w:p w14:paraId="49C40FF1">
            <w:pPr>
              <w:jc w:val="center"/>
            </w:pPr>
            <w:r>
              <w:rPr>
                <w:rFonts w:ascii="Times New Roman" w:hAnsi="Times New Roman" w:eastAsia="宋体"/>
                <w:b w:val="0"/>
                <w:sz w:val="21"/>
              </w:rPr>
              <w:t>原始索引</w:t>
            </w:r>
          </w:p>
        </w:tc>
        <w:tc>
          <w:tcPr>
            <w:tcW w:w="1493" w:type="dxa"/>
            <w:vAlign w:val="center"/>
          </w:tcPr>
          <w:p w14:paraId="2B841B6D">
            <w:pPr>
              <w:jc w:val="center"/>
            </w:pPr>
            <w:r>
              <w:rPr>
                <w:rFonts w:ascii="Times New Roman" w:hAnsi="Times New Roman" w:eastAsia="宋体"/>
                <w:b w:val="0"/>
                <w:sz w:val="21"/>
              </w:rPr>
              <w:t>结果待补</w:t>
            </w:r>
          </w:p>
        </w:tc>
        <w:tc>
          <w:tcPr>
            <w:tcW w:w="1493" w:type="dxa"/>
            <w:vAlign w:val="center"/>
          </w:tcPr>
          <w:p w14:paraId="15C4C245">
            <w:pPr>
              <w:jc w:val="center"/>
            </w:pPr>
            <w:r>
              <w:rPr>
                <w:rFonts w:ascii="Times New Roman" w:hAnsi="Times New Roman" w:eastAsia="宋体"/>
                <w:b w:val="0"/>
                <w:sz w:val="21"/>
              </w:rPr>
              <w:t>结果待补</w:t>
            </w:r>
          </w:p>
        </w:tc>
        <w:tc>
          <w:tcPr>
            <w:tcW w:w="1493" w:type="dxa"/>
            <w:vAlign w:val="center"/>
          </w:tcPr>
          <w:p w14:paraId="2252F10B">
            <w:pPr>
              <w:jc w:val="center"/>
            </w:pPr>
            <w:r>
              <w:rPr>
                <w:rFonts w:ascii="Times New Roman" w:hAnsi="Times New Roman" w:eastAsia="宋体"/>
                <w:b w:val="0"/>
                <w:sz w:val="21"/>
              </w:rPr>
              <w:t>结果待补</w:t>
            </w:r>
          </w:p>
        </w:tc>
        <w:tc>
          <w:tcPr>
            <w:tcW w:w="1493" w:type="dxa"/>
            <w:vAlign w:val="center"/>
          </w:tcPr>
          <w:p w14:paraId="66BEB6A4">
            <w:pPr>
              <w:jc w:val="center"/>
            </w:pPr>
            <w:r>
              <w:rPr>
                <w:rFonts w:ascii="Times New Roman" w:hAnsi="Times New Roman" w:eastAsia="宋体"/>
                <w:b w:val="0"/>
                <w:sz w:val="21"/>
              </w:rPr>
              <w:t>结果待补</w:t>
            </w:r>
          </w:p>
        </w:tc>
      </w:tr>
      <w:tr w14:paraId="47DF0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3" w:type="dxa"/>
            <w:vAlign w:val="center"/>
          </w:tcPr>
          <w:p w14:paraId="020F3E16">
            <w:pPr>
              <w:jc w:val="center"/>
            </w:pPr>
            <w:r>
              <w:rPr>
                <w:rFonts w:ascii="Times New Roman" w:hAnsi="Times New Roman" w:eastAsia="宋体"/>
                <w:b w:val="0"/>
                <w:sz w:val="21"/>
              </w:rPr>
              <w:t>3 层</w:t>
            </w:r>
          </w:p>
        </w:tc>
        <w:tc>
          <w:tcPr>
            <w:tcW w:w="1493" w:type="dxa"/>
            <w:vAlign w:val="center"/>
          </w:tcPr>
          <w:p w14:paraId="65DC33A8">
            <w:pPr>
              <w:jc w:val="center"/>
            </w:pPr>
            <w:r>
              <w:rPr>
                <w:rFonts w:ascii="Times New Roman" w:hAnsi="Times New Roman" w:eastAsia="宋体"/>
                <w:b w:val="0"/>
                <w:sz w:val="21"/>
              </w:rPr>
              <w:t>原始索引</w:t>
            </w:r>
          </w:p>
        </w:tc>
        <w:tc>
          <w:tcPr>
            <w:tcW w:w="1493" w:type="dxa"/>
            <w:vAlign w:val="center"/>
          </w:tcPr>
          <w:p w14:paraId="5A350946">
            <w:pPr>
              <w:jc w:val="center"/>
            </w:pPr>
            <w:r>
              <w:rPr>
                <w:rFonts w:ascii="Times New Roman" w:hAnsi="Times New Roman" w:eastAsia="宋体"/>
                <w:b w:val="0"/>
                <w:sz w:val="21"/>
              </w:rPr>
              <w:t>结果待补</w:t>
            </w:r>
          </w:p>
        </w:tc>
        <w:tc>
          <w:tcPr>
            <w:tcW w:w="1493" w:type="dxa"/>
            <w:vAlign w:val="center"/>
          </w:tcPr>
          <w:p w14:paraId="78A0AD45">
            <w:pPr>
              <w:jc w:val="center"/>
            </w:pPr>
            <w:r>
              <w:rPr>
                <w:rFonts w:ascii="Times New Roman" w:hAnsi="Times New Roman" w:eastAsia="宋体"/>
                <w:b w:val="0"/>
                <w:sz w:val="21"/>
              </w:rPr>
              <w:t>结果待补</w:t>
            </w:r>
          </w:p>
        </w:tc>
        <w:tc>
          <w:tcPr>
            <w:tcW w:w="1493" w:type="dxa"/>
            <w:vAlign w:val="center"/>
          </w:tcPr>
          <w:p w14:paraId="2BF664FD">
            <w:pPr>
              <w:jc w:val="center"/>
            </w:pPr>
            <w:r>
              <w:rPr>
                <w:rFonts w:ascii="Times New Roman" w:hAnsi="Times New Roman" w:eastAsia="宋体"/>
                <w:b w:val="0"/>
                <w:sz w:val="21"/>
              </w:rPr>
              <w:t>结果待补</w:t>
            </w:r>
          </w:p>
        </w:tc>
        <w:tc>
          <w:tcPr>
            <w:tcW w:w="1493" w:type="dxa"/>
            <w:vAlign w:val="center"/>
          </w:tcPr>
          <w:p w14:paraId="2210B386">
            <w:pPr>
              <w:jc w:val="center"/>
            </w:pPr>
            <w:r>
              <w:rPr>
                <w:rFonts w:ascii="Times New Roman" w:hAnsi="Times New Roman" w:eastAsia="宋体"/>
                <w:b w:val="0"/>
                <w:sz w:val="21"/>
              </w:rPr>
              <w:t>结果待补</w:t>
            </w:r>
          </w:p>
        </w:tc>
      </w:tr>
      <w:tr w14:paraId="0A912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3" w:type="dxa"/>
            <w:vAlign w:val="center"/>
          </w:tcPr>
          <w:p w14:paraId="4AFCE12B">
            <w:pPr>
              <w:jc w:val="center"/>
            </w:pPr>
            <w:r>
              <w:rPr>
                <w:rFonts w:ascii="Times New Roman" w:hAnsi="Times New Roman" w:eastAsia="宋体"/>
                <w:b w:val="0"/>
                <w:sz w:val="21"/>
              </w:rPr>
              <w:t>3 层</w:t>
            </w:r>
          </w:p>
        </w:tc>
        <w:tc>
          <w:tcPr>
            <w:tcW w:w="1493" w:type="dxa"/>
            <w:vAlign w:val="center"/>
          </w:tcPr>
          <w:p w14:paraId="5A7401BD">
            <w:pPr>
              <w:jc w:val="center"/>
            </w:pPr>
            <w:r>
              <w:rPr>
                <w:rFonts w:ascii="Times New Roman" w:hAnsi="Times New Roman" w:eastAsia="宋体"/>
                <w:b w:val="0"/>
                <w:sz w:val="21"/>
              </w:rPr>
              <w:t>10 bit 打包</w:t>
            </w:r>
          </w:p>
        </w:tc>
        <w:tc>
          <w:tcPr>
            <w:tcW w:w="1493" w:type="dxa"/>
            <w:vAlign w:val="center"/>
          </w:tcPr>
          <w:p w14:paraId="3F90BB96">
            <w:pPr>
              <w:jc w:val="center"/>
            </w:pPr>
            <w:r>
              <w:rPr>
                <w:rFonts w:ascii="Times New Roman" w:hAnsi="Times New Roman" w:eastAsia="宋体"/>
                <w:b w:val="0"/>
                <w:sz w:val="21"/>
              </w:rPr>
              <w:t>结果待补</w:t>
            </w:r>
          </w:p>
        </w:tc>
        <w:tc>
          <w:tcPr>
            <w:tcW w:w="1493" w:type="dxa"/>
            <w:vAlign w:val="center"/>
          </w:tcPr>
          <w:p w14:paraId="280AF35C">
            <w:pPr>
              <w:jc w:val="center"/>
            </w:pPr>
            <w:r>
              <w:rPr>
                <w:rFonts w:ascii="Times New Roman" w:hAnsi="Times New Roman" w:eastAsia="宋体"/>
                <w:b w:val="0"/>
                <w:sz w:val="21"/>
              </w:rPr>
              <w:t>结果待补</w:t>
            </w:r>
          </w:p>
        </w:tc>
        <w:tc>
          <w:tcPr>
            <w:tcW w:w="1493" w:type="dxa"/>
            <w:vAlign w:val="center"/>
          </w:tcPr>
          <w:p w14:paraId="2111C8D7">
            <w:pPr>
              <w:jc w:val="center"/>
            </w:pPr>
            <w:r>
              <w:rPr>
                <w:rFonts w:ascii="Times New Roman" w:hAnsi="Times New Roman" w:eastAsia="宋体"/>
                <w:b w:val="0"/>
                <w:sz w:val="21"/>
              </w:rPr>
              <w:t>结果待补</w:t>
            </w:r>
          </w:p>
        </w:tc>
        <w:tc>
          <w:tcPr>
            <w:tcW w:w="1493" w:type="dxa"/>
            <w:vAlign w:val="center"/>
          </w:tcPr>
          <w:p w14:paraId="1616E66E">
            <w:pPr>
              <w:jc w:val="center"/>
            </w:pPr>
            <w:r>
              <w:rPr>
                <w:rFonts w:ascii="Times New Roman" w:hAnsi="Times New Roman" w:eastAsia="宋体"/>
                <w:b w:val="0"/>
                <w:sz w:val="21"/>
              </w:rPr>
              <w:t>结果待补</w:t>
            </w:r>
          </w:p>
        </w:tc>
      </w:tr>
      <w:tr w14:paraId="25122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3" w:type="dxa"/>
            <w:vAlign w:val="center"/>
          </w:tcPr>
          <w:p w14:paraId="3367EB10">
            <w:pPr>
              <w:jc w:val="center"/>
            </w:pPr>
            <w:r>
              <w:rPr>
                <w:rFonts w:ascii="Times New Roman" w:hAnsi="Times New Roman" w:eastAsia="宋体"/>
                <w:b w:val="0"/>
                <w:sz w:val="21"/>
              </w:rPr>
              <w:t>3 层</w:t>
            </w:r>
          </w:p>
        </w:tc>
        <w:tc>
          <w:tcPr>
            <w:tcW w:w="1493" w:type="dxa"/>
            <w:vAlign w:val="center"/>
          </w:tcPr>
          <w:p w14:paraId="379E01D7">
            <w:pPr>
              <w:jc w:val="center"/>
            </w:pPr>
            <w:r>
              <w:rPr>
                <w:rFonts w:ascii="Times New Roman" w:hAnsi="Times New Roman" w:eastAsia="宋体"/>
                <w:b w:val="0"/>
                <w:sz w:val="21"/>
              </w:rPr>
              <w:t>算术编码</w:t>
            </w:r>
          </w:p>
        </w:tc>
        <w:tc>
          <w:tcPr>
            <w:tcW w:w="1493" w:type="dxa"/>
            <w:vAlign w:val="center"/>
          </w:tcPr>
          <w:p w14:paraId="14401C0C">
            <w:pPr>
              <w:jc w:val="center"/>
            </w:pPr>
            <w:r>
              <w:rPr>
                <w:rFonts w:ascii="Times New Roman" w:hAnsi="Times New Roman" w:eastAsia="宋体"/>
                <w:b w:val="0"/>
                <w:sz w:val="21"/>
              </w:rPr>
              <w:t>结果待补</w:t>
            </w:r>
          </w:p>
        </w:tc>
        <w:tc>
          <w:tcPr>
            <w:tcW w:w="1493" w:type="dxa"/>
            <w:vAlign w:val="center"/>
          </w:tcPr>
          <w:p w14:paraId="45144105">
            <w:pPr>
              <w:jc w:val="center"/>
            </w:pPr>
            <w:r>
              <w:rPr>
                <w:rFonts w:ascii="Times New Roman" w:hAnsi="Times New Roman" w:eastAsia="宋体"/>
                <w:b w:val="0"/>
                <w:sz w:val="21"/>
              </w:rPr>
              <w:t>结果待补</w:t>
            </w:r>
          </w:p>
        </w:tc>
        <w:tc>
          <w:tcPr>
            <w:tcW w:w="1493" w:type="dxa"/>
            <w:vAlign w:val="center"/>
          </w:tcPr>
          <w:p w14:paraId="38167991">
            <w:pPr>
              <w:jc w:val="center"/>
            </w:pPr>
            <w:r>
              <w:rPr>
                <w:rFonts w:ascii="Times New Roman" w:hAnsi="Times New Roman" w:eastAsia="宋体"/>
                <w:b w:val="0"/>
                <w:sz w:val="21"/>
              </w:rPr>
              <w:t>结果待补</w:t>
            </w:r>
          </w:p>
        </w:tc>
        <w:tc>
          <w:tcPr>
            <w:tcW w:w="1493" w:type="dxa"/>
            <w:vAlign w:val="center"/>
          </w:tcPr>
          <w:p w14:paraId="2B0EEFEF">
            <w:pPr>
              <w:jc w:val="center"/>
            </w:pPr>
            <w:r>
              <w:rPr>
                <w:rFonts w:ascii="Times New Roman" w:hAnsi="Times New Roman" w:eastAsia="宋体"/>
                <w:b w:val="0"/>
                <w:sz w:val="21"/>
              </w:rPr>
              <w:t>结果待补</w:t>
            </w:r>
          </w:p>
        </w:tc>
      </w:tr>
    </w:tbl>
    <w:p w14:paraId="7697259C">
      <w:pPr>
        <w:ind w:firstLine="0"/>
      </w:pPr>
      <w:r>
        <w:rPr>
          <w:rFonts w:ascii="Times New Roman" w:hAnsi="Times New Roman" w:eastAsia="宋体"/>
          <w:b w:val="0"/>
          <w:sz w:val="21"/>
        </w:rPr>
        <w:t>注：表2用于在相同测试集、相同 chunk 设置和相同推理模型下比较质量指标与在线负载的对应关系。</w:t>
      </w:r>
    </w:p>
    <w:p w14:paraId="67FA5AB9">
      <w:pPr>
        <w:pBdr>
          <w:top w:val="single" w:color="808080" w:sz="8" w:space="6"/>
          <w:left w:val="single" w:color="808080" w:sz="8" w:space="6"/>
          <w:bottom w:val="single" w:color="808080" w:sz="8" w:space="6"/>
          <w:right w:val="single" w:color="808080" w:sz="8" w:space="6"/>
        </w:pBdr>
        <w:spacing w:before="80" w:after="80"/>
        <w:jc w:val="center"/>
      </w:pPr>
      <w:r>
        <w:rPr>
          <w:rFonts w:ascii="Times New Roman" w:hAnsi="Times New Roman" w:eastAsia="黑体"/>
          <w:b/>
          <w:sz w:val="24"/>
        </w:rPr>
        <w:t>插图位置预留</w:t>
      </w:r>
    </w:p>
    <w:p w14:paraId="18B7E62C">
      <w:pPr>
        <w:jc w:val="center"/>
      </w:pPr>
      <w:r>
        <w:rPr>
          <w:rFonts w:ascii="Times New Roman" w:hAnsi="Times New Roman" w:eastAsia="宋体"/>
          <w:b/>
          <w:sz w:val="22"/>
        </w:rPr>
        <w:t>图4 统一在线负载口径下的语音重建质量结果（待插入）</w:t>
      </w:r>
    </w:p>
    <w:p w14:paraId="0D636FAF">
      <w:pPr>
        <w:ind w:firstLine="0"/>
        <w:jc w:val="center"/>
      </w:pPr>
      <w:r>
        <w:rPr>
          <w:rFonts w:ascii="Times New Roman" w:hAnsi="Times New Roman" w:eastAsia="宋体"/>
          <w:b w:val="0"/>
          <w:sz w:val="21"/>
        </w:rPr>
        <w:t>该图用于展示不同层数或不同序列化方案下 PESQ、STOI、SI-SNR 与在线负载之间的对应变化。</w:t>
      </w:r>
    </w:p>
    <w:p w14:paraId="0776885B">
      <w:pPr>
        <w:spacing w:before="120" w:after="40"/>
        <w:jc w:val="left"/>
      </w:pPr>
      <w:r>
        <w:rPr>
          <w:rFonts w:ascii="Times New Roman" w:hAnsi="Times New Roman" w:eastAsia="黑体"/>
          <w:b/>
          <w:sz w:val="24"/>
        </w:rPr>
        <w:t>4.3 不同量化与序列化方案下的载荷-质量权衡</w:t>
      </w:r>
    </w:p>
    <w:p w14:paraId="544ED546">
      <w:pPr>
        <w:jc w:val="both"/>
        <w:rPr>
          <w:color w:val="0000FF"/>
        </w:rPr>
      </w:pPr>
      <w:r>
        <w:rPr>
          <w:rFonts w:ascii="Times New Roman" w:hAnsi="Times New Roman" w:eastAsia="宋体"/>
          <w:b w:val="0"/>
          <w:sz w:val="24"/>
        </w:rPr>
        <w:t>离散索引通信是否具有系统价值，并不只取决于“能否把语音编码成索引”，还取决于索引在字节层的承载方式。如表3和图5所示，正式实验应把原始数组传输、16 bit 定宽承载、10 bit 打包和算术编码放在同一坐标系中，同时观察在线负载、头部占比、解码复杂度和质量变化。</w:t>
      </w:r>
      <w:r>
        <w:rPr>
          <w:rFonts w:ascii="Times New Roman" w:hAnsi="Times New Roman" w:eastAsia="宋体"/>
          <w:b w:val="0"/>
          <w:color w:val="0000FF"/>
          <w:sz w:val="24"/>
        </w:rPr>
        <w:t>这里最值得关注的问题不是某一种方法的单点最优，而是不同策略如何沿“负载降低—质量保持—工程代价增加”这条链条重新分配系统资源。</w:t>
      </w:r>
    </w:p>
    <w:p w14:paraId="28DEBB05">
      <w:pPr>
        <w:jc w:val="both"/>
      </w:pPr>
      <w:r>
        <w:rPr>
          <w:rFonts w:ascii="Times New Roman" w:hAnsi="Times New Roman" w:eastAsia="宋体"/>
          <w:b w:val="0"/>
          <w:color w:val="0000FF"/>
          <w:sz w:val="24"/>
        </w:rPr>
        <w:t>如果最终结果显示 10 bit 打包已足以逼近理论位宽下界，而算术编码带来的额外收益有限，则实时部署更可能偏向简单方案；反之，如果算术编码在总体负载上取得明显收益且未显著增加解码时延，那么其在吞吐受限场景中的价值就会提升。当前正式稿以占位方式预留这些比较位点，以便后续统一回填。</w:t>
      </w:r>
    </w:p>
    <w:p w14:paraId="18E35D63">
      <w:pPr>
        <w:jc w:val="center"/>
      </w:pPr>
      <w:r>
        <w:rPr>
          <w:rFonts w:ascii="Times New Roman" w:hAnsi="Times New Roman" w:eastAsia="宋体"/>
          <w:b/>
          <w:sz w:val="22"/>
        </w:rPr>
        <w:t>表3 不同序列化策略下的载荷构成与复杂度比较（待补）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3"/>
        <w:gridCol w:w="1493"/>
        <w:gridCol w:w="1493"/>
        <w:gridCol w:w="1493"/>
        <w:gridCol w:w="1493"/>
        <w:gridCol w:w="1493"/>
      </w:tblGrid>
      <w:tr w14:paraId="7BA15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3" w:type="dxa"/>
            <w:vAlign w:val="center"/>
          </w:tcPr>
          <w:p w14:paraId="1E1993A1">
            <w:pPr>
              <w:jc w:val="center"/>
            </w:pPr>
            <w:r>
              <w:rPr>
                <w:rFonts w:ascii="Times New Roman" w:hAnsi="Times New Roman" w:eastAsia="黑体"/>
                <w:b/>
                <w:sz w:val="21"/>
              </w:rPr>
              <w:t>序列化方案</w:t>
            </w:r>
          </w:p>
        </w:tc>
        <w:tc>
          <w:tcPr>
            <w:tcW w:w="1493" w:type="dxa"/>
            <w:vAlign w:val="center"/>
          </w:tcPr>
          <w:p w14:paraId="7B1A252A">
            <w:pPr>
              <w:jc w:val="center"/>
            </w:pPr>
            <w:r>
              <w:rPr>
                <w:rFonts w:ascii="Times New Roman" w:hAnsi="Times New Roman" w:eastAsia="黑体"/>
                <w:b/>
                <w:sz w:val="21"/>
              </w:rPr>
              <w:t>理论位宽</w:t>
            </w:r>
          </w:p>
        </w:tc>
        <w:tc>
          <w:tcPr>
            <w:tcW w:w="1493" w:type="dxa"/>
            <w:vAlign w:val="center"/>
          </w:tcPr>
          <w:p w14:paraId="312F34AC">
            <w:pPr>
              <w:jc w:val="center"/>
            </w:pPr>
            <w:r>
              <w:rPr>
                <w:rFonts w:ascii="Times New Roman" w:hAnsi="Times New Roman" w:eastAsia="黑体"/>
                <w:b/>
                <w:sz w:val="21"/>
              </w:rPr>
              <w:t>正文数据量</w:t>
            </w:r>
          </w:p>
        </w:tc>
        <w:tc>
          <w:tcPr>
            <w:tcW w:w="1493" w:type="dxa"/>
            <w:vAlign w:val="center"/>
          </w:tcPr>
          <w:p w14:paraId="50852610">
            <w:pPr>
              <w:jc w:val="center"/>
            </w:pPr>
            <w:r>
              <w:rPr>
                <w:rFonts w:ascii="Times New Roman" w:hAnsi="Times New Roman" w:eastAsia="黑体"/>
                <w:b/>
                <w:sz w:val="21"/>
              </w:rPr>
              <w:t>头部占比</w:t>
            </w:r>
          </w:p>
        </w:tc>
        <w:tc>
          <w:tcPr>
            <w:tcW w:w="1493" w:type="dxa"/>
            <w:vAlign w:val="center"/>
          </w:tcPr>
          <w:p w14:paraId="75787E1C">
            <w:pPr>
              <w:jc w:val="center"/>
            </w:pPr>
            <w:r>
              <w:rPr>
                <w:rFonts w:ascii="Times New Roman" w:hAnsi="Times New Roman" w:eastAsia="黑体"/>
                <w:b/>
                <w:sz w:val="21"/>
              </w:rPr>
              <w:t>解码复杂度</w:t>
            </w:r>
          </w:p>
        </w:tc>
        <w:tc>
          <w:tcPr>
            <w:tcW w:w="1493" w:type="dxa"/>
            <w:vAlign w:val="center"/>
          </w:tcPr>
          <w:p w14:paraId="0B81BA29">
            <w:pPr>
              <w:jc w:val="center"/>
            </w:pPr>
            <w:r>
              <w:rPr>
                <w:rFonts w:ascii="Times New Roman" w:hAnsi="Times New Roman" w:eastAsia="黑体"/>
                <w:b/>
                <w:sz w:val="21"/>
              </w:rPr>
              <w:t>备注</w:t>
            </w:r>
          </w:p>
        </w:tc>
      </w:tr>
      <w:tr w14:paraId="1F67F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3" w:type="dxa"/>
            <w:vAlign w:val="center"/>
          </w:tcPr>
          <w:p w14:paraId="666334AC">
            <w:pPr>
              <w:jc w:val="center"/>
            </w:pPr>
            <w:r>
              <w:rPr>
                <w:rFonts w:ascii="Times New Roman" w:hAnsi="Times New Roman" w:eastAsia="宋体"/>
                <w:b w:val="0"/>
                <w:sz w:val="21"/>
              </w:rPr>
              <w:t>原始数组字节流</w:t>
            </w:r>
          </w:p>
        </w:tc>
        <w:tc>
          <w:tcPr>
            <w:tcW w:w="1493" w:type="dxa"/>
            <w:vAlign w:val="center"/>
          </w:tcPr>
          <w:p w14:paraId="49499531">
            <w:pPr>
              <w:jc w:val="center"/>
            </w:pPr>
            <w:r>
              <w:rPr>
                <w:rFonts w:ascii="Times New Roman" w:hAnsi="Times New Roman" w:eastAsia="宋体"/>
                <w:b w:val="0"/>
                <w:sz w:val="21"/>
              </w:rPr>
              <w:t>结果待补</w:t>
            </w:r>
          </w:p>
        </w:tc>
        <w:tc>
          <w:tcPr>
            <w:tcW w:w="1493" w:type="dxa"/>
            <w:vAlign w:val="center"/>
          </w:tcPr>
          <w:p w14:paraId="0C5429F2">
            <w:pPr>
              <w:jc w:val="center"/>
            </w:pPr>
            <w:r>
              <w:rPr>
                <w:rFonts w:ascii="Times New Roman" w:hAnsi="Times New Roman" w:eastAsia="宋体"/>
                <w:b w:val="0"/>
                <w:sz w:val="21"/>
              </w:rPr>
              <w:t>结果待补</w:t>
            </w:r>
          </w:p>
        </w:tc>
        <w:tc>
          <w:tcPr>
            <w:tcW w:w="1493" w:type="dxa"/>
            <w:vAlign w:val="center"/>
          </w:tcPr>
          <w:p w14:paraId="124909B8">
            <w:pPr>
              <w:jc w:val="center"/>
            </w:pPr>
            <w:r>
              <w:rPr>
                <w:rFonts w:ascii="Times New Roman" w:hAnsi="Times New Roman" w:eastAsia="宋体"/>
                <w:b w:val="0"/>
                <w:sz w:val="21"/>
              </w:rPr>
              <w:t>结果待补</w:t>
            </w:r>
          </w:p>
        </w:tc>
        <w:tc>
          <w:tcPr>
            <w:tcW w:w="1493" w:type="dxa"/>
            <w:vAlign w:val="center"/>
          </w:tcPr>
          <w:p w14:paraId="288FD3A2">
            <w:pPr>
              <w:jc w:val="center"/>
            </w:pPr>
            <w:r>
              <w:rPr>
                <w:rFonts w:ascii="Times New Roman" w:hAnsi="Times New Roman" w:eastAsia="宋体"/>
                <w:b w:val="0"/>
                <w:sz w:val="21"/>
              </w:rPr>
              <w:t>结果待补</w:t>
            </w:r>
          </w:p>
        </w:tc>
        <w:tc>
          <w:tcPr>
            <w:tcW w:w="1493" w:type="dxa"/>
            <w:vAlign w:val="center"/>
          </w:tcPr>
          <w:p w14:paraId="3D55D3C3">
            <w:pPr>
              <w:jc w:val="center"/>
            </w:pPr>
            <w:r>
              <w:rPr>
                <w:rFonts w:ascii="Times New Roman" w:hAnsi="Times New Roman" w:eastAsia="宋体"/>
                <w:b w:val="0"/>
                <w:sz w:val="21"/>
              </w:rPr>
              <w:t>结果待补</w:t>
            </w:r>
          </w:p>
        </w:tc>
      </w:tr>
      <w:tr w14:paraId="2AB88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3" w:type="dxa"/>
            <w:vAlign w:val="center"/>
          </w:tcPr>
          <w:p w14:paraId="0B60E5BA">
            <w:pPr>
              <w:jc w:val="center"/>
            </w:pPr>
            <w:r>
              <w:rPr>
                <w:rFonts w:ascii="Times New Roman" w:hAnsi="Times New Roman" w:eastAsia="宋体"/>
                <w:b w:val="0"/>
                <w:sz w:val="21"/>
              </w:rPr>
              <w:t>16 bit 定宽承载</w:t>
            </w:r>
          </w:p>
        </w:tc>
        <w:tc>
          <w:tcPr>
            <w:tcW w:w="1493" w:type="dxa"/>
            <w:vAlign w:val="center"/>
          </w:tcPr>
          <w:p w14:paraId="41440965">
            <w:pPr>
              <w:jc w:val="center"/>
            </w:pPr>
            <w:r>
              <w:rPr>
                <w:rFonts w:ascii="Times New Roman" w:hAnsi="Times New Roman" w:eastAsia="宋体"/>
                <w:b w:val="0"/>
                <w:sz w:val="21"/>
              </w:rPr>
              <w:t>16 bit</w:t>
            </w:r>
          </w:p>
        </w:tc>
        <w:tc>
          <w:tcPr>
            <w:tcW w:w="1493" w:type="dxa"/>
            <w:vAlign w:val="center"/>
          </w:tcPr>
          <w:p w14:paraId="0AA2E539">
            <w:pPr>
              <w:jc w:val="center"/>
            </w:pPr>
            <w:r>
              <w:rPr>
                <w:rFonts w:ascii="Times New Roman" w:hAnsi="Times New Roman" w:eastAsia="宋体"/>
                <w:b w:val="0"/>
                <w:sz w:val="21"/>
              </w:rPr>
              <w:t>结果待补</w:t>
            </w:r>
          </w:p>
        </w:tc>
        <w:tc>
          <w:tcPr>
            <w:tcW w:w="1493" w:type="dxa"/>
            <w:vAlign w:val="center"/>
          </w:tcPr>
          <w:p w14:paraId="6779ECAE">
            <w:pPr>
              <w:jc w:val="center"/>
            </w:pPr>
            <w:r>
              <w:rPr>
                <w:rFonts w:ascii="Times New Roman" w:hAnsi="Times New Roman" w:eastAsia="宋体"/>
                <w:b w:val="0"/>
                <w:sz w:val="21"/>
              </w:rPr>
              <w:t>结果待补</w:t>
            </w:r>
          </w:p>
        </w:tc>
        <w:tc>
          <w:tcPr>
            <w:tcW w:w="1493" w:type="dxa"/>
            <w:vAlign w:val="center"/>
          </w:tcPr>
          <w:p w14:paraId="0F5E2D5F">
            <w:pPr>
              <w:jc w:val="center"/>
            </w:pPr>
            <w:r>
              <w:rPr>
                <w:rFonts w:ascii="Times New Roman" w:hAnsi="Times New Roman" w:eastAsia="宋体"/>
                <w:b w:val="0"/>
                <w:sz w:val="21"/>
              </w:rPr>
              <w:t>结果待补</w:t>
            </w:r>
          </w:p>
        </w:tc>
        <w:tc>
          <w:tcPr>
            <w:tcW w:w="1493" w:type="dxa"/>
            <w:vAlign w:val="center"/>
          </w:tcPr>
          <w:p w14:paraId="021057CA">
            <w:pPr>
              <w:jc w:val="center"/>
            </w:pPr>
            <w:r>
              <w:rPr>
                <w:rFonts w:ascii="Times New Roman" w:hAnsi="Times New Roman" w:eastAsia="宋体"/>
                <w:b w:val="0"/>
                <w:sz w:val="21"/>
              </w:rPr>
              <w:t>结果待补</w:t>
            </w:r>
          </w:p>
        </w:tc>
      </w:tr>
      <w:tr w14:paraId="27C03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3" w:type="dxa"/>
            <w:vAlign w:val="center"/>
          </w:tcPr>
          <w:p w14:paraId="62EA8F70">
            <w:pPr>
              <w:jc w:val="center"/>
            </w:pPr>
            <w:r>
              <w:rPr>
                <w:rFonts w:ascii="Times New Roman" w:hAnsi="Times New Roman" w:eastAsia="宋体"/>
                <w:b w:val="0"/>
                <w:sz w:val="21"/>
              </w:rPr>
              <w:t>10 bit 打包</w:t>
            </w:r>
          </w:p>
        </w:tc>
        <w:tc>
          <w:tcPr>
            <w:tcW w:w="1493" w:type="dxa"/>
            <w:vAlign w:val="center"/>
          </w:tcPr>
          <w:p w14:paraId="405A7D2B">
            <w:pPr>
              <w:jc w:val="center"/>
            </w:pPr>
            <w:r>
              <w:rPr>
                <w:rFonts w:ascii="Times New Roman" w:hAnsi="Times New Roman" w:eastAsia="宋体"/>
                <w:b w:val="0"/>
                <w:sz w:val="21"/>
              </w:rPr>
              <w:t>10 bit</w:t>
            </w:r>
          </w:p>
        </w:tc>
        <w:tc>
          <w:tcPr>
            <w:tcW w:w="1493" w:type="dxa"/>
            <w:vAlign w:val="center"/>
          </w:tcPr>
          <w:p w14:paraId="635A1B65">
            <w:pPr>
              <w:jc w:val="center"/>
            </w:pPr>
            <w:r>
              <w:rPr>
                <w:rFonts w:ascii="Times New Roman" w:hAnsi="Times New Roman" w:eastAsia="宋体"/>
                <w:b w:val="0"/>
                <w:sz w:val="21"/>
              </w:rPr>
              <w:t>结果待补</w:t>
            </w:r>
          </w:p>
        </w:tc>
        <w:tc>
          <w:tcPr>
            <w:tcW w:w="1493" w:type="dxa"/>
            <w:vAlign w:val="center"/>
          </w:tcPr>
          <w:p w14:paraId="1FF80319">
            <w:pPr>
              <w:jc w:val="center"/>
            </w:pPr>
            <w:r>
              <w:rPr>
                <w:rFonts w:ascii="Times New Roman" w:hAnsi="Times New Roman" w:eastAsia="宋体"/>
                <w:b w:val="0"/>
                <w:sz w:val="21"/>
              </w:rPr>
              <w:t>结果待补</w:t>
            </w:r>
          </w:p>
        </w:tc>
        <w:tc>
          <w:tcPr>
            <w:tcW w:w="1493" w:type="dxa"/>
            <w:vAlign w:val="center"/>
          </w:tcPr>
          <w:p w14:paraId="40891C52">
            <w:pPr>
              <w:jc w:val="center"/>
            </w:pPr>
            <w:r>
              <w:rPr>
                <w:rFonts w:ascii="Times New Roman" w:hAnsi="Times New Roman" w:eastAsia="宋体"/>
                <w:b w:val="0"/>
                <w:sz w:val="21"/>
              </w:rPr>
              <w:t>结果待补</w:t>
            </w:r>
          </w:p>
        </w:tc>
        <w:tc>
          <w:tcPr>
            <w:tcW w:w="1493" w:type="dxa"/>
            <w:vAlign w:val="center"/>
          </w:tcPr>
          <w:p w14:paraId="596AEE8E">
            <w:pPr>
              <w:jc w:val="center"/>
            </w:pPr>
            <w:r>
              <w:rPr>
                <w:rFonts w:ascii="Times New Roman" w:hAnsi="Times New Roman" w:eastAsia="宋体"/>
                <w:b w:val="0"/>
                <w:sz w:val="21"/>
              </w:rPr>
              <w:t>结果待补</w:t>
            </w:r>
          </w:p>
        </w:tc>
      </w:tr>
      <w:tr w14:paraId="67B4F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3" w:type="dxa"/>
            <w:vAlign w:val="center"/>
          </w:tcPr>
          <w:p w14:paraId="744DD567">
            <w:pPr>
              <w:jc w:val="center"/>
            </w:pPr>
            <w:r>
              <w:rPr>
                <w:rFonts w:ascii="Times New Roman" w:hAnsi="Times New Roman" w:eastAsia="宋体"/>
                <w:b w:val="0"/>
                <w:sz w:val="21"/>
              </w:rPr>
              <w:t>算术编码</w:t>
            </w:r>
          </w:p>
        </w:tc>
        <w:tc>
          <w:tcPr>
            <w:tcW w:w="1493" w:type="dxa"/>
            <w:vAlign w:val="center"/>
          </w:tcPr>
          <w:p w14:paraId="1DBBFD0E">
            <w:pPr>
              <w:jc w:val="center"/>
            </w:pPr>
            <w:r>
              <w:rPr>
                <w:rFonts w:ascii="Times New Roman" w:hAnsi="Times New Roman" w:eastAsia="宋体"/>
                <w:b w:val="0"/>
                <w:sz w:val="21"/>
              </w:rPr>
              <w:t>结果待补</w:t>
            </w:r>
          </w:p>
        </w:tc>
        <w:tc>
          <w:tcPr>
            <w:tcW w:w="1493" w:type="dxa"/>
            <w:vAlign w:val="center"/>
          </w:tcPr>
          <w:p w14:paraId="76B9505D">
            <w:pPr>
              <w:jc w:val="center"/>
            </w:pPr>
            <w:r>
              <w:rPr>
                <w:rFonts w:ascii="Times New Roman" w:hAnsi="Times New Roman" w:eastAsia="宋体"/>
                <w:b w:val="0"/>
                <w:sz w:val="21"/>
              </w:rPr>
              <w:t>结果待补</w:t>
            </w:r>
          </w:p>
        </w:tc>
        <w:tc>
          <w:tcPr>
            <w:tcW w:w="1493" w:type="dxa"/>
            <w:vAlign w:val="center"/>
          </w:tcPr>
          <w:p w14:paraId="233674AB">
            <w:pPr>
              <w:jc w:val="center"/>
            </w:pPr>
            <w:r>
              <w:rPr>
                <w:rFonts w:ascii="Times New Roman" w:hAnsi="Times New Roman" w:eastAsia="宋体"/>
                <w:b w:val="0"/>
                <w:sz w:val="21"/>
              </w:rPr>
              <w:t>结果待补</w:t>
            </w:r>
          </w:p>
        </w:tc>
        <w:tc>
          <w:tcPr>
            <w:tcW w:w="1493" w:type="dxa"/>
            <w:vAlign w:val="center"/>
          </w:tcPr>
          <w:p w14:paraId="544DB3AD">
            <w:pPr>
              <w:jc w:val="center"/>
            </w:pPr>
            <w:r>
              <w:rPr>
                <w:rFonts w:ascii="Times New Roman" w:hAnsi="Times New Roman" w:eastAsia="宋体"/>
                <w:b w:val="0"/>
                <w:sz w:val="21"/>
              </w:rPr>
              <w:t>结果待补</w:t>
            </w:r>
          </w:p>
        </w:tc>
        <w:tc>
          <w:tcPr>
            <w:tcW w:w="1493" w:type="dxa"/>
            <w:vAlign w:val="center"/>
          </w:tcPr>
          <w:p w14:paraId="14E23E08">
            <w:pPr>
              <w:jc w:val="center"/>
            </w:pPr>
            <w:r>
              <w:rPr>
                <w:rFonts w:ascii="Times New Roman" w:hAnsi="Times New Roman" w:eastAsia="宋体"/>
                <w:b w:val="0"/>
                <w:sz w:val="21"/>
              </w:rPr>
              <w:t>结果待补</w:t>
            </w:r>
          </w:p>
        </w:tc>
      </w:tr>
    </w:tbl>
    <w:p w14:paraId="5BF5AC61">
      <w:pPr>
        <w:ind w:firstLine="0"/>
      </w:pPr>
      <w:r>
        <w:rPr>
          <w:rFonts w:ascii="Times New Roman" w:hAnsi="Times New Roman" w:eastAsia="宋体"/>
          <w:b w:val="0"/>
          <w:sz w:val="21"/>
        </w:rPr>
        <w:t>注：表3用于解释不同序列化方案对正文字节数、头部占比与运行复杂度的综合影响。</w:t>
      </w:r>
    </w:p>
    <w:p w14:paraId="3E3495EC">
      <w:pPr>
        <w:pBdr>
          <w:top w:val="single" w:color="808080" w:sz="8" w:space="6"/>
          <w:left w:val="single" w:color="808080" w:sz="8" w:space="6"/>
          <w:bottom w:val="single" w:color="808080" w:sz="8" w:space="6"/>
          <w:right w:val="single" w:color="808080" w:sz="8" w:space="6"/>
        </w:pBdr>
        <w:spacing w:before="80" w:after="80"/>
        <w:jc w:val="center"/>
      </w:pPr>
      <w:r>
        <w:rPr>
          <w:rFonts w:ascii="Times New Roman" w:hAnsi="Times New Roman" w:eastAsia="黑体"/>
          <w:b/>
          <w:sz w:val="24"/>
        </w:rPr>
        <w:t>插图位置预留</w:t>
      </w:r>
    </w:p>
    <w:p w14:paraId="4DD18D13">
      <w:pPr>
        <w:jc w:val="center"/>
      </w:pPr>
      <w:r>
        <w:rPr>
          <w:rFonts w:ascii="Times New Roman" w:hAnsi="Times New Roman" w:eastAsia="宋体"/>
          <w:b/>
          <w:sz w:val="22"/>
        </w:rPr>
        <w:t>图5 不同层数与不同序列化策略下的负载-质量权衡曲线（待插入）</w:t>
      </w:r>
    </w:p>
    <w:p w14:paraId="71A7041B">
      <w:pPr>
        <w:ind w:firstLine="0"/>
        <w:jc w:val="center"/>
      </w:pPr>
      <w:r>
        <w:rPr>
          <w:rFonts w:ascii="Times New Roman" w:hAnsi="Times New Roman" w:eastAsia="宋体"/>
          <w:b w:val="0"/>
          <w:sz w:val="21"/>
        </w:rPr>
        <w:t>该图用于展示 RVQ 层截断、位宽压缩和熵编码如何共同影响在线负载与重建质量。</w:t>
      </w:r>
    </w:p>
    <w:p w14:paraId="3DA7F92B">
      <w:pPr>
        <w:spacing w:before="120" w:after="40"/>
        <w:jc w:val="left"/>
      </w:pPr>
      <w:r>
        <w:rPr>
          <w:rFonts w:ascii="Times New Roman" w:hAnsi="Times New Roman" w:eastAsia="黑体"/>
          <w:b/>
          <w:sz w:val="24"/>
        </w:rPr>
        <w:t>4.4 NAS 与部署效率</w:t>
      </w:r>
    </w:p>
    <w:p w14:paraId="6727C9AA">
      <w:pPr>
        <w:jc w:val="both"/>
        <w:rPr>
          <w:color w:val="0000FF"/>
        </w:rPr>
      </w:pPr>
      <w:r>
        <w:rPr>
          <w:rFonts w:ascii="Times New Roman" w:hAnsi="Times New Roman" w:eastAsia="宋体"/>
          <w:b w:val="0"/>
          <w:color w:val="0000FF"/>
          <w:sz w:val="24"/>
        </w:rPr>
        <w:t>NAS 结果的解释必须回到部署语境中进行。如表4所示，baseline model 与 searched model 的比较应建立在相同 rvq_layers、相同序列化策略和相同实时设置之上，才能判断搜索后的结构是否真正降低了离散索引通信的运行成本。正式实验应至少汇报参数量、FLOPs、编码时延、解码时延和主质量指标，并辅以效率-质量散点图或 Pareto 前沿图。</w:t>
      </w:r>
    </w:p>
    <w:p w14:paraId="3F0D2534">
      <w:pPr>
        <w:jc w:val="both"/>
      </w:pPr>
      <w:r>
        <w:rPr>
          <w:rFonts w:ascii="Times New Roman" w:hAnsi="Times New Roman" w:eastAsia="宋体"/>
          <w:b w:val="0"/>
          <w:color w:val="0000FF"/>
          <w:sz w:val="24"/>
        </w:rPr>
        <w:t>如果搜索后的模型能够在保证语音质量处于可接受范围内的前提下显著降低推理时延和计算量，那么它将直接拓宽本文机制的部署边界；若复杂度下降伴随明显质量损失，则 NAS 的结论应被写为有限优化，而不是替代原通信命题。当前表4和图6预留的正是这类正式比较位点。</w:t>
      </w:r>
    </w:p>
    <w:p w14:paraId="057EFEC1">
      <w:pPr>
        <w:jc w:val="center"/>
      </w:pPr>
      <w:r>
        <w:rPr>
          <w:rFonts w:ascii="Times New Roman" w:hAnsi="Times New Roman" w:eastAsia="宋体"/>
          <w:b/>
          <w:sz w:val="22"/>
        </w:rPr>
        <w:t>表4 基线模型与搜索模型的复杂度和性能比较（待补）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3"/>
        <w:gridCol w:w="1493"/>
        <w:gridCol w:w="1493"/>
        <w:gridCol w:w="1493"/>
        <w:gridCol w:w="1493"/>
        <w:gridCol w:w="1493"/>
      </w:tblGrid>
      <w:tr w14:paraId="4D885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3" w:type="dxa"/>
            <w:vAlign w:val="center"/>
          </w:tcPr>
          <w:p w14:paraId="6B70DFAA">
            <w:pPr>
              <w:jc w:val="center"/>
            </w:pPr>
            <w:r>
              <w:rPr>
                <w:rFonts w:ascii="Times New Roman" w:hAnsi="Times New Roman" w:eastAsia="黑体"/>
                <w:b/>
                <w:sz w:val="21"/>
              </w:rPr>
              <w:t>模型</w:t>
            </w:r>
          </w:p>
        </w:tc>
        <w:tc>
          <w:tcPr>
            <w:tcW w:w="1493" w:type="dxa"/>
            <w:vAlign w:val="center"/>
          </w:tcPr>
          <w:p w14:paraId="290DC264">
            <w:pPr>
              <w:jc w:val="center"/>
            </w:pPr>
            <w:r>
              <w:rPr>
                <w:rFonts w:ascii="Times New Roman" w:hAnsi="Times New Roman" w:eastAsia="黑体"/>
                <w:b/>
                <w:sz w:val="21"/>
              </w:rPr>
              <w:t>参数量</w:t>
            </w:r>
          </w:p>
        </w:tc>
        <w:tc>
          <w:tcPr>
            <w:tcW w:w="1493" w:type="dxa"/>
            <w:vAlign w:val="center"/>
          </w:tcPr>
          <w:p w14:paraId="7948C6CA">
            <w:pPr>
              <w:jc w:val="center"/>
            </w:pPr>
            <w:r>
              <w:rPr>
                <w:rFonts w:ascii="Times New Roman" w:hAnsi="Times New Roman" w:eastAsia="黑体"/>
                <w:b/>
                <w:sz w:val="21"/>
              </w:rPr>
              <w:t>FLOPs</w:t>
            </w:r>
          </w:p>
        </w:tc>
        <w:tc>
          <w:tcPr>
            <w:tcW w:w="1493" w:type="dxa"/>
            <w:vAlign w:val="center"/>
          </w:tcPr>
          <w:p w14:paraId="4A55B5DB">
            <w:pPr>
              <w:jc w:val="center"/>
            </w:pPr>
            <w:r>
              <w:rPr>
                <w:rFonts w:ascii="Times New Roman" w:hAnsi="Times New Roman" w:eastAsia="黑体"/>
                <w:b/>
                <w:sz w:val="21"/>
              </w:rPr>
              <w:t>编码时延</w:t>
            </w:r>
          </w:p>
        </w:tc>
        <w:tc>
          <w:tcPr>
            <w:tcW w:w="1493" w:type="dxa"/>
            <w:vAlign w:val="center"/>
          </w:tcPr>
          <w:p w14:paraId="4184D52E">
            <w:pPr>
              <w:jc w:val="center"/>
            </w:pPr>
            <w:r>
              <w:rPr>
                <w:rFonts w:ascii="Times New Roman" w:hAnsi="Times New Roman" w:eastAsia="黑体"/>
                <w:b/>
                <w:sz w:val="21"/>
              </w:rPr>
              <w:t>解码时延</w:t>
            </w:r>
          </w:p>
        </w:tc>
        <w:tc>
          <w:tcPr>
            <w:tcW w:w="1493" w:type="dxa"/>
            <w:vAlign w:val="center"/>
          </w:tcPr>
          <w:p w14:paraId="51F36344">
            <w:pPr>
              <w:jc w:val="center"/>
            </w:pPr>
            <w:r>
              <w:rPr>
                <w:rFonts w:ascii="Times New Roman" w:hAnsi="Times New Roman" w:eastAsia="黑体"/>
                <w:b/>
                <w:sz w:val="21"/>
              </w:rPr>
              <w:t>主质量指标</w:t>
            </w:r>
          </w:p>
        </w:tc>
      </w:tr>
      <w:tr w14:paraId="10C13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3" w:type="dxa"/>
            <w:vAlign w:val="center"/>
          </w:tcPr>
          <w:p w14:paraId="74DFDE4D">
            <w:pPr>
              <w:jc w:val="center"/>
            </w:pPr>
            <w:r>
              <w:rPr>
                <w:rFonts w:ascii="Times New Roman" w:hAnsi="Times New Roman" w:eastAsia="宋体"/>
                <w:b w:val="0"/>
                <w:sz w:val="21"/>
              </w:rPr>
              <w:t>基线模型</w:t>
            </w:r>
          </w:p>
        </w:tc>
        <w:tc>
          <w:tcPr>
            <w:tcW w:w="1493" w:type="dxa"/>
            <w:vAlign w:val="center"/>
          </w:tcPr>
          <w:p w14:paraId="27C4DC64">
            <w:pPr>
              <w:jc w:val="center"/>
            </w:pPr>
            <w:r>
              <w:rPr>
                <w:rFonts w:ascii="Times New Roman" w:hAnsi="Times New Roman" w:eastAsia="宋体"/>
                <w:b w:val="0"/>
                <w:sz w:val="21"/>
              </w:rPr>
              <w:t>结果待补</w:t>
            </w:r>
          </w:p>
        </w:tc>
        <w:tc>
          <w:tcPr>
            <w:tcW w:w="1493" w:type="dxa"/>
            <w:vAlign w:val="center"/>
          </w:tcPr>
          <w:p w14:paraId="19D65BDA">
            <w:pPr>
              <w:jc w:val="center"/>
            </w:pPr>
            <w:r>
              <w:rPr>
                <w:rFonts w:ascii="Times New Roman" w:hAnsi="Times New Roman" w:eastAsia="宋体"/>
                <w:b w:val="0"/>
                <w:sz w:val="21"/>
              </w:rPr>
              <w:t>结果待补</w:t>
            </w:r>
          </w:p>
        </w:tc>
        <w:tc>
          <w:tcPr>
            <w:tcW w:w="1493" w:type="dxa"/>
            <w:vAlign w:val="center"/>
          </w:tcPr>
          <w:p w14:paraId="4636F5CA">
            <w:pPr>
              <w:jc w:val="center"/>
            </w:pPr>
            <w:r>
              <w:rPr>
                <w:rFonts w:ascii="Times New Roman" w:hAnsi="Times New Roman" w:eastAsia="宋体"/>
                <w:b w:val="0"/>
                <w:sz w:val="21"/>
              </w:rPr>
              <w:t>结果待补</w:t>
            </w:r>
          </w:p>
        </w:tc>
        <w:tc>
          <w:tcPr>
            <w:tcW w:w="1493" w:type="dxa"/>
            <w:vAlign w:val="center"/>
          </w:tcPr>
          <w:p w14:paraId="4DA914D2">
            <w:pPr>
              <w:jc w:val="center"/>
            </w:pPr>
            <w:r>
              <w:rPr>
                <w:rFonts w:ascii="Times New Roman" w:hAnsi="Times New Roman" w:eastAsia="宋体"/>
                <w:b w:val="0"/>
                <w:sz w:val="21"/>
              </w:rPr>
              <w:t>结果待补</w:t>
            </w:r>
          </w:p>
        </w:tc>
        <w:tc>
          <w:tcPr>
            <w:tcW w:w="1493" w:type="dxa"/>
            <w:vAlign w:val="center"/>
          </w:tcPr>
          <w:p w14:paraId="386C9372">
            <w:pPr>
              <w:jc w:val="center"/>
            </w:pPr>
            <w:r>
              <w:rPr>
                <w:rFonts w:ascii="Times New Roman" w:hAnsi="Times New Roman" w:eastAsia="宋体"/>
                <w:b w:val="0"/>
                <w:sz w:val="21"/>
              </w:rPr>
              <w:t>结果待补</w:t>
            </w:r>
          </w:p>
        </w:tc>
      </w:tr>
      <w:tr w14:paraId="24CA9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3" w:type="dxa"/>
            <w:vAlign w:val="center"/>
          </w:tcPr>
          <w:p w14:paraId="7CC58CC7">
            <w:pPr>
              <w:jc w:val="center"/>
            </w:pPr>
            <w:r>
              <w:rPr>
                <w:rFonts w:ascii="Times New Roman" w:hAnsi="Times New Roman" w:eastAsia="宋体"/>
                <w:b w:val="0"/>
                <w:sz w:val="21"/>
              </w:rPr>
              <w:t>搜索模型</w:t>
            </w:r>
          </w:p>
        </w:tc>
        <w:tc>
          <w:tcPr>
            <w:tcW w:w="1493" w:type="dxa"/>
            <w:vAlign w:val="center"/>
          </w:tcPr>
          <w:p w14:paraId="306BD7D3">
            <w:pPr>
              <w:jc w:val="center"/>
            </w:pPr>
            <w:r>
              <w:rPr>
                <w:rFonts w:ascii="Times New Roman" w:hAnsi="Times New Roman" w:eastAsia="宋体"/>
                <w:b w:val="0"/>
                <w:sz w:val="21"/>
              </w:rPr>
              <w:t>结果待补</w:t>
            </w:r>
          </w:p>
        </w:tc>
        <w:tc>
          <w:tcPr>
            <w:tcW w:w="1493" w:type="dxa"/>
            <w:vAlign w:val="center"/>
          </w:tcPr>
          <w:p w14:paraId="32523D33">
            <w:pPr>
              <w:jc w:val="center"/>
            </w:pPr>
            <w:r>
              <w:rPr>
                <w:rFonts w:ascii="Times New Roman" w:hAnsi="Times New Roman" w:eastAsia="宋体"/>
                <w:b w:val="0"/>
                <w:sz w:val="21"/>
              </w:rPr>
              <w:t>结果待补</w:t>
            </w:r>
          </w:p>
        </w:tc>
        <w:tc>
          <w:tcPr>
            <w:tcW w:w="1493" w:type="dxa"/>
            <w:vAlign w:val="center"/>
          </w:tcPr>
          <w:p w14:paraId="13CAB0DC">
            <w:pPr>
              <w:jc w:val="center"/>
            </w:pPr>
            <w:r>
              <w:rPr>
                <w:rFonts w:ascii="Times New Roman" w:hAnsi="Times New Roman" w:eastAsia="宋体"/>
                <w:b w:val="0"/>
                <w:sz w:val="21"/>
              </w:rPr>
              <w:t>结果待补</w:t>
            </w:r>
          </w:p>
        </w:tc>
        <w:tc>
          <w:tcPr>
            <w:tcW w:w="1493" w:type="dxa"/>
            <w:vAlign w:val="center"/>
          </w:tcPr>
          <w:p w14:paraId="33506203">
            <w:pPr>
              <w:jc w:val="center"/>
            </w:pPr>
            <w:r>
              <w:rPr>
                <w:rFonts w:ascii="Times New Roman" w:hAnsi="Times New Roman" w:eastAsia="宋体"/>
                <w:b w:val="0"/>
                <w:sz w:val="21"/>
              </w:rPr>
              <w:t>结果待补</w:t>
            </w:r>
          </w:p>
        </w:tc>
        <w:tc>
          <w:tcPr>
            <w:tcW w:w="1493" w:type="dxa"/>
            <w:vAlign w:val="center"/>
          </w:tcPr>
          <w:p w14:paraId="17D01C5D">
            <w:pPr>
              <w:jc w:val="center"/>
            </w:pPr>
            <w:r>
              <w:rPr>
                <w:rFonts w:ascii="Times New Roman" w:hAnsi="Times New Roman" w:eastAsia="宋体"/>
                <w:b w:val="0"/>
                <w:sz w:val="21"/>
              </w:rPr>
              <w:t>结果待补</w:t>
            </w:r>
          </w:p>
        </w:tc>
      </w:tr>
    </w:tbl>
    <w:p w14:paraId="23BFBB97">
      <w:pPr>
        <w:ind w:firstLine="0"/>
      </w:pPr>
      <w:r>
        <w:rPr>
          <w:rFonts w:ascii="Times New Roman" w:hAnsi="Times New Roman" w:eastAsia="宋体"/>
          <w:b w:val="0"/>
          <w:sz w:val="21"/>
        </w:rPr>
        <w:t>注：表4中的时延和质量指标应在统一硬件、统一测试集和统一通信设置下统计。</w:t>
      </w:r>
    </w:p>
    <w:p w14:paraId="3D7A4244">
      <w:pPr>
        <w:pBdr>
          <w:top w:val="single" w:color="808080" w:sz="8" w:space="6"/>
          <w:left w:val="single" w:color="808080" w:sz="8" w:space="6"/>
          <w:bottom w:val="single" w:color="808080" w:sz="8" w:space="6"/>
          <w:right w:val="single" w:color="808080" w:sz="8" w:space="6"/>
        </w:pBdr>
        <w:spacing w:before="80" w:after="80"/>
        <w:jc w:val="center"/>
      </w:pPr>
      <w:r>
        <w:rPr>
          <w:rFonts w:ascii="Times New Roman" w:hAnsi="Times New Roman" w:eastAsia="黑体"/>
          <w:b/>
          <w:sz w:val="24"/>
        </w:rPr>
        <w:t>插图位置预留</w:t>
      </w:r>
    </w:p>
    <w:p w14:paraId="2A7ED6C0">
      <w:pPr>
        <w:jc w:val="center"/>
      </w:pPr>
      <w:r>
        <w:rPr>
          <w:rFonts w:ascii="Times New Roman" w:hAnsi="Times New Roman" w:eastAsia="宋体"/>
          <w:b/>
          <w:sz w:val="22"/>
        </w:rPr>
        <w:t>图6 NAS 搜索结果与部署效率比较（待插入）</w:t>
      </w:r>
    </w:p>
    <w:p w14:paraId="3B40C89F">
      <w:pPr>
        <w:ind w:firstLine="0"/>
        <w:jc w:val="center"/>
      </w:pPr>
      <w:r>
        <w:rPr>
          <w:rFonts w:ascii="Times New Roman" w:hAnsi="Times New Roman" w:eastAsia="宋体"/>
          <w:b w:val="0"/>
          <w:sz w:val="21"/>
        </w:rPr>
        <w:t>该图用于展示搜索空间中的效率-质量分布、Pareto 前沿以及最终选定模型在部署指标上的位置。</w:t>
      </w:r>
    </w:p>
    <w:p w14:paraId="04D0ED3C">
      <w:pPr>
        <w:spacing w:before="120" w:after="40"/>
        <w:jc w:val="left"/>
      </w:pPr>
      <w:r>
        <w:rPr>
          <w:rFonts w:ascii="Times New Roman" w:hAnsi="Times New Roman" w:eastAsia="黑体"/>
          <w:b/>
          <w:sz w:val="24"/>
        </w:rPr>
        <w:t>4.5 实时原型验证与安全链路兼容性</w:t>
      </w:r>
    </w:p>
    <w:p w14:paraId="57F88AD7">
      <w:pPr>
        <w:jc w:val="both"/>
        <w:rPr>
          <w:color w:val="0000FF"/>
        </w:rPr>
      </w:pPr>
      <w:r>
        <w:rPr>
          <w:rFonts w:ascii="Times New Roman" w:hAnsi="Times New Roman" w:eastAsia="宋体"/>
          <w:b w:val="0"/>
          <w:color w:val="0000FF"/>
          <w:sz w:val="24"/>
        </w:rPr>
        <w:t>双机实时原型为本文提供了最直接的工程闭环证据。如表5所示，正式实验应在 CPU 与 GPU 两种执行模式下，对不同 chunk_seconds 和不同 rvq_layers 设置的编码时延、解码时延、端到端时延和缓冲稳定性进行统计。图7则用于展示从采集、编码、发送到接收、解码、播放的链路流程以及关键性能曲线。</w:t>
      </w:r>
    </w:p>
    <w:p w14:paraId="76624FCB">
      <w:pPr>
        <w:jc w:val="both"/>
      </w:pPr>
      <w:r>
        <w:rPr>
          <w:rFonts w:ascii="Times New Roman" w:hAnsi="Times New Roman" w:eastAsia="宋体"/>
          <w:b w:val="0"/>
          <w:color w:val="0000FF"/>
          <w:sz w:val="24"/>
        </w:rPr>
        <w:t>在安全链路兼容性方面，本文坚持两点谨慎判断。第一，当在线负载明显下降时，系统更容易适配吞吐受限的安全传输链路。第二，当前实现已经将离散索引与报文元信息分离出来，因此在接口形态上适合与更高层安全机制并联。若无真实量子链路实验，本文不将其表述为“已验证”，而仅将其写为面向量子安全场景的部署潜力</w:t>
      </w:r>
      <w:r>
        <w:rPr>
          <w:rFonts w:ascii="Times New Roman" w:hAnsi="Times New Roman" w:eastAsia="宋体"/>
          <w:b w:val="0"/>
          <w:sz w:val="24"/>
        </w:rPr>
        <w:t>。</w:t>
      </w:r>
    </w:p>
    <w:p w14:paraId="39CA4F9E">
      <w:pPr>
        <w:jc w:val="center"/>
      </w:pPr>
      <w:r>
        <w:rPr>
          <w:rFonts w:ascii="Times New Roman" w:hAnsi="Times New Roman" w:eastAsia="宋体"/>
          <w:b/>
          <w:sz w:val="22"/>
        </w:rPr>
        <w:t>表5 实时原型时延与缓冲稳定性结果（待补）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0"/>
        <w:gridCol w:w="1280"/>
        <w:gridCol w:w="1280"/>
        <w:gridCol w:w="1280"/>
        <w:gridCol w:w="1280"/>
        <w:gridCol w:w="1280"/>
        <w:gridCol w:w="1280"/>
      </w:tblGrid>
      <w:tr w14:paraId="4657D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vAlign w:val="center"/>
          </w:tcPr>
          <w:p w14:paraId="3725E7A3">
            <w:pPr>
              <w:jc w:val="center"/>
            </w:pPr>
            <w:r>
              <w:rPr>
                <w:rFonts w:ascii="Times New Roman" w:hAnsi="Times New Roman" w:eastAsia="黑体"/>
                <w:b/>
                <w:sz w:val="21"/>
              </w:rPr>
              <w:t>执行模式</w:t>
            </w:r>
          </w:p>
        </w:tc>
        <w:tc>
          <w:tcPr>
            <w:tcW w:w="1280" w:type="dxa"/>
            <w:vAlign w:val="center"/>
          </w:tcPr>
          <w:p w14:paraId="77AF19C6">
            <w:pPr>
              <w:jc w:val="center"/>
            </w:pPr>
            <w:r>
              <w:rPr>
                <w:rFonts w:ascii="Times New Roman" w:hAnsi="Times New Roman" w:eastAsia="黑体"/>
                <w:b/>
                <w:sz w:val="21"/>
              </w:rPr>
              <w:t>chunk 时长</w:t>
            </w:r>
          </w:p>
        </w:tc>
        <w:tc>
          <w:tcPr>
            <w:tcW w:w="1280" w:type="dxa"/>
            <w:vAlign w:val="center"/>
          </w:tcPr>
          <w:p w14:paraId="7BECEC5E">
            <w:pPr>
              <w:jc w:val="center"/>
            </w:pPr>
            <w:r>
              <w:rPr>
                <w:rFonts w:ascii="Times New Roman" w:hAnsi="Times New Roman" w:eastAsia="黑体"/>
                <w:b/>
                <w:sz w:val="21"/>
              </w:rPr>
              <w:t>RVQ 层数</w:t>
            </w:r>
          </w:p>
        </w:tc>
        <w:tc>
          <w:tcPr>
            <w:tcW w:w="1280" w:type="dxa"/>
            <w:vAlign w:val="center"/>
          </w:tcPr>
          <w:p w14:paraId="56C05984">
            <w:pPr>
              <w:jc w:val="center"/>
            </w:pPr>
            <w:r>
              <w:rPr>
                <w:rFonts w:ascii="Times New Roman" w:hAnsi="Times New Roman" w:eastAsia="黑体"/>
                <w:b/>
                <w:sz w:val="21"/>
              </w:rPr>
              <w:t>编码时延</w:t>
            </w:r>
          </w:p>
        </w:tc>
        <w:tc>
          <w:tcPr>
            <w:tcW w:w="1280" w:type="dxa"/>
            <w:vAlign w:val="center"/>
          </w:tcPr>
          <w:p w14:paraId="7F6DD1B7">
            <w:pPr>
              <w:jc w:val="center"/>
            </w:pPr>
            <w:r>
              <w:rPr>
                <w:rFonts w:ascii="Times New Roman" w:hAnsi="Times New Roman" w:eastAsia="黑体"/>
                <w:b/>
                <w:sz w:val="21"/>
              </w:rPr>
              <w:t>解码时延</w:t>
            </w:r>
          </w:p>
        </w:tc>
        <w:tc>
          <w:tcPr>
            <w:tcW w:w="1280" w:type="dxa"/>
            <w:vAlign w:val="center"/>
          </w:tcPr>
          <w:p w14:paraId="65681FF9">
            <w:pPr>
              <w:jc w:val="center"/>
            </w:pPr>
            <w:r>
              <w:rPr>
                <w:rFonts w:ascii="Times New Roman" w:hAnsi="Times New Roman" w:eastAsia="黑体"/>
                <w:b/>
                <w:sz w:val="21"/>
              </w:rPr>
              <w:t>端到端时延</w:t>
            </w:r>
          </w:p>
        </w:tc>
        <w:tc>
          <w:tcPr>
            <w:tcW w:w="1280" w:type="dxa"/>
            <w:vAlign w:val="center"/>
          </w:tcPr>
          <w:p w14:paraId="2E5C83DC">
            <w:pPr>
              <w:jc w:val="center"/>
            </w:pPr>
            <w:r>
              <w:rPr>
                <w:rFonts w:ascii="Times New Roman" w:hAnsi="Times New Roman" w:eastAsia="黑体"/>
                <w:b/>
                <w:sz w:val="21"/>
              </w:rPr>
              <w:t>缓冲稳定性</w:t>
            </w:r>
          </w:p>
        </w:tc>
      </w:tr>
      <w:tr w14:paraId="075C4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vAlign w:val="center"/>
          </w:tcPr>
          <w:p w14:paraId="62062039">
            <w:pPr>
              <w:jc w:val="center"/>
            </w:pPr>
            <w:r>
              <w:rPr>
                <w:rFonts w:ascii="Times New Roman" w:hAnsi="Times New Roman" w:eastAsia="宋体"/>
                <w:b w:val="0"/>
                <w:sz w:val="21"/>
              </w:rPr>
              <w:t>CPU</w:t>
            </w:r>
          </w:p>
        </w:tc>
        <w:tc>
          <w:tcPr>
            <w:tcW w:w="1280" w:type="dxa"/>
            <w:vAlign w:val="center"/>
          </w:tcPr>
          <w:p w14:paraId="75F91D1F">
            <w:pPr>
              <w:jc w:val="center"/>
            </w:pPr>
            <w:r>
              <w:rPr>
                <w:rFonts w:ascii="Times New Roman" w:hAnsi="Times New Roman" w:eastAsia="宋体"/>
                <w:b w:val="0"/>
                <w:sz w:val="21"/>
              </w:rPr>
              <w:t>0.25 s</w:t>
            </w:r>
          </w:p>
        </w:tc>
        <w:tc>
          <w:tcPr>
            <w:tcW w:w="1280" w:type="dxa"/>
            <w:vAlign w:val="center"/>
          </w:tcPr>
          <w:p w14:paraId="35D95152">
            <w:pPr>
              <w:jc w:val="center"/>
            </w:pPr>
            <w:r>
              <w:rPr>
                <w:rFonts w:ascii="Times New Roman" w:hAnsi="Times New Roman" w:eastAsia="宋体"/>
                <w:b w:val="0"/>
                <w:sz w:val="21"/>
              </w:rPr>
              <w:t>1</w:t>
            </w:r>
          </w:p>
        </w:tc>
        <w:tc>
          <w:tcPr>
            <w:tcW w:w="1280" w:type="dxa"/>
            <w:vAlign w:val="center"/>
          </w:tcPr>
          <w:p w14:paraId="121F6F59">
            <w:pPr>
              <w:jc w:val="center"/>
            </w:pPr>
            <w:r>
              <w:rPr>
                <w:rFonts w:ascii="Times New Roman" w:hAnsi="Times New Roman" w:eastAsia="宋体"/>
                <w:b w:val="0"/>
                <w:sz w:val="21"/>
              </w:rPr>
              <w:t>结果待补</w:t>
            </w:r>
          </w:p>
        </w:tc>
        <w:tc>
          <w:tcPr>
            <w:tcW w:w="1280" w:type="dxa"/>
            <w:vAlign w:val="center"/>
          </w:tcPr>
          <w:p w14:paraId="0AF92481">
            <w:pPr>
              <w:jc w:val="center"/>
            </w:pPr>
            <w:r>
              <w:rPr>
                <w:rFonts w:ascii="Times New Roman" w:hAnsi="Times New Roman" w:eastAsia="宋体"/>
                <w:b w:val="0"/>
                <w:sz w:val="21"/>
              </w:rPr>
              <w:t>结果待补</w:t>
            </w:r>
          </w:p>
        </w:tc>
        <w:tc>
          <w:tcPr>
            <w:tcW w:w="1280" w:type="dxa"/>
            <w:vAlign w:val="center"/>
          </w:tcPr>
          <w:p w14:paraId="080EF275">
            <w:pPr>
              <w:jc w:val="center"/>
            </w:pPr>
            <w:r>
              <w:rPr>
                <w:rFonts w:ascii="Times New Roman" w:hAnsi="Times New Roman" w:eastAsia="宋体"/>
                <w:b w:val="0"/>
                <w:sz w:val="21"/>
              </w:rPr>
              <w:t>结果待补</w:t>
            </w:r>
          </w:p>
        </w:tc>
        <w:tc>
          <w:tcPr>
            <w:tcW w:w="1280" w:type="dxa"/>
            <w:vAlign w:val="center"/>
          </w:tcPr>
          <w:p w14:paraId="20B06A52">
            <w:pPr>
              <w:jc w:val="center"/>
            </w:pPr>
            <w:r>
              <w:rPr>
                <w:rFonts w:ascii="Times New Roman" w:hAnsi="Times New Roman" w:eastAsia="宋体"/>
                <w:b w:val="0"/>
                <w:sz w:val="21"/>
              </w:rPr>
              <w:t>结果待补</w:t>
            </w:r>
          </w:p>
        </w:tc>
      </w:tr>
      <w:tr w14:paraId="2D881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vAlign w:val="center"/>
          </w:tcPr>
          <w:p w14:paraId="310F720A">
            <w:pPr>
              <w:jc w:val="center"/>
            </w:pPr>
            <w:r>
              <w:rPr>
                <w:rFonts w:ascii="Times New Roman" w:hAnsi="Times New Roman" w:eastAsia="宋体"/>
                <w:b w:val="0"/>
                <w:sz w:val="21"/>
              </w:rPr>
              <w:t>CPU</w:t>
            </w:r>
          </w:p>
        </w:tc>
        <w:tc>
          <w:tcPr>
            <w:tcW w:w="1280" w:type="dxa"/>
            <w:vAlign w:val="center"/>
          </w:tcPr>
          <w:p w14:paraId="2673080D">
            <w:pPr>
              <w:jc w:val="center"/>
            </w:pPr>
            <w:r>
              <w:rPr>
                <w:rFonts w:ascii="Times New Roman" w:hAnsi="Times New Roman" w:eastAsia="宋体"/>
                <w:b w:val="0"/>
                <w:sz w:val="21"/>
              </w:rPr>
              <w:t>0.25 s</w:t>
            </w:r>
          </w:p>
        </w:tc>
        <w:tc>
          <w:tcPr>
            <w:tcW w:w="1280" w:type="dxa"/>
            <w:vAlign w:val="center"/>
          </w:tcPr>
          <w:p w14:paraId="39033025">
            <w:pPr>
              <w:jc w:val="center"/>
            </w:pPr>
            <w:r>
              <w:rPr>
                <w:rFonts w:ascii="Times New Roman" w:hAnsi="Times New Roman" w:eastAsia="宋体"/>
                <w:b w:val="0"/>
                <w:sz w:val="21"/>
              </w:rPr>
              <w:t>3</w:t>
            </w:r>
          </w:p>
        </w:tc>
        <w:tc>
          <w:tcPr>
            <w:tcW w:w="1280" w:type="dxa"/>
            <w:vAlign w:val="center"/>
          </w:tcPr>
          <w:p w14:paraId="5D408EA8">
            <w:pPr>
              <w:jc w:val="center"/>
            </w:pPr>
            <w:r>
              <w:rPr>
                <w:rFonts w:ascii="Times New Roman" w:hAnsi="Times New Roman" w:eastAsia="宋体"/>
                <w:b w:val="0"/>
                <w:sz w:val="21"/>
              </w:rPr>
              <w:t>结果待补</w:t>
            </w:r>
          </w:p>
        </w:tc>
        <w:tc>
          <w:tcPr>
            <w:tcW w:w="1280" w:type="dxa"/>
            <w:vAlign w:val="center"/>
          </w:tcPr>
          <w:p w14:paraId="429D605C">
            <w:pPr>
              <w:jc w:val="center"/>
            </w:pPr>
            <w:r>
              <w:rPr>
                <w:rFonts w:ascii="Times New Roman" w:hAnsi="Times New Roman" w:eastAsia="宋体"/>
                <w:b w:val="0"/>
                <w:sz w:val="21"/>
              </w:rPr>
              <w:t>结果待补</w:t>
            </w:r>
          </w:p>
        </w:tc>
        <w:tc>
          <w:tcPr>
            <w:tcW w:w="1280" w:type="dxa"/>
            <w:vAlign w:val="center"/>
          </w:tcPr>
          <w:p w14:paraId="44AD7C61">
            <w:pPr>
              <w:jc w:val="center"/>
            </w:pPr>
            <w:r>
              <w:rPr>
                <w:rFonts w:ascii="Times New Roman" w:hAnsi="Times New Roman" w:eastAsia="宋体"/>
                <w:b w:val="0"/>
                <w:sz w:val="21"/>
              </w:rPr>
              <w:t>结果待补</w:t>
            </w:r>
          </w:p>
        </w:tc>
        <w:tc>
          <w:tcPr>
            <w:tcW w:w="1280" w:type="dxa"/>
            <w:vAlign w:val="center"/>
          </w:tcPr>
          <w:p w14:paraId="464748E0">
            <w:pPr>
              <w:jc w:val="center"/>
            </w:pPr>
            <w:r>
              <w:rPr>
                <w:rFonts w:ascii="Times New Roman" w:hAnsi="Times New Roman" w:eastAsia="宋体"/>
                <w:b w:val="0"/>
                <w:sz w:val="21"/>
              </w:rPr>
              <w:t>结果待补</w:t>
            </w:r>
          </w:p>
        </w:tc>
      </w:tr>
      <w:tr w14:paraId="6F3AA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vAlign w:val="center"/>
          </w:tcPr>
          <w:p w14:paraId="79F0BF01">
            <w:pPr>
              <w:jc w:val="center"/>
            </w:pPr>
            <w:r>
              <w:rPr>
                <w:rFonts w:ascii="Times New Roman" w:hAnsi="Times New Roman" w:eastAsia="宋体"/>
                <w:b w:val="0"/>
                <w:sz w:val="21"/>
              </w:rPr>
              <w:t>GPU</w:t>
            </w:r>
          </w:p>
        </w:tc>
        <w:tc>
          <w:tcPr>
            <w:tcW w:w="1280" w:type="dxa"/>
            <w:vAlign w:val="center"/>
          </w:tcPr>
          <w:p w14:paraId="3DD1F5B0">
            <w:pPr>
              <w:jc w:val="center"/>
            </w:pPr>
            <w:r>
              <w:rPr>
                <w:rFonts w:ascii="Times New Roman" w:hAnsi="Times New Roman" w:eastAsia="宋体"/>
                <w:b w:val="0"/>
                <w:sz w:val="21"/>
              </w:rPr>
              <w:t>0.25 s</w:t>
            </w:r>
          </w:p>
        </w:tc>
        <w:tc>
          <w:tcPr>
            <w:tcW w:w="1280" w:type="dxa"/>
            <w:vAlign w:val="center"/>
          </w:tcPr>
          <w:p w14:paraId="7CBBDEF3">
            <w:pPr>
              <w:jc w:val="center"/>
            </w:pPr>
            <w:r>
              <w:rPr>
                <w:rFonts w:ascii="Times New Roman" w:hAnsi="Times New Roman" w:eastAsia="宋体"/>
                <w:b w:val="0"/>
                <w:sz w:val="21"/>
              </w:rPr>
              <w:t>1</w:t>
            </w:r>
          </w:p>
        </w:tc>
        <w:tc>
          <w:tcPr>
            <w:tcW w:w="1280" w:type="dxa"/>
            <w:vAlign w:val="center"/>
          </w:tcPr>
          <w:p w14:paraId="787D41AA">
            <w:pPr>
              <w:jc w:val="center"/>
            </w:pPr>
            <w:r>
              <w:rPr>
                <w:rFonts w:ascii="Times New Roman" w:hAnsi="Times New Roman" w:eastAsia="宋体"/>
                <w:b w:val="0"/>
                <w:sz w:val="21"/>
              </w:rPr>
              <w:t>结果待补</w:t>
            </w:r>
          </w:p>
        </w:tc>
        <w:tc>
          <w:tcPr>
            <w:tcW w:w="1280" w:type="dxa"/>
            <w:vAlign w:val="center"/>
          </w:tcPr>
          <w:p w14:paraId="67475C19">
            <w:pPr>
              <w:jc w:val="center"/>
            </w:pPr>
            <w:r>
              <w:rPr>
                <w:rFonts w:ascii="Times New Roman" w:hAnsi="Times New Roman" w:eastAsia="宋体"/>
                <w:b w:val="0"/>
                <w:sz w:val="21"/>
              </w:rPr>
              <w:t>结果待补</w:t>
            </w:r>
          </w:p>
        </w:tc>
        <w:tc>
          <w:tcPr>
            <w:tcW w:w="1280" w:type="dxa"/>
            <w:vAlign w:val="center"/>
          </w:tcPr>
          <w:p w14:paraId="6AE21726">
            <w:pPr>
              <w:jc w:val="center"/>
            </w:pPr>
            <w:r>
              <w:rPr>
                <w:rFonts w:ascii="Times New Roman" w:hAnsi="Times New Roman" w:eastAsia="宋体"/>
                <w:b w:val="0"/>
                <w:sz w:val="21"/>
              </w:rPr>
              <w:t>结果待补</w:t>
            </w:r>
          </w:p>
        </w:tc>
        <w:tc>
          <w:tcPr>
            <w:tcW w:w="1280" w:type="dxa"/>
            <w:vAlign w:val="center"/>
          </w:tcPr>
          <w:p w14:paraId="3B2C6285">
            <w:pPr>
              <w:jc w:val="center"/>
            </w:pPr>
            <w:r>
              <w:rPr>
                <w:rFonts w:ascii="Times New Roman" w:hAnsi="Times New Roman" w:eastAsia="宋体"/>
                <w:b w:val="0"/>
                <w:sz w:val="21"/>
              </w:rPr>
              <w:t>结果待补</w:t>
            </w:r>
          </w:p>
        </w:tc>
      </w:tr>
      <w:tr w14:paraId="2BD90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vAlign w:val="center"/>
          </w:tcPr>
          <w:p w14:paraId="7F629CDF">
            <w:pPr>
              <w:jc w:val="center"/>
            </w:pPr>
            <w:r>
              <w:rPr>
                <w:rFonts w:ascii="Times New Roman" w:hAnsi="Times New Roman" w:eastAsia="宋体"/>
                <w:b w:val="0"/>
                <w:sz w:val="21"/>
              </w:rPr>
              <w:t>GPU</w:t>
            </w:r>
          </w:p>
        </w:tc>
        <w:tc>
          <w:tcPr>
            <w:tcW w:w="1280" w:type="dxa"/>
            <w:vAlign w:val="center"/>
          </w:tcPr>
          <w:p w14:paraId="1075D8EC">
            <w:pPr>
              <w:jc w:val="center"/>
            </w:pPr>
            <w:r>
              <w:rPr>
                <w:rFonts w:ascii="Times New Roman" w:hAnsi="Times New Roman" w:eastAsia="宋体"/>
                <w:b w:val="0"/>
                <w:sz w:val="21"/>
              </w:rPr>
              <w:t>0.25 s</w:t>
            </w:r>
          </w:p>
        </w:tc>
        <w:tc>
          <w:tcPr>
            <w:tcW w:w="1280" w:type="dxa"/>
            <w:vAlign w:val="center"/>
          </w:tcPr>
          <w:p w14:paraId="5117223B">
            <w:pPr>
              <w:jc w:val="center"/>
            </w:pPr>
            <w:r>
              <w:rPr>
                <w:rFonts w:ascii="Times New Roman" w:hAnsi="Times New Roman" w:eastAsia="宋体"/>
                <w:b w:val="0"/>
                <w:sz w:val="21"/>
              </w:rPr>
              <w:t>3</w:t>
            </w:r>
          </w:p>
        </w:tc>
        <w:tc>
          <w:tcPr>
            <w:tcW w:w="1280" w:type="dxa"/>
            <w:vAlign w:val="center"/>
          </w:tcPr>
          <w:p w14:paraId="784B52F7">
            <w:pPr>
              <w:jc w:val="center"/>
            </w:pPr>
            <w:r>
              <w:rPr>
                <w:rFonts w:ascii="Times New Roman" w:hAnsi="Times New Roman" w:eastAsia="宋体"/>
                <w:b w:val="0"/>
                <w:sz w:val="21"/>
              </w:rPr>
              <w:t>结果待补</w:t>
            </w:r>
          </w:p>
        </w:tc>
        <w:tc>
          <w:tcPr>
            <w:tcW w:w="1280" w:type="dxa"/>
            <w:vAlign w:val="center"/>
          </w:tcPr>
          <w:p w14:paraId="31073D0D">
            <w:pPr>
              <w:jc w:val="center"/>
            </w:pPr>
            <w:r>
              <w:rPr>
                <w:rFonts w:ascii="Times New Roman" w:hAnsi="Times New Roman" w:eastAsia="宋体"/>
                <w:b w:val="0"/>
                <w:sz w:val="21"/>
              </w:rPr>
              <w:t>结果待补</w:t>
            </w:r>
          </w:p>
        </w:tc>
        <w:tc>
          <w:tcPr>
            <w:tcW w:w="1280" w:type="dxa"/>
            <w:vAlign w:val="center"/>
          </w:tcPr>
          <w:p w14:paraId="37DC9E66">
            <w:pPr>
              <w:jc w:val="center"/>
            </w:pPr>
            <w:r>
              <w:rPr>
                <w:rFonts w:ascii="Times New Roman" w:hAnsi="Times New Roman" w:eastAsia="宋体"/>
                <w:b w:val="0"/>
                <w:sz w:val="21"/>
              </w:rPr>
              <w:t>结果待补</w:t>
            </w:r>
          </w:p>
        </w:tc>
        <w:tc>
          <w:tcPr>
            <w:tcW w:w="1280" w:type="dxa"/>
            <w:vAlign w:val="center"/>
          </w:tcPr>
          <w:p w14:paraId="4D45E41C">
            <w:pPr>
              <w:jc w:val="center"/>
            </w:pPr>
            <w:r>
              <w:rPr>
                <w:rFonts w:ascii="Times New Roman" w:hAnsi="Times New Roman" w:eastAsia="宋体"/>
                <w:b w:val="0"/>
                <w:sz w:val="21"/>
              </w:rPr>
              <w:t>结果待补</w:t>
            </w:r>
          </w:p>
        </w:tc>
      </w:tr>
    </w:tbl>
    <w:p w14:paraId="3481B381">
      <w:pPr>
        <w:ind w:firstLine="0"/>
      </w:pPr>
      <w:r>
        <w:rPr>
          <w:rFonts w:ascii="Times New Roman" w:hAnsi="Times New Roman" w:eastAsia="宋体"/>
          <w:b w:val="0"/>
          <w:sz w:val="21"/>
        </w:rPr>
        <w:t>注：表5用于汇报实时闭环条件下的关键运行指标，具体设置还应在最终版中补充硬件型号和统计脚本信息。</w:t>
      </w:r>
    </w:p>
    <w:p w14:paraId="334CE4BC">
      <w:pPr>
        <w:pBdr>
          <w:top w:val="single" w:color="808080" w:sz="8" w:space="6"/>
          <w:left w:val="single" w:color="808080" w:sz="8" w:space="6"/>
          <w:bottom w:val="single" w:color="808080" w:sz="8" w:space="6"/>
          <w:right w:val="single" w:color="808080" w:sz="8" w:space="6"/>
        </w:pBdr>
        <w:spacing w:before="80" w:after="80"/>
        <w:jc w:val="center"/>
      </w:pPr>
      <w:r>
        <w:rPr>
          <w:rFonts w:ascii="Times New Roman" w:hAnsi="Times New Roman" w:eastAsia="黑体"/>
          <w:b/>
          <w:sz w:val="24"/>
        </w:rPr>
        <w:t>插图位置预留</w:t>
      </w:r>
    </w:p>
    <w:p w14:paraId="20198A07">
      <w:pPr>
        <w:jc w:val="center"/>
      </w:pPr>
      <w:r>
        <w:rPr>
          <w:rFonts w:ascii="Times New Roman" w:hAnsi="Times New Roman" w:eastAsia="宋体"/>
          <w:b/>
          <w:sz w:val="22"/>
        </w:rPr>
        <w:t>图7 双机实时原型流程与端到端时延结果（待插入）</w:t>
      </w:r>
    </w:p>
    <w:p w14:paraId="00B1CCB4">
      <w:pPr>
        <w:ind w:firstLine="0"/>
        <w:jc w:val="center"/>
      </w:pPr>
      <w:r>
        <w:rPr>
          <w:rFonts w:ascii="Times New Roman" w:hAnsi="Times New Roman" w:eastAsia="宋体"/>
          <w:b w:val="0"/>
          <w:sz w:val="21"/>
        </w:rPr>
        <w:t>该图用于展示实时传输流程、缓冲区变化和端到端时延统计结果。</w:t>
      </w:r>
    </w:p>
    <w:p w14:paraId="69E90C88">
      <w:pPr>
        <w:spacing w:before="120" w:after="40"/>
        <w:jc w:val="left"/>
      </w:pPr>
      <w:r>
        <w:rPr>
          <w:rFonts w:ascii="Times New Roman" w:hAnsi="Times New Roman" w:eastAsia="黑体"/>
          <w:b/>
          <w:sz w:val="24"/>
        </w:rPr>
        <w:t>4.6 消融实验</w:t>
      </w:r>
    </w:p>
    <w:p w14:paraId="47FFF905">
      <w:pPr>
        <w:jc w:val="both"/>
        <w:rPr>
          <w:color w:val="0000FF"/>
        </w:rPr>
      </w:pPr>
      <w:r>
        <w:rPr>
          <w:rFonts w:ascii="Times New Roman" w:hAnsi="Times New Roman" w:eastAsia="宋体"/>
          <w:b w:val="0"/>
          <w:color w:val="0000FF"/>
          <w:sz w:val="24"/>
        </w:rPr>
        <w:t>除主结果外，正式论文还需要若干消融以支撑论证完整性。第一类消融应比较全层 RVQ 与前 K 层 RVQ 方案，用于区分核心语义内容保留与细节恢复损失之间的边界。第二类消融应拆分 header 与 body 的开销占比，以揭示不同 chunk 配置下元数据开销是否吞掉主要收益。第三类消融应比较不同 chunk_seconds 设置在负载、时延和稳定性之间的联动关系。</w:t>
      </w:r>
    </w:p>
    <w:p w14:paraId="6C565EFB">
      <w:pPr>
        <w:jc w:val="both"/>
      </w:pPr>
      <w:r>
        <w:rPr>
          <w:rFonts w:ascii="Times New Roman" w:hAnsi="Times New Roman" w:eastAsia="宋体"/>
          <w:b w:val="0"/>
          <w:color w:val="0000FF"/>
          <w:sz w:val="24"/>
        </w:rPr>
        <w:t>这些消融的具体数值同样需要由统一评估脚本回填。正式稿在此先给出分析逻辑：如果较少 RVQ 层已经能够维持可懂度而显著降低负载，则说明索引化通信具备较强的任务导向压缩潜力；如果过短 chunk 造成头部占比过高，则系统部署时需要在时延和封包效率之间重新平衡；如果保护处理位置改变会对延迟或载荷产生明显影响，则应在后续补充材料中进一步展开。</w:t>
      </w:r>
    </w:p>
    <w:p w14:paraId="23C43A51">
      <w:pPr>
        <w:spacing w:before="160" w:after="80"/>
        <w:jc w:val="left"/>
      </w:pPr>
      <w:r>
        <w:rPr>
          <w:rFonts w:ascii="Times New Roman" w:hAnsi="Times New Roman" w:eastAsia="黑体"/>
          <w:b/>
          <w:sz w:val="28"/>
        </w:rPr>
        <w:t>5 讨论</w:t>
      </w:r>
    </w:p>
    <w:p w14:paraId="6C61778F">
      <w:pPr>
        <w:spacing w:before="120" w:after="40"/>
        <w:jc w:val="left"/>
      </w:pPr>
      <w:r>
        <w:rPr>
          <w:rFonts w:ascii="Times New Roman" w:hAnsi="Times New Roman" w:eastAsia="黑体"/>
          <w:b/>
          <w:sz w:val="24"/>
        </w:rPr>
        <w:t>5.1 核心技术信息</w:t>
      </w:r>
    </w:p>
    <w:p w14:paraId="63FCA9DB">
      <w:pPr>
        <w:jc w:val="both"/>
      </w:pPr>
      <w:r>
        <w:rPr>
          <w:rFonts w:ascii="Times New Roman" w:hAnsi="Times New Roman" w:eastAsia="宋体"/>
          <w:b w:val="0"/>
          <w:color w:val="0000FF"/>
          <w:sz w:val="24"/>
        </w:rPr>
        <w:t>本文最核心的信息不是“语音被量化了”，而是“量化产生的离散索引被提升为了通信载荷”。这一变化决定了本文的学术位置：若仅把离散语音分词器视为表征学习或重建工具，则研究问题仍停留在模型性能层面；而一旦把量化索引视为在线传输对象，研究重心就转向通信系统本身，即什么内容必须跨信道发送、什么内容可以由两端本地能力承担，以及这一重构是否在负载、质量和实时性之间取得更优平衡。</w:t>
      </w:r>
    </w:p>
    <w:p w14:paraId="1229E03D">
      <w:pPr>
        <w:spacing w:before="120" w:after="40"/>
        <w:jc w:val="left"/>
      </w:pPr>
      <w:r>
        <w:rPr>
          <w:rFonts w:ascii="Times New Roman" w:hAnsi="Times New Roman" w:eastAsia="黑体"/>
          <w:b/>
          <w:sz w:val="24"/>
        </w:rPr>
        <w:t>5.2 为何这是一篇通信论文</w:t>
      </w:r>
    </w:p>
    <w:p w14:paraId="5D6FD5C0">
      <w:pPr>
        <w:jc w:val="both"/>
      </w:pPr>
      <w:r>
        <w:rPr>
          <w:rFonts w:ascii="Times New Roman" w:hAnsi="Times New Roman" w:eastAsia="宋体"/>
          <w:b w:val="0"/>
          <w:color w:val="0000FF"/>
          <w:sz w:val="24"/>
        </w:rPr>
        <w:t>本文与典型 neural codec 论文、一般性的表示学习论文和泛泛而谈的语义通信叙述之间存在明确边界。本文并不以提出新分词器结构或刷新单点重建指标为主要目标，而是围绕在线通信中“该传什么”这一问题给出可实现、可记账、可测量的回答。正因如此，本文同时处理报文格式、元数据开销、位宽压缩、端到端时延和部署可行性，而不是仅把索引作为模型内部表示来讨论。</w:t>
      </w:r>
    </w:p>
    <w:p w14:paraId="147C27D2">
      <w:pPr>
        <w:spacing w:before="120" w:after="40"/>
        <w:jc w:val="left"/>
      </w:pPr>
      <w:r>
        <w:rPr>
          <w:rFonts w:ascii="Times New Roman" w:hAnsi="Times New Roman" w:eastAsia="黑体"/>
          <w:b/>
          <w:sz w:val="24"/>
        </w:rPr>
        <w:t>5.3 适用范围与局限性</w:t>
      </w:r>
    </w:p>
    <w:p w14:paraId="661F86F5">
      <w:pPr>
        <w:jc w:val="both"/>
      </w:pPr>
      <w:r>
        <w:rPr>
          <w:rFonts w:ascii="Times New Roman" w:hAnsi="Times New Roman" w:eastAsia="宋体"/>
          <w:b w:val="0"/>
          <w:sz w:val="24"/>
        </w:rPr>
        <w:t>本文方法存在清晰边界。首先，该机制依赖通信双方部署兼容模型，因此并不适合完全开放、一次性或临时建立的通信环境。其次，本文减少的是在线阶段的语音传输负担，而不是声称系统整体代价可以忽略。再次，当前实时原型证明的是运行时可行性，而不是复杂网络、强噪声、强丢包或真实量子信道条件下的鲁棒性。最后，索引打包、熵编码、模型压缩以及长期运行稳定性仍有较大优化空间。</w:t>
      </w:r>
    </w:p>
    <w:p w14:paraId="479535F0">
      <w:pPr>
        <w:spacing w:before="120" w:after="40"/>
        <w:jc w:val="left"/>
      </w:pPr>
      <w:r>
        <w:rPr>
          <w:rFonts w:ascii="Times New Roman" w:hAnsi="Times New Roman" w:eastAsia="黑体"/>
          <w:b/>
          <w:sz w:val="24"/>
        </w:rPr>
        <w:t>5.4 与量子安全链路的关系</w:t>
      </w:r>
    </w:p>
    <w:p w14:paraId="0126C1A8">
      <w:pPr>
        <w:jc w:val="both"/>
      </w:pPr>
      <w:r>
        <w:rPr>
          <w:rFonts w:ascii="Times New Roman" w:hAnsi="Times New Roman" w:eastAsia="宋体"/>
          <w:b w:val="0"/>
          <w:sz w:val="24"/>
        </w:rPr>
        <w:t>将量子安全链路视为本文的应用牵引是合理的，因为这类场景通常更敏感于在线负载与有效载荷预算。然而，离散索引通信在这里的价值，并不来自“量子”这一标签，而是来自其对在线传输对象的压缩能力。如果正文没有真实量子协议设计或量子信道实验，论文就不应越过证据边界。因此，本文只将量子相关内容保留在应用动机、潜在部署场景和后续系统融合三个层面。</w:t>
      </w:r>
    </w:p>
    <w:p w14:paraId="3DD44A60">
      <w:pPr>
        <w:spacing w:before="120" w:after="40"/>
        <w:jc w:val="left"/>
      </w:pPr>
      <w:r>
        <w:rPr>
          <w:rFonts w:ascii="Times New Roman" w:hAnsi="Times New Roman" w:eastAsia="黑体"/>
          <w:b/>
          <w:sz w:val="24"/>
        </w:rPr>
        <w:t>5.5 后续工作</w:t>
      </w:r>
    </w:p>
    <w:p w14:paraId="2C73021E">
      <w:pPr>
        <w:jc w:val="both"/>
      </w:pPr>
      <w:r>
        <w:rPr>
          <w:rFonts w:ascii="Times New Roman" w:hAnsi="Times New Roman" w:eastAsia="宋体"/>
          <w:b w:val="0"/>
          <w:sz w:val="24"/>
        </w:rPr>
        <w:t>后续工作可以沿三条路线推进。第一，继续完善比特打包与熵编码策略，使索引通信更接近理论位宽下界。第二，探索除当前实现外的其他离散语音前端，以验证本文所提出通信重构逻辑在模型层面的泛化性。第三，在多用户、多设备和复杂网络条件下开展系统级验证，并进一步考察其与更高层安全传输协议或量子安全链路原型的结合方式。</w:t>
      </w:r>
    </w:p>
    <w:p w14:paraId="71E6CD43">
      <w:pPr>
        <w:spacing w:before="160" w:after="80"/>
        <w:jc w:val="left"/>
      </w:pPr>
      <w:r>
        <w:rPr>
          <w:rFonts w:ascii="Times New Roman" w:hAnsi="Times New Roman" w:eastAsia="黑体"/>
          <w:b/>
          <w:sz w:val="28"/>
        </w:rPr>
        <w:t>6 结论</w:t>
      </w:r>
    </w:p>
    <w:p w14:paraId="20955467">
      <w:pPr>
        <w:jc w:val="both"/>
      </w:pPr>
      <w:r>
        <w:rPr>
          <w:rFonts w:ascii="Times New Roman" w:hAnsi="Times New Roman" w:eastAsia="宋体"/>
          <w:b w:val="0"/>
          <w:sz w:val="24"/>
        </w:rPr>
        <w:t>本文围绕一个明确的通信命题展开：在通信双方部署兼容离散语音分词器模型的前提下，在线阶段真正需要传输的语音内容可以从波形样本或连续潜表示转化为离散索引流。围绕这一命题，本文将基于 RVQ 的离散语音表示正式引入语音语义通信，给出了从索引生成、报文封装、链路传输到接收端重建的完整系统路径，并将在线负载、重建质量、序列化策略、部署效率与实时运行纳入同一分析框架。</w:t>
      </w:r>
    </w:p>
    <w:p w14:paraId="5FCB74E7">
      <w:pPr>
        <w:jc w:val="both"/>
      </w:pPr>
      <w:r>
        <w:rPr>
          <w:rFonts w:ascii="Times New Roman" w:hAnsi="Times New Roman" w:eastAsia="宋体"/>
          <w:b w:val="0"/>
          <w:sz w:val="24"/>
        </w:rPr>
        <w:t>从系统视角看，本文的价值不在于为已有模型重新命名，而在于将量化结果从模型内部表示推进为可封包、可测量、可实时运行的在线通信载荷。当前项目已经具备训练、推理、双机通信和 NAS 扩展流程，为这一论点提供了工程基础。正式实验结果尚需按照统一口径回填，但本文已经以正式论文结构给出完整的技术叙事、指标组织、图表位点和结果回填接口，可直接作为后续补图、补数值和补参考文献的定稿底稿。</w:t>
      </w:r>
    </w:p>
    <w:p w14:paraId="4372C6BF">
      <w:pPr>
        <w:spacing w:before="160" w:after="80"/>
        <w:jc w:val="left"/>
      </w:pPr>
      <w:r>
        <w:rPr>
          <w:rFonts w:ascii="Times New Roman" w:hAnsi="Times New Roman" w:eastAsia="黑体"/>
          <w:b/>
          <w:sz w:val="28"/>
        </w:rPr>
        <w:t>参考文献</w:t>
      </w:r>
    </w:p>
    <w:p w14:paraId="27144435">
      <w:pPr>
        <w:ind w:left="420" w:hanging="420"/>
        <w:rPr>
          <w:color w:val="0000FF"/>
        </w:rPr>
      </w:pPr>
      <w:r>
        <w:rPr>
          <w:rFonts w:ascii="Times New Roman" w:hAnsi="Times New Roman" w:eastAsia="宋体"/>
          <w:b w:val="0"/>
          <w:color w:val="0000FF"/>
          <w:sz w:val="24"/>
        </w:rPr>
        <w:t>[1] 第六代通信总体综述文献，待补。</w:t>
      </w:r>
    </w:p>
    <w:p w14:paraId="507E44C2">
      <w:pPr>
        <w:ind w:left="420" w:hanging="420"/>
        <w:rPr>
          <w:color w:val="0000FF"/>
        </w:rPr>
      </w:pPr>
      <w:r>
        <w:rPr>
          <w:rFonts w:ascii="Times New Roman" w:hAnsi="Times New Roman" w:eastAsia="宋体"/>
          <w:b w:val="0"/>
          <w:color w:val="0000FF"/>
          <w:sz w:val="24"/>
        </w:rPr>
        <w:t>[2] 6G 内生智能与任务导向传输相关综述文献，待补。</w:t>
      </w:r>
    </w:p>
    <w:p w14:paraId="6515A9BD">
      <w:pPr>
        <w:ind w:left="420" w:hanging="420"/>
        <w:rPr>
          <w:color w:val="0000FF"/>
        </w:rPr>
      </w:pPr>
      <w:r>
        <w:rPr>
          <w:rFonts w:ascii="Times New Roman" w:hAnsi="Times New Roman" w:eastAsia="宋体"/>
          <w:b w:val="0"/>
          <w:color w:val="0000FF"/>
          <w:sz w:val="24"/>
        </w:rPr>
        <w:t>[3] neural codec 代表性基础文献，待补。</w:t>
      </w:r>
    </w:p>
    <w:p w14:paraId="79618BA3">
      <w:pPr>
        <w:ind w:left="420" w:hanging="420"/>
        <w:rPr>
          <w:color w:val="0000FF"/>
        </w:rPr>
      </w:pPr>
      <w:r>
        <w:rPr>
          <w:rFonts w:ascii="Times New Roman" w:hAnsi="Times New Roman" w:eastAsia="宋体"/>
          <w:b w:val="0"/>
          <w:color w:val="0000FF"/>
          <w:sz w:val="24"/>
        </w:rPr>
        <w:t>[4] 连续潜表示语音传输相关文献，待补。</w:t>
      </w:r>
    </w:p>
    <w:p w14:paraId="39A10E02">
      <w:pPr>
        <w:ind w:left="420" w:hanging="420"/>
        <w:rPr>
          <w:color w:val="0000FF"/>
        </w:rPr>
      </w:pPr>
      <w:r>
        <w:rPr>
          <w:rFonts w:ascii="Times New Roman" w:hAnsi="Times New Roman" w:eastAsia="宋体"/>
          <w:b w:val="0"/>
          <w:color w:val="0000FF"/>
          <w:sz w:val="24"/>
        </w:rPr>
        <w:t>[5] 语义通信代表性综述或基础文献，待补。</w:t>
      </w:r>
    </w:p>
    <w:p w14:paraId="30F1959E">
      <w:pPr>
        <w:ind w:left="420" w:hanging="420"/>
        <w:rPr>
          <w:color w:val="0000FF"/>
        </w:rPr>
      </w:pPr>
      <w:r>
        <w:rPr>
          <w:rFonts w:ascii="Times New Roman" w:hAnsi="Times New Roman" w:eastAsia="宋体"/>
          <w:b w:val="0"/>
          <w:color w:val="0000FF"/>
          <w:sz w:val="24"/>
        </w:rPr>
        <w:t>[6] Zhang X, Zhang D, Li S, Zhou Y, Qiu X. SpeechTokenizer: Unified Speech Tokenizer for Speech Language Models. arXiv:2308.16692, 2023.</w:t>
      </w:r>
    </w:p>
    <w:p w14:paraId="52A68D60">
      <w:pPr>
        <w:ind w:left="420" w:hanging="420"/>
        <w:rPr>
          <w:color w:val="0000FF"/>
        </w:rPr>
      </w:pPr>
      <w:r>
        <w:rPr>
          <w:rFonts w:ascii="Times New Roman" w:hAnsi="Times New Roman" w:eastAsia="宋体"/>
          <w:b w:val="0"/>
          <w:color w:val="0000FF"/>
          <w:sz w:val="24"/>
        </w:rPr>
        <w:t>[7] HuBERT 教师表征相关文献，待补。</w:t>
      </w:r>
    </w:p>
    <w:p w14:paraId="54C7AC88">
      <w:pPr>
        <w:ind w:left="420" w:hanging="420"/>
        <w:rPr>
          <w:color w:val="0000FF"/>
        </w:rPr>
      </w:pPr>
      <w:r>
        <w:rPr>
          <w:rFonts w:ascii="Times New Roman" w:hAnsi="Times New Roman" w:eastAsia="宋体"/>
          <w:b w:val="0"/>
          <w:color w:val="0000FF"/>
          <w:sz w:val="24"/>
        </w:rPr>
        <w:t>[8] 面向高效语音模型部署的 NAS 代表性文献，待补。</w:t>
      </w:r>
    </w:p>
    <w:p w14:paraId="7C85D14B">
      <w:pPr>
        <w:spacing w:before="160" w:after="80"/>
        <w:jc w:val="left"/>
      </w:pPr>
      <w:r>
        <w:rPr>
          <w:rFonts w:ascii="Times New Roman" w:hAnsi="Times New Roman" w:eastAsia="黑体"/>
          <w:b/>
          <w:sz w:val="28"/>
        </w:rPr>
        <w:t>附录A 补充材料说明</w:t>
      </w:r>
    </w:p>
    <w:p w14:paraId="29E66302">
      <w:pPr>
        <w:jc w:val="both"/>
      </w:pPr>
      <w:r>
        <w:rPr>
          <w:rFonts w:ascii="Times New Roman" w:hAnsi="Times New Roman" w:eastAsia="宋体"/>
          <w:b w:val="0"/>
          <w:sz w:val="24"/>
        </w:rPr>
        <w:t>正式补充材料建议包含更完整的实验设置说明、更多 RVQ 层数组合和序列化策略组合、主观听感样例链接、实时系统运行日志、失败案例分析，以及主文图表与扩展实验之间的映射关系。补充材料不再单独扩展额外成本框架，而应继续服务于本文的三条主线：在线负载、重建质量和部署可行性。</w:t>
      </w:r>
    </w:p>
    <w:sectPr>
      <w:pgSz w:w="11906" w:h="16838"/>
      <w:pgMar w:top="1417" w:right="1474" w:bottom="1417" w:left="147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舒圆体 W05"/>
    <w:panose1 w:val="00000000000000000000"/>
    <w:charset w:val="80"/>
    <w:family w:val="roman"/>
    <w:pitch w:val="default"/>
    <w:sig w:usb0="00000000" w:usb1="00000000" w:usb2="00000010" w:usb3="00000000" w:csb0="00020000" w:csb1="00000000"/>
  </w:font>
  <w:font w:name="仓耳舒圆体 W05">
    <w:panose1 w:val="02020400000000000000"/>
    <w:charset w:val="80"/>
    <w:family w:val="auto"/>
    <w:pitch w:val="default"/>
    <w:sig w:usb0="80000023" w:usb1="08C10458"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73A119A"/>
    <w:rsid w:val="5D503D48"/>
    <w:rsid w:val="5D5450B4"/>
    <w:rsid w:val="7AF464F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7150</Words>
  <Characters>8082</Characters>
  <Lines>0</Lines>
  <Paragraphs>0</Paragraphs>
  <TotalTime>2133</TotalTime>
  <ScaleCrop>false</ScaleCrop>
  <LinksUpToDate>false</LinksUpToDate>
  <CharactersWithSpaces>8352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BaiXian</cp:lastModifiedBy>
  <dcterms:modified xsi:type="dcterms:W3CDTF">2026-05-10T09:26:31Z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eyJoZGlkIjoiYmRiNjc3MjlkM2M3MjE5YjRkNjE2ZjBkMGQxYmNkMWIiLCJ1c2VySWQiOiIzOTc0NDY1OTEifQ==</vt:lpwstr>
  </property>
  <property fmtid="{D5CDD505-2E9C-101B-9397-08002B2CF9AE}" pid="3" name="KSOProductBuildVer">
    <vt:lpwstr>2052-12.1.0.25865</vt:lpwstr>
  </property>
  <property fmtid="{D5CDD505-2E9C-101B-9397-08002B2CF9AE}" pid="4" name="ICV">
    <vt:lpwstr>71563F5B93464AC49DDEFC362C0AB8A1_13</vt:lpwstr>
  </property>
</Properties>
</file>