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line="300" w:lineRule="auto" w:before="0" w:after="20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RS-Token：面向信道鲁棒遥感通信的层次化 RemoteCLIP 蒸馏 Token</w:t>
      </w:r>
    </w:p>
    <w:p>
      <w:pPr>
        <w:widowControl/>
        <w:spacing w:line="288" w:lineRule="auto" w:before="0" w:after="6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Baohui Zhang，Jianwei Tai*</w:t>
      </w:r>
    </w:p>
    <w:p>
      <w:pPr>
        <w:widowControl/>
        <w:spacing w:line="288" w:lineRule="auto" w:before="0" w:after="40"/>
        <w:ind w:firstLine="0"/>
        <w:jc w:val="center"/>
      </w:pPr>
      <w:r>
        <w:rPr>
          <w:rFonts w:ascii="Times New Roman" w:hAnsi="Times New Roman" w:eastAsia="宋体"/>
          <w:sz w:val="21"/>
        </w:rPr>
        <w:t>安徽大学互联网学院，合肥 230601</w:t>
      </w:r>
    </w:p>
    <w:p>
      <w:pPr>
        <w:widowControl/>
        <w:spacing w:line="288" w:lineRule="auto" w:before="0" w:after="240"/>
        <w:ind w:firstLine="0"/>
        <w:jc w:val="center"/>
      </w:pPr>
      <w:r>
        <w:rPr>
          <w:rFonts w:ascii="Times New Roman" w:hAnsi="Times New Roman" w:eastAsia="宋体"/>
          <w:b w:val="0"/>
          <w:sz w:val="19"/>
        </w:rPr>
        <w:t>电子邮箱：y125211005@ahu.edu.cn；* 通讯作者：taijianwei@ahu.edu.cn</w:t>
      </w:r>
    </w:p>
    <w:p>
      <w:pPr>
        <w:widowControl/>
        <w:spacing w:line="324" w:lineRule="auto" w:before="0" w:after="100"/>
        <w:ind w:firstLine="0"/>
        <w:jc w:val="center"/>
      </w:pPr>
      <w:r>
        <w:rPr>
          <w:rFonts w:ascii="黑体" w:hAnsi="黑体" w:eastAsia="黑体"/>
          <w:b/>
          <w:sz w:val="24"/>
        </w:rPr>
        <w:t>摘要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遥感图像通信场景具有层次化的下游需求，低带宽时只需要场景级判断，更多比特可传输时才需要图像重建。我们把这一层次化需求直接映射到残差向量量化（Residual Vector Quantization, RVQ）的层次结构：在四层 RVQ 上仅对第一层（L0）施加 RemoteCLIP 蒸馏——L0 承载场景语义、L1–L3 承载重建残差；发射端选择前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层量化索引作为前缀进行传输，同一模型支持多个比特预算工作点。在本文中，任务路径与重建路径在评估中严格分离。在 AID（Aerial Image Dataset，航空图像数据集）三个独立训练种子下，相对无蒸馏 RVQ 基线，L0 蒸馏使无信道任务准确率由 </w:t>
      </w:r>
      <m:oMath>
        <m:box>
          <m:e>
            <m:r>
              <m:rPr>
                <m:sty m:val="p"/>
              </m:rPr>
              <m:t>58.23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1.57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提升到 </w:t>
      </w:r>
      <m:oMath>
        <m:box>
          <m:e>
            <m:r>
              <m:rPr>
                <m:sty m:val="p"/>
              </m:rPr>
              <m:t>83.33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0.81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（</w:t>
      </w:r>
      <m:oMath>
        <m:box>
          <m:e>
            <m:r>
              <m:rPr>
                <m:sty m:val="p"/>
              </m:rPr>
              <m:t>+</m:t>
            </m:r>
            <m:r>
              <m:rPr>
                <m:sty m:val="p"/>
              </m:rPr>
              <m:t>25.10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个百分点），并在加性白高斯噪声（Additive White Gaussian Noise, AWGN）信道、信噪比（Signal-to-Noise Ratio, SNR）</w:t>
      </w:r>
      <m:oMath>
        <m:box>
          <m:e>
            <m:r>
              <m:rPr>
                <m:sty m:val="p"/>
              </m:rPr>
              <m:t>+</m:t>
            </m:r>
            <m:r>
              <m:rPr>
                <m:sty m:val="p"/>
              </m:rPr>
              <m:t>5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 含噪条件下保持 </w:t>
      </w:r>
      <m:oMath>
        <m:box>
          <m:e>
            <m:r>
              <m:rPr>
                <m:sty m:val="p"/>
              </m:rPr>
              <m:t>82.57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0.31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；Rayleigh 衰落下随 SNR 降低单调下降（</w:t>
      </w:r>
      <m:oMath>
        <m:box>
          <m:e>
            <m:r>
              <m:rPr>
                <m:sty m:val="p"/>
              </m:rPr>
              <m:t>+</m:t>
            </m:r>
            <m:r>
              <m:rPr>
                <m:sty m:val="p"/>
              </m:rPr>
              <m:t>10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 仍保持 </w:t>
      </w:r>
      <m:oMath>
        <m:box>
          <m:e>
            <m:r>
              <m:rPr>
                <m:sty m:val="p"/>
              </m:rPr>
              <m:t>78.80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0.72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）；无信道下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（使用 4 层 RVQ）重建达峰值信噪比（Peak Signal-to-Noise Ratio, PSNR）</w:t>
      </w:r>
      <m:oMath>
        <m:box>
          <m:e>
            <m:r>
              <m:rPr>
                <m:sty m:val="p"/>
              </m:rPr>
              <m:t>25.92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0.08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dB、重建图分类准确率 </w:t>
      </w:r>
      <m:oMath>
        <m:box>
          <m:e>
            <m:r>
              <m:rPr>
                <m:sty m:val="p"/>
              </m:rPr>
              <m:t>86.8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widowControl/>
        <w:spacing w:line="324" w:lineRule="auto" w:before="0" w:after="160"/>
        <w:ind w:firstLine="0"/>
        <w:jc w:val="both"/>
      </w:pPr>
      <w:r>
        <w:rPr>
          <w:rFonts w:ascii="Times New Roman" w:hAnsi="Times New Roman" w:eastAsia="宋体"/>
          <w:b/>
          <w:sz w:val="21"/>
        </w:rPr>
        <w:t>关键词：</w:t>
      </w:r>
      <w:r>
        <w:rPr>
          <w:rFonts w:ascii="Times New Roman" w:hAnsi="Times New Roman" w:eastAsia="宋体"/>
          <w:b w:val="0"/>
          <w:sz w:val="21"/>
        </w:rPr>
        <w:t xml:space="preserve"> 语义通信，遥感，残差向量量化，RemoteCLIP，任务导向通信，层次化离散表示，信道鲁棒性。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 w:eastAsia="宋体"/>
          <w:b/>
          <w:sz w:val="28"/>
        </w:rPr>
        <w:t>1. 引言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遥感图像通信越来越多用于低空无人机（Unmanned Aerial Vehicle, UAV）巡检与应急场景筛查 [1]，下行链路常因距离、遮挡与多径衰落而不稳定；下游需求本身是层次化的——实时告警仅需场景级判断、现场研判需要可解读图像、后续复核才需要高保真重建。</w:t>
      </w:r>
      <w:r>
        <w:rPr>
          <w:rFonts w:ascii="Times New Roman" w:hAnsi="Times New Roman" w:eastAsia="宋体"/>
          <w:b/>
          <w:sz w:val="21"/>
        </w:rPr>
        <w:t>现有方法不完全匹配这一需求</w:t>
      </w:r>
      <w:r>
        <w:rPr>
          <w:rFonts w:ascii="Times New Roman" w:hAnsi="Times New Roman" w:eastAsia="宋体"/>
          <w:b w:val="0"/>
          <w:sz w:val="21"/>
        </w:rPr>
        <w:t>：传统压缩-传输范式（WebP / JPEG2000）码流对误码敏感、易因码流损坏而出现文件级失败，且不保证最先传输的比特优先保留遥感场景语义；联合源信道编码（Joint Source–Channel Coding, JSCC）[2] 输出连续，不天然支持按层离散传输；朴素神经 RVQ [5, 6] 由重建损失驱动、第一层码本（codebook）不保证遥感场景判别性。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RS-Token</w:t>
      </w:r>
      <w:r>
        <w:rPr>
          <w:rFonts w:ascii="Times New Roman" w:hAnsi="Times New Roman" w:eastAsia="宋体"/>
          <w:b w:val="0"/>
          <w:sz w:val="21"/>
        </w:rPr>
        <w:t xml:space="preserve"> 在层次化 RVQ 中引入 RemoteCLIP [7] 蒸馏：仅在第一层（L0）施加蒸馏，使 L0 量化输出对齐遥感视觉-语言嵌入空间，L1–L3 保留用于重建的残差信息。同一模型由前缀长度选择即可在多比特预算工作点之间切换——发射端按信道与任务需求选择前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层 RVQ 索引作为前缀传输；本文 AID 配置下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分别对应 2,560、5,120、7,680 和 10,240 比特/图像。围绕这一设计，本文从</w:t>
      </w:r>
      <w:r>
        <w:rPr>
          <w:rFonts w:ascii="Times New Roman" w:hAnsi="Times New Roman" w:eastAsia="宋体"/>
          <w:b/>
          <w:sz w:val="21"/>
        </w:rPr>
        <w:t>方法、架构合理性以及与已有方法的关系</w:t>
      </w:r>
      <w:r>
        <w:rPr>
          <w:rFonts w:ascii="Times New Roman" w:hAnsi="Times New Roman" w:eastAsia="宋体"/>
          <w:b w:val="0"/>
          <w:sz w:val="21"/>
        </w:rPr>
        <w:t>三个维度展开论证；主要贡献如下。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贡献：</w:t>
      </w:r>
    </w:p>
    <w:p>
      <w:pPr>
        <w:widowControl/>
        <w:spacing w:line="324" w:lineRule="auto" w:before="0" w:after="40"/>
        <w:ind w:left="420" w:hanging="240"/>
        <w:jc w:val="both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提出 RemoteCLIP 引导的 L0 语义分配设计——在四层 RVQ 中只蒸馏第一层使其承载遥感场景语义、后续层留作渐进式重建之用。我们在 AID（AWGN 与 Rayleigh 信道）上验证：相对无蒸馏 RVQ 基线，蒸馏将 L0 任务准确率提升约 25 个百分点；重建路径 PSNR 与基线基本持平，且增大前缀长度在信道允许时进一步改善重建。蒸馏位置反事实（§4.2.2）与配对初始化对照（§4.2.1）进一步表明，该增益在匹配控制下保持稳定，并依赖蒸馏损失的施加位置。</w:t>
      </w:r>
    </w:p>
    <w:p>
      <w:pPr>
        <w:widowControl/>
        <w:spacing w:line="324" w:lineRule="auto" w:before="0" w:after="40"/>
        <w:ind w:left="420" w:hanging="240"/>
        <w:jc w:val="both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通过编码器形式消融、RVQ 深度消融与跨数据集迁移分析架构选择，结果表明 CNN 编码器和多层 RVQ 共同支撑任务与重建路径，L0 蒸馏增益可部分迁移至另一遥感场景数据集（§4.6.1、§4.6.2 和 §4.4）。</w:t>
      </w:r>
    </w:p>
    <w:p>
      <w:pPr>
        <w:widowControl/>
        <w:spacing w:line="324" w:lineRule="auto" w:before="0" w:after="40"/>
        <w:ind w:left="420" w:hanging="240"/>
        <w:jc w:val="both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比较 RS-Token 与两类现有传输方案：在本文的 LDPC 设置下，离散索引避免了传统压缩码流的文件级解码失败（§4.3.2）；与现代连续 deep-JSCC（ADJSCC）相比，离散量化加视觉–语言蒸馏和连续潜在表示在任务保真度与 PSNR 之间形成不同折中（§4.3.1）。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 w:eastAsia="宋体"/>
          <w:b/>
          <w:sz w:val="28"/>
        </w:rPr>
        <w:t>2. 相关工作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2.1 任务导向遥感通信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任务导向语义通信优化的是面向下游决策的传输，而不是单纯的像素保真。早期 deep-JSCC 工作 [2] 表明端到端学习的图像编码可在含噪信道下显著优于"压缩 + 经典信道码"的串联流程；后续工作进一步在 SNR-自适应（ADJSCC [3]）与 Swin Transformer 主干（SwinJSCC [4]）方向扩展了这一范式，使单一模型可在多个 SNR 工作点泛化。遥感应用是天然的目标场景，因为场景分类、目标监控、应急筛查在与类相关的语义被保留时通常容忍部分视觉信息缺失。已有 UAV 或遥感语义通信工作表明，在比传统图像重建系统更低的码率下任务准确率仍可保持较高 [1]。最近也有把多模态基础模型作为语义先验、在零样本设置下做语义通信的尝试 [8]，以及把多层码本与生成式语义通信耦合的数字方案 [6]。RS-Token 的不同之处在于保持</w:t>
      </w:r>
      <w:r>
        <w:rPr>
          <w:rFonts w:ascii="Times New Roman" w:hAnsi="Times New Roman" w:eastAsia="宋体"/>
          <w:b/>
          <w:sz w:val="21"/>
        </w:rPr>
        <w:t>离散、层次化</w:t>
      </w:r>
      <w:r>
        <w:rPr>
          <w:rFonts w:ascii="Times New Roman" w:hAnsi="Times New Roman" w:eastAsia="宋体"/>
          <w:b w:val="0"/>
          <w:sz w:val="21"/>
        </w:rPr>
        <w:t>的表示——其第一层有意对齐到一个遥感基础模型，后续层留作重建细节；本文 §4.3.1 在严格匹配比特预算下与 ADJSCC 直接对照，凸显"离散量化 + 视觉-语言蒸馏"与"连续 deep-JSCC"在任务保真度-PSNR 上的结构性帕累托折中。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2.2 离散视觉表示与残差量化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向量量化自编码器（Vector Quantized Variational AutoEncoder, VQ-VAE）将离散潜在图像编码引入为一种紧凑神经表示 [9]。残差向量量化（RVQ）扩展了这一思想，用多层码本表示同一个潜在变量，后续码本编码前一层留下的残差 [5]。RVQ 在 SoundStream、EnCodec 等神经音频编解码器中被广泛使用 [10, 11]，逐层码本自然定义了多个工作点；类似的"层次化离散表示"原则在语音侧也由 SpeechTokenizer 扩展为语义层与声学层显式分离的设计 [12]。在视觉侧，VILA-U 等近期工作探索了把同一离散表示同时用于理解与生成的统一接口 [13]，而通信侧也已有把 RVQ 用作多智能体感知传输瓶颈的尝试 [14]。RS-Token 把这种"层次化离散表示"原则迁移到遥感通信，并在第一层加入教师模型引导的语义约束。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2.3 基础模型蒸馏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视觉-语言基础模型提供了语义结构良好的嵌入，可用于监督紧凑表示。在通用视觉侧，BEiT v2 等工作已经表明把基础模型的视觉特征（如对比语言-图像预训练（Contrastive Language-Image Pre-training, CLIP）视觉编码器输出）蒸馏到 VQ 标记器上能让离散表示更具语义判别性 [15]。RemoteCLIP 针对遥感图文对齐训练，给出了面向地物语义的领域特定嵌入空间 [7]。RS-Token 不是把通用视觉表示蒸馏到所有潜在层，而是只蒸馏到 L0 派生特征上。这种"局部化蒸馏"很关键，因为通信目标本身就是层次化的：第一层应支持鲁棒任务推理，余下层应留作重建细化。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2.4 传统与编码基线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WebP 与 JPEG2000 这样的传统图像编解码器是清洁图像存储的强工程基线。但在含噪数字信道下，无保护的压缩码流可能因解码器期望"语法合法的文件"而出现文件级失败。信道编码可以缓解这种失效模式 [17]，但具体编码至关重要；联合源信道编码也是一条不同于"先压缩再纠错"的替代路径 [2]。本文中：WebP/JPEG2000 结果只被描述为</w:t>
      </w:r>
      <w:r>
        <w:rPr>
          <w:rFonts w:ascii="Times New Roman" w:hAnsi="Times New Roman" w:eastAsia="宋体"/>
          <w:b/>
          <w:sz w:val="21"/>
        </w:rPr>
        <w:t>无保护压缩码流经 BPSK 信道</w:t>
      </w:r>
      <w:r>
        <w:rPr>
          <w:rFonts w:ascii="Times New Roman" w:hAnsi="Times New Roman" w:eastAsia="宋体"/>
          <w:b w:val="0"/>
          <w:sz w:val="21"/>
        </w:rPr>
        <w:t>的结果；LDPC 实验则单独描述为 rate-1/2 systematic sparse LDPC + min-sum 信念传播（Belief Propagation, BP）解码——它</w:t>
      </w:r>
      <w:r>
        <w:rPr>
          <w:rFonts w:ascii="Times New Roman" w:hAnsi="Times New Roman" w:eastAsia="宋体"/>
          <w:b/>
          <w:sz w:val="21"/>
        </w:rPr>
        <w:t>不是 5G 新空口（New Radio, NR）LDPC</w:t>
      </w:r>
      <w:r>
        <w:rPr>
          <w:rFonts w:ascii="Times New Roman" w:hAnsi="Times New Roman" w:eastAsia="宋体"/>
          <w:b w:val="0"/>
          <w:sz w:val="21"/>
        </w:rPr>
        <w:t>，也不被用来对标准蜂窝码进行比较。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 w:eastAsia="宋体"/>
          <w:b/>
          <w:sz w:val="28"/>
        </w:rPr>
        <w:t>3. 方法</w:t>
      </w:r>
    </w:p>
    <w:p>
      <w:pPr>
        <w:keepNext/>
        <w:widowControl/>
        <w:spacing w:line="24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61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thod_aech_image2p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1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64" w:lineRule="auto" w:before="40" w:after="60"/>
        <w:ind w:firstLine="0"/>
        <w:jc w:val="center"/>
      </w:pPr>
      <w:r>
        <w:rPr>
          <w:rFonts w:ascii="Times New Roman" w:hAnsi="Times New Roman" w:eastAsia="宋体"/>
          <w:b w:val="0"/>
          <w:sz w:val="18"/>
        </w:rPr>
        <w:t xml:space="preserve">图 1  RS-Token 总体框架。发射端将一幅遥感图像编码为四层 RVQ 索引。部署阶段只传输前缀的索引；RemoteCLIP 教师监督和蒸馏头 </w:t>
      </w:r>
      <m:oMath>
        <m:box>
          <m:e>
            <m:sSub>
              <m:e>
                <m:r>
                  <m:rPr>
                    <m:sty m:val="i"/>
                  </m:rPr>
                  <m:t>g</m:t>
                </m:r>
              </m:e>
              <m:sub>
                <m:r>
                  <m:rPr>
                    <m:sty m:val="i"/>
                  </m:rPr>
                  <m:t>ψ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18"/>
        </w:rPr>
        <w:t xml:space="preserve"> 只在训练时使用。接收端可以基于 L0 派生特征做任务推理，也可以解码所收到的前缀做图像重建。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3.1 问题设定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设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ℝ</m:t>
                </m:r>
              </m:e>
              <m:sup>
                <m:box>
                  <m:e>
                    <m:r>
                      <m:rPr>
                        <m:sty m:val="i"/>
                      </m:rPr>
                      <m:t>H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i"/>
                      </m:rPr>
                      <m:t>W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为一幅遥感图像、</w:t>
      </w:r>
      <m:oMath>
        <m:box>
          <m:e>
            <m:r>
              <m:rPr>
                <m:sty m:val="i"/>
              </m:rPr>
              <m:t>y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为其场景类别。发射端将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映射为离散索引的层次结构 </w:t>
      </w:r>
      <m:oMath>
        <m:box>
          <m:e>
            <m:sSub>
              <m:e>
                <m:r>
                  <m:rPr>
                    <m:sty m:val="i"/>
                  </m:rPr>
                  <m:t>z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  <m:r>
                      <m:rPr>
                        <m:sty m:val="i"/>
                      </m:rPr>
                      <m:t>:</m:t>
                    </m:r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z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z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，本文取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（一项完整的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6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消融见 §4.6.1）。每层共享相同的空间标记网格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16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16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256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，每层码本大小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ℓ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1024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（</w:t>
      </w:r>
      <m:oMath>
        <m:box>
          <m:e>
            <m:r>
              <m:rPr>
                <m:sty m:val="i"/>
              </m:rPr>
              <m:t>ℓ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）；因此每层负载为 </w:t>
      </w:r>
      <m:oMath>
        <m:box>
          <m:e>
            <m:r>
              <m:rPr>
                <m:sty m:val="i"/>
              </m:rPr>
              <m:t>T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ℓ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560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比特/图像。接收端可按信道质量与应用需求请求前缀 </w:t>
      </w:r>
      <m:oMath>
        <m:box>
          <m:e>
            <m:sSub>
              <m:e>
                <m:r>
                  <m:rPr>
                    <m:sty m:val="i"/>
                  </m:rPr>
                  <m:t>z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  <m:r>
                      <m:rPr>
                        <m:sty m:val="i"/>
                      </m:rPr>
                      <m:t>:</m:t>
                    </m:r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>：</w:t>
      </w:r>
    </w:p>
    <w:p>
      <w:pPr>
        <w:widowControl/>
        <w:spacing w:line="240" w:lineRule="auto" w:before="60" w:after="100"/>
        <w:ind w:firstLine="0"/>
        <w:jc w:val="center"/>
      </w:pP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2560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,</m:t>
            </m:r>
          </m:e>
        </m:box>
      </m:oMath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即 2,560、5,120、7,680、10,240 比特/图像。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是任务导向低码率模式；更大的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是重建细化模式。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本文采用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作为主配置，但不将其视为单指标最优。§4.6.1 的消融表明，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的任务准确率高 1.7 个百分点，而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的全前缀 PSNR 高 0.66 dB。在候选深度均满足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≥</m:t>
            </m:r>
            <m:r>
              <m:rPr>
                <m:sty m:val="p"/>
              </m:rPr>
              <m:t>82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的情况下，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是首次达到 25.9 dB 重建质量、且信息负载不超过 10,240 比特的配置；采用 rate-1/2 LDPC 时对应 20,480 个信道比特。§4.6.2 和附录 B 进一步比较 CNN 编码器与直接量化 RemoteCLIP 特征的差异。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3.2 层次化 RVQ 编码–解码器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编码器 </w:t>
      </w:r>
      <m:oMath>
        <m:box>
          <m:e>
            <m:sSub>
              <m:e>
                <m:r>
                  <m:rPr>
                    <m:sty m:val="i"/>
                  </m:rPr>
                  <m:t>E</m:t>
                </m:r>
              </m:e>
              <m:sub>
                <m:r>
                  <m:rPr>
                    <m:sty m:val="i"/>
                  </m:rPr>
                  <m:t>θ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把图像映射到连续潜在表示 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E</m:t>
                </m:r>
              </m:e>
              <m:sub>
                <m:r>
                  <m:rPr>
                    <m:sty m:val="i"/>
                  </m:rPr>
                  <m:t>θ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，空间网格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16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16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256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个标记、每标记维度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256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；RVQ 在每个空间标记位置</w:t>
      </w:r>
      <w:r>
        <w:rPr>
          <w:rFonts w:ascii="Times New Roman" w:hAnsi="Times New Roman" w:eastAsia="宋体"/>
          <w:b/>
          <w:sz w:val="21"/>
        </w:rPr>
        <w:t>独立</w:t>
      </w:r>
      <w:r>
        <w:rPr>
          <w:rFonts w:ascii="Times New Roman" w:hAnsi="Times New Roman" w:eastAsia="宋体"/>
          <w:b w:val="0"/>
          <w:sz w:val="21"/>
        </w:rPr>
        <w:t xml:space="preserve">执行。为与正文 L0–L3 命名直接对齐，本节用 </w:t>
      </w:r>
      <m:oMath>
        <m:box>
          <m:e>
            <m:r>
              <m:rPr>
                <m:sty m:val="i"/>
              </m:rPr>
              <m:t>ℓ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编号 RVQ 层。残差向量量化器随后用多个码本嵌入之和近似 </w:t>
      </w:r>
      <m:oMath>
        <m:box>
          <m:e>
            <m:r>
              <m:rPr>
                <m:sty m:val="i"/>
              </m:rPr>
              <m:t>u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，其残差更新规则与 [5, 10] 一致：</w:t>
      </w:r>
    </w:p>
    <w:p>
      <w:pPr>
        <w:widowControl/>
        <w:spacing w:line="240" w:lineRule="auto" w:before="60" w:after="0"/>
        <w:ind w:firstLine="0"/>
        <w:jc w:val="center"/>
      </w:pP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,</m:t>
            </m:r>
          </m:e>
        </m:box>
      </m:oMath>
    </w:p>
    <w:p>
      <w:pPr>
        <w:widowControl/>
        <w:spacing w:line="240" w:lineRule="auto" w:before="0" w:after="0"/>
        <w:ind w:firstLine="0"/>
        <w:jc w:val="center"/>
      </w:pPr>
      <m:oMath>
        <m:box>
          <m:e>
            <m:sSub>
              <m:e>
                <m:r>
                  <m:rPr>
                    <m:sty m:val="i"/>
                  </m:rPr>
                  <m:t>z</m:t>
                </m:r>
              </m:e>
              <m:sub>
                <m:r>
                  <m:rPr>
                    <m:sty m:val="i"/>
                  </m:rPr>
                  <m:t>ℓ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\arg</m:t>
            </m:r>
            <m:sSub>
              <m:e>
                <m:r>
                  <m:rPr>
                    <m:sty m:val="p"/>
                  </m:rPr>
                  <m:t>min</m:t>
                </m:r>
              </m:e>
              <m:sub>
                <m:r>
                  <m:rPr>
                    <m:sty m:val="i"/>
                  </m:rPr>
                  <m:t>j</m:t>
                </m:r>
              </m:sub>
            </m:sSub>
            <m:r>
              <m:rPr>
                <m:sty m:val="p"/>
              </m:rPr>
              <m:t>‖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box>
                  <m:e>
                    <m:r>
                      <m:rPr>
                        <m:sty m:val="i"/>
                      </m:rPr>
                      <m:t>ℓ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ℓ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j</m:t>
                    </m:r>
                  </m:e>
                </m:box>
              </m:sub>
            </m:sSub>
            <m:sSubSup>
              <m:e>
                <m:r>
                  <m:rPr>
                    <m:sty m:val="p"/>
                  </m:rPr>
                  <m:t>‖</m:t>
                </m:r>
              </m:e>
              <m:sub>
                <m:r>
                  <m:rPr>
                    <m:sty m:val="p"/>
                  </m:rPr>
                  <m:t>2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>,</m:t>
            </m:r>
          </m:e>
        </m:box>
      </m:oMath>
    </w:p>
    <w:p>
      <w:pPr>
        <w:widowControl/>
        <w:spacing w:line="240" w:lineRule="auto" w:before="0" w:after="0"/>
        <w:ind w:firstLine="0"/>
        <w:jc w:val="center"/>
      </w:pPr>
      <m:oMath>
        <m:box>
          <m:e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i"/>
                  </m:rPr>
                  <m:t>ℓ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ℓ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  <m:sub>
                        <m:r>
                          <m:rPr>
                            <m:sty m:val="i"/>
                          </m:rPr>
                          <m:t>ℓ</m:t>
                        </m:r>
                      </m:sub>
                    </m:sSub>
                  </m:e>
                </m:box>
              </m:sub>
            </m:sSub>
            <m:r>
              <m:rPr>
                <m:sty m:val="p"/>
              </m:rPr>
              <m:t>,</m:t>
            </m:r>
          </m:e>
        </m:box>
      </m:oMath>
    </w:p>
    <w:p>
      <w:pPr>
        <w:widowControl/>
        <w:spacing w:line="240" w:lineRule="auto" w:before="0" w:after="100"/>
        <w:ind w:firstLine="0"/>
        <w:jc w:val="center"/>
      </w:pP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i"/>
                  </m:rPr>
                  <m:t>ℓ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box>
                  <m:e>
                    <m:r>
                      <m:rPr>
                        <m:sty m:val="i"/>
                      </m:rPr>
                      <m:t>ℓ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i"/>
                  </m:rPr>
                  <m:t>ℓ</m:t>
                </m:r>
              </m:sub>
            </m:sSub>
            <m:r>
              <m:rPr>
                <m:sty m:val="p"/>
              </m:rPr>
              <m:t>,</m:t>
            </m:r>
          </m:e>
        </m:box>
      </m:oMath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其中 </w:t>
      </w:r>
      <m:oMath>
        <m:box>
          <m:e>
            <m:r>
              <m:rPr>
                <m:sty m:val="i"/>
              </m:rPr>
              <m:t>ℓ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。</w:t>
      </w:r>
      <m:oMath>
        <m:box>
          <m:e>
            <m:r>
              <m:rPr>
                <m:sty m:val="p"/>
              </m:rPr>
              <m:t>\arg</m:t>
            </m:r>
            <m:r>
              <m:rPr>
                <m:sty m:val="p"/>
              </m:rPr>
              <m:t>min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不可微，训练时用直通估计器（straight-through estimator）让梯度从 </w:t>
      </w:r>
      <m:oMath>
        <m:box>
          <m:e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i"/>
                  </m:rPr>
                  <m:t>ℓ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直通回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box>
                  <m:e>
                    <m:r>
                      <m:rPr>
                        <m:sty m:val="i"/>
                      </m:rPr>
                      <m:t>ℓ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>，并附加标准承诺损失（commitment loss）</w:t>
      </w:r>
    </w:p>
    <w:p>
      <w:pPr>
        <w:widowControl/>
        <w:spacing w:line="240" w:lineRule="auto" w:before="60" w:after="100"/>
        <w:ind w:firstLine="0"/>
        <w:jc w:val="center"/>
      </w:pPr>
      <m:oMath>
        <m:box>
          <m:e>
            <m:sSub>
              <m:e>
                <m:r>
                  <m:rPr>
                    <m:sty m:val="i"/>
                  </m:rPr>
                  <m:t>ℒ</m:t>
                </m:r>
              </m:e>
              <m:sub>
                <m:box>
                  <m:e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ℓ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0</m:t>
                    </m:r>
                  </m:e>
                </m:box>
              </m:sub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sup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‖</m:t>
                        </m:r>
                        <m:box>
                          <m:e>
                            <m:r>
                              <m:rPr>
                                <m:sty m:val="p"/>
                              </m:rPr>
                              <m:t>s</m:t>
                            </m:r>
                            <m:r>
                              <m:rPr>
                                <m:sty m:val="p"/>
                              </m:rPr>
                              <m:t>g</m:t>
                            </m:r>
                          </m:e>
                        </m:box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r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ℓ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q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ℓ</m:t>
                            </m:r>
                          </m:sub>
                        </m:sSub>
                        <m:sSubSup>
                          <m:e>
                            <m:r>
                              <m:rPr>
                                <m:sty m:val="p"/>
                              </m:rPr>
                              <m:t>‖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i"/>
                          </m:rPr>
                          <m:t>β</m:t>
                        </m:r>
                        <m:r>
                          <m:t/>
                        </m:r>
                        <m:r>
                          <m:rPr>
                            <m:sty m:val="p"/>
                          </m:rPr>
                          <m:t>‖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r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ℓ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box>
                          <m:e>
                            <m:r>
                              <m:rPr>
                                <m:sty m:val="p"/>
                              </m:rPr>
                              <m:t>s</m:t>
                            </m:r>
                            <m:r>
                              <m:rPr>
                                <m:sty m:val="p"/>
                              </m:rPr>
                              <m:t>g</m:t>
                            </m:r>
                          </m:e>
                        </m:box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q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ℓ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  <m:sSubSup>
                          <m:e>
                            <m:r>
                              <m:rPr>
                                <m:sty m:val="p"/>
                              </m:rPr>
                              <m:t>‖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bSup>
                      </m:e>
                    </m:box>
                  </m:e>
                </m:d>
                <m:r>
                  <m:rPr>
                    <m:sty m:val="p"/>
                  </m:rPr>
                  <m:t>,</m:t>
                </m:r>
              </m:e>
            </m:nary>
          </m:e>
        </m:box>
      </m:oMath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其中 </w:t>
      </w:r>
      <m:oMath>
        <m:box>
          <m:e>
            <m:box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g</m:t>
                </m:r>
              </m:e>
            </m:box>
            <m:r>
              <m:rPr>
                <m:sty m:val="p"/>
              </m:rPr>
              <m:t>[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为停止梯度（stop-gradient）算子、</w:t>
      </w:r>
      <m:oMath>
        <m:box>
          <m:e>
            <m:r>
              <m:rPr>
                <m:sty m:val="i"/>
              </m:rPr>
              <m:t>β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0.25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，与 [9, 5] 一致。给定前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层前缀 </w:t>
      </w:r>
      <m:oMath>
        <m:box>
          <m:e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  <m:r>
                      <m:rPr>
                        <m:sty m:val="i"/>
                      </m:rPr>
                      <m:t>:</m:t>
                    </m:r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>，解码器重建：</w:t>
      </w:r>
    </w:p>
    <w:p>
      <w:pPr>
        <w:widowControl/>
        <w:spacing w:line="240" w:lineRule="auto" w:before="60" w:after="100"/>
        <w:ind w:firstLine="0"/>
        <w:jc w:val="center"/>
      </w:pPr>
      <m:oMath>
        <m:box>
          <m:e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i"/>
                  </m:rP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i"/>
                  </m:rPr>
                  <m:t>ϕ</m:t>
                </m:r>
              </m:sub>
            </m:sSub>
            <m:r>
              <m:t/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nary>
                          <m:naryPr>
                            <m:chr m:val="∑"/>
                            <m:limLoc m:val="undOvr"/>
                          </m:naryPr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ℓ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rPr>
                                    <m:sty m:val="p"/>
                                  </m:rPr>
                                  <m:t>0</m:t>
                                </m:r>
                              </m:e>
                            </m:box>
                          </m:sub>
                          <m:sup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p>
                          <m:e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c</m:t>
                                </m:r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ℓ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,</m:t>
                                    </m:r>
                                    <m:sSub>
                                      <m:e>
                                        <m:limUpp>
                                          <m:e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z</m:t>
                                                </m:r>
                                              </m:e>
                                            </m:box>
                                          </m:e>
                                          <m:lim>
                                            <m:r>
                                              <m:rPr>
                                                <m:sty m:val="p"/>
                                              </m:rPr>
                                              <m:t>^</m:t>
                                            </m:r>
                                          </m:lim>
                                        </m:limUpp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ℓ</m:t>
                                        </m:r>
                                      </m:sub>
                                    </m:sSub>
                                  </m:e>
                                </m:box>
                              </m:sub>
                            </m:sSub>
                          </m:e>
                        </m:nary>
                      </m:e>
                    </m:box>
                  </m:e>
                </m:d>
              </m:e>
            </m:box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.</m:t>
            </m:r>
          </m:e>
        </m:box>
      </m:oMath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正是这种"前缀性质"使得</w:t>
      </w:r>
      <w:r>
        <w:rPr>
          <w:rFonts w:ascii="Times New Roman" w:hAnsi="Times New Roman" w:eastAsia="宋体"/>
          <w:b/>
          <w:sz w:val="21"/>
        </w:rPr>
        <w:t>同一个训练好的模型可以支持多种传输码率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3.3 L0 上的 RemoteCLIP 蒸馏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核心设计选择是</w:t>
      </w:r>
      <w:r>
        <w:rPr>
          <w:rFonts w:ascii="Times New Roman" w:hAnsi="Times New Roman" w:eastAsia="宋体"/>
          <w:b/>
          <w:sz w:val="21"/>
        </w:rPr>
        <w:t>只</w:t>
      </w:r>
      <w:r>
        <w:rPr>
          <w:rFonts w:ascii="Times New Roman" w:hAnsi="Times New Roman" w:eastAsia="宋体"/>
          <w:b w:val="0"/>
          <w:sz w:val="21"/>
        </w:rPr>
        <w:t xml:space="preserve">把第一层量化与遥感语义教师对齐。设 </w:t>
      </w:r>
      <m:oMath>
        <m:box>
          <m:e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ℝ</m:t>
                </m:r>
              </m:e>
              <m:sup>
                <m:box>
                  <m:e>
                    <m:r>
                      <m:rPr>
                        <m:sty m:val="p"/>
                      </m:rPr>
                      <m:t>512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是归一化后的 RemoteCLIP 视觉 Transformer-B/32 全局图像嵌入 [7]。L0 的量化输出 </w:t>
      </w:r>
      <m:oMath>
        <m:box>
          <m:e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ℝ</m:t>
                </m:r>
              </m:e>
              <m:sup>
                <m:box>
                  <m:e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宋体"/>
          <w:b w:val="0"/>
          <w:sz w:val="21"/>
        </w:rPr>
        <w:t>（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256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个空间标记、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256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）经标记维 mean pool 得到图像级 L0 表示 </w:t>
      </w:r>
      <m:oMath>
        <m:box>
          <m:e>
            <m:sSub>
              <m:e>
                <m:groupChr>
                  <m:groupChrPr>
                    <m:chr m:val="¯"/>
                    <m:pos m:val="top"/>
                  </m:groupChrPr>
                  <m:e>
                    <m:box>
                      <m:e>
                        <m:r>
                          <m:rPr>
                            <m:sty m:val="i"/>
                          </m:rPr>
                          <m:t>q</m:t>
                        </m:r>
                      </m:e>
                    </m:box>
                  </m:e>
                </m:groupCh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ℝ</m:t>
                </m:r>
              </m:e>
              <m:sup>
                <m:box>
                  <m:e>
                    <m:r>
                      <m:rPr>
                        <m:sty m:val="p"/>
                      </m:rPr>
                      <m:t>256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，再由蒸馏投影头 </w:t>
      </w:r>
      <m:oMath>
        <m:box>
          <m:e>
            <m:sSub>
              <m:e>
                <m:r>
                  <m:rPr>
                    <m:sty m:val="i"/>
                  </m:rPr>
                  <m:t>g</m:t>
                </m:r>
              </m:e>
              <m:sub>
                <m:r>
                  <m:rPr>
                    <m:sty m:val="i"/>
                  </m:rPr>
                  <m:t>ψ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（LayerNorm </w:t>
      </w:r>
      <m:oMath>
        <m:box>
          <m:e>
            <m:r>
              <m:rPr>
                <m:sty m:val="p"/>
              </m:rPr>
              <m:t>→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Linear </w:t>
      </w:r>
      <m:oMath>
        <m:box>
          <m:e>
            <m:r>
              <m:rPr>
                <m:sty m:val="p"/>
              </m:rPr>
              <m:t>256</m:t>
            </m:r>
            <m:r>
              <m:t/>
            </m:r>
            <m:r>
              <m:rPr>
                <m:sty m:val="p"/>
              </m:rPr>
              <m:t>→</m:t>
            </m:r>
            <m:r>
              <m:t/>
            </m:r>
            <m:r>
              <m:rPr>
                <m:sty m:val="p"/>
              </m:rPr>
              <m:t>512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</w:t>
      </w:r>
      <m:oMath>
        <m:box>
          <m:e>
            <m:r>
              <m:rPr>
                <m:sty m:val="p"/>
              </m:rPr>
              <m:t>→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SiLU </w:t>
      </w:r>
      <m:oMath>
        <m:box>
          <m:e>
            <m:r>
              <m:rPr>
                <m:sty m:val="p"/>
              </m:rPr>
              <m:t>→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Linear </w:t>
      </w:r>
      <m:oMath>
        <m:box>
          <m:e>
            <m:r>
              <m:rPr>
                <m:sty m:val="p"/>
              </m:rPr>
              <m:t>512</m:t>
            </m:r>
            <m:r>
              <m:t/>
            </m:r>
            <m:r>
              <m:rPr>
                <m:sty m:val="p"/>
              </m:rPr>
              <m:t>→</m:t>
            </m:r>
            <m:r>
              <m:t/>
            </m:r>
            <m:r>
              <m:rPr>
                <m:sty m:val="p"/>
              </m:rPr>
              <m:t>512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）映射到教师特征空间，蒸馏项为：</w:t>
      </w:r>
    </w:p>
    <w:p>
      <w:pPr>
        <w:widowControl/>
        <w:spacing w:line="240" w:lineRule="auto" w:before="60" w:after="100"/>
        <w:ind w:firstLine="0"/>
        <w:jc w:val="center"/>
      </w:pPr>
      <m:oMath>
        <m:box>
          <m:e>
            <m:sSub>
              <m:e>
                <m:r>
                  <m:rPr>
                    <m:sty m:val="i"/>
                  </m:rPr>
                  <m:t>ℒ</m:t>
                </m:r>
              </m:e>
              <m:sub>
                <m:box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l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g</m:t>
                        </m:r>
                      </m:e>
                      <m:sub>
                        <m:r>
                          <m:rPr>
                            <m:sty m:val="i"/>
                          </m:rPr>
                          <m:t>ψ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groupChr>
                          <m:groupChrPr>
                            <m:chr m:val="¯"/>
                            <m:pos m:val="top"/>
                          </m:groupChrPr>
                          <m:e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q</m:t>
                                </m:r>
                              </m:e>
                            </m:box>
                          </m:e>
                        </m:groupCh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b>
                      <m:e>
                        <m:r>
                          <m:rPr>
                            <m:sty m:val="i"/>
                          </m:rPr>
                          <m:t>f</m:t>
                        </m:r>
                      </m:e>
                      <m:sub>
                        <m:r>
                          <m:rPr>
                            <m:sty m:val="i"/>
                          </m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‖</m:t>
                    </m:r>
                    <m:sSub>
                      <m:e>
                        <m:r>
                          <m:rPr>
                            <m:sty m:val="i"/>
                          </m:rPr>
                          <m:t>g</m:t>
                        </m:r>
                      </m:e>
                      <m:sub>
                        <m:r>
                          <m:rPr>
                            <m:sty m:val="i"/>
                          </m:rPr>
                          <m:t>ψ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groupChr>
                          <m:groupChrPr>
                            <m:chr m:val="¯"/>
                            <m:pos m:val="top"/>
                          </m:groupChrPr>
                          <m:e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q</m:t>
                                </m:r>
                              </m:e>
                            </m:box>
                          </m:e>
                        </m:groupCh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rPr>
                            <m:sty m:val="p"/>
                          </m:rPr>
                          <m:t>‖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  <m:r>
                      <m:t/>
                    </m:r>
                    <m:r>
                      <m:rPr>
                        <m:sty m:val="p"/>
                      </m:rPr>
                      <m:t>‖</m:t>
                    </m:r>
                    <m:sSub>
                      <m:e>
                        <m:r>
                          <m:rPr>
                            <m:sty m:val="i"/>
                          </m:rPr>
                          <m:t>f</m:t>
                        </m:r>
                      </m:e>
                      <m:sub>
                        <m:r>
                          <m:rPr>
                            <m:sty m:val="i"/>
                          </m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rPr>
                            <m:sty m:val="p"/>
                          </m:rPr>
                          <m:t>‖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</m:e>
                </m:box>
              </m:den>
            </m:f>
            <m:r>
              <m:rPr>
                <m:sty m:val="p"/>
              </m:rPr>
              <m:t>.</m:t>
            </m:r>
          </m:e>
        </m:box>
      </m:oMath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蒸馏在</w:t>
      </w:r>
      <w:r>
        <w:rPr>
          <w:rFonts w:ascii="Times New Roman" w:hAnsi="Times New Roman" w:eastAsia="宋体"/>
          <w:b/>
          <w:sz w:val="21"/>
        </w:rPr>
        <w:t>图像级</w:t>
      </w:r>
      <w:r>
        <w:rPr>
          <w:rFonts w:ascii="Times New Roman" w:hAnsi="Times New Roman" w:eastAsia="宋体"/>
          <w:b w:val="0"/>
          <w:sz w:val="21"/>
        </w:rPr>
        <w:t>而非标记级——这与教师模型是全图嵌入相匹配。总训练目标结合重建、L0 蒸馏与 §3.2 的 RVQ 承诺损失：</w:t>
      </w:r>
    </w:p>
    <w:p>
      <w:pPr>
        <w:widowControl/>
        <w:spacing w:line="240" w:lineRule="auto" w:before="60" w:after="100"/>
        <w:ind w:firstLine="0"/>
        <w:jc w:val="center"/>
      </w:pPr>
      <m:oMath>
        <m:box>
          <m:e>
            <m:r>
              <m:rPr>
                <m:sty m:val="i"/>
              </m:rPr>
              <m:t>ℒ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ℒ</m:t>
                </m:r>
              </m:e>
              <m:sub>
                <m:box>
                  <m:e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c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ℒ</m:t>
                </m:r>
              </m:e>
              <m:sub>
                <m:box>
                  <m:e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λ</m:t>
            </m:r>
            <m:sSub>
              <m:e>
                <m:r>
                  <m:rPr>
                    <m:sty m:val="i"/>
                  </m:rPr>
                  <m:t>ℒ</m:t>
                </m:r>
              </m:e>
              <m:sub>
                <m:box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l</m:t>
                    </m:r>
                  </m:e>
                </m:box>
              </m:sub>
            </m:sSub>
            <m:r>
              <m:rPr>
                <m:sty m:val="p"/>
              </m:rPr>
              <m:t>.</m:t>
            </m:r>
          </m:e>
        </m:box>
      </m:oMath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其中 </w:t>
      </w:r>
      <m:oMath>
        <m:box>
          <m:e>
            <m:sSub>
              <m:e>
                <m:r>
                  <m:rPr>
                    <m:sty m:val="i"/>
                  </m:rPr>
                  <m:t>ℒ</m:t>
                </m:r>
              </m:e>
              <m:sub>
                <m:box>
                  <m:e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c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本身是 </w:t>
      </w:r>
      <m:oMath>
        <m:box>
          <m:e>
            <m:sSub>
              <m:e>
                <m:r>
                  <m:rPr>
                    <m:sty m:val="i"/>
                  </m:rPr>
                  <m:t>ℓ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与学习感知图像块相似度（Learned Perceptual Image Patch Similarity, LPIPS）损失的加权和，具体权重（</w:t>
      </w:r>
      <m:oMath>
        <m:box>
          <m:e>
            <m:sSub>
              <m:e>
                <m:r>
                  <m:rPr>
                    <m:sty m:val="i"/>
                  </m:rPr>
                  <m:t>w</m:t>
                </m:r>
              </m:e>
              <m:sub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ℓ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、</w:t>
      </w:r>
      <m:oMath>
        <m:box>
          <m:e>
            <m:sSub>
              <m:e>
                <m:r>
                  <m:rPr>
                    <m:sty m:val="i"/>
                  </m:rPr>
                  <m:t>w</m:t>
                </m:r>
              </m:e>
              <m:sub>
                <m:box>
                  <m:e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0.1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、</w:t>
      </w:r>
      <m:oMath>
        <m:box>
          <m:e>
            <m:sSub>
              <m:e>
                <m:r>
                  <m:rPr>
                    <m:sty m:val="i"/>
                  </m:rPr>
                  <m:t>w</m:t>
                </m:r>
              </m:e>
              <m:sub>
                <m:box>
                  <m:e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、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0.5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）见 §4.1.2。主模型取 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0.5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，源自 §4.6.4 的折中调参，在"无信道下语义准确率"与"信道鲁棒性"之间平衡。无蒸馏内部基线令 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，但保留完全相同的架构和训练协议。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3.4 信道模型与评估指标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信道模型。</w:t>
      </w:r>
      <w:r>
        <w:rPr>
          <w:rFonts w:ascii="Times New Roman" w:hAnsi="Times New Roman" w:eastAsia="宋体"/>
          <w:b w:val="0"/>
          <w:sz w:val="21"/>
        </w:rPr>
        <w:t xml:space="preserve"> 设前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层 RVQ 的索引比特序列为 </w:t>
      </w:r>
      <m:oMath>
        <m:box>
          <m:e>
            <m:r>
              <m:rPr>
                <m:sty m:val="i"/>
              </m:rPr>
              <m:t>𝐛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sSup>
              <m:e>
                <m:r>
                  <m:rPr>
                    <m:sty m:val="p"/>
                  </m:rPr>
                  <m:t>}</m:t>
                </m:r>
              </m:e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。二进制相移键控（Binary Phase Shift Keying, BPSK）调制把每个比特映射到一个实数符号 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。接收端在第 </w:t>
      </w:r>
      <m:oMath>
        <m:box>
          <m:e>
            <m:r>
              <m:rPr>
                <m:sty m:val="i"/>
              </m:rPr>
              <m:t>i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个符号时刻收到</w:t>
      </w:r>
    </w:p>
    <w:p>
      <w:pPr>
        <w:widowControl/>
        <w:spacing w:line="240" w:lineRule="auto" w:before="60" w:after="100"/>
        <w:ind w:firstLine="0"/>
        <w:jc w:val="center"/>
      </w:pP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t/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i"/>
              </m:rPr>
              <m:t>~</m:t>
            </m:r>
            <m:box>
              <m:e>
                <m:r>
                  <m:rPr>
                    <m:scr m:val="script"/>
                    <m:sty m:val="i"/>
                  </m:rPr>
                  <m:t>C</m:t>
                </m:r>
                <m:r>
                  <m:rPr>
                    <m:scr m:val="script"/>
                    <m:sty m:val="i"/>
                  </m:rPr>
                  <m:t>N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sSup>
              <m:e>
                <m:r>
                  <m:rPr>
                    <m:sty m:val="i"/>
                  </m:rPr>
                  <m:t>σ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</m:e>
        </m:box>
      </m:oMath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其中 AWGN 信道下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≡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，Rayleigh 衰落信道下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i"/>
              </m:rPr>
              <m:t>~</m:t>
            </m:r>
            <m:box>
              <m:e>
                <m:r>
                  <m:rPr>
                    <m:scr m:val="script"/>
                    <m:sty m:val="i"/>
                  </m:rPr>
                  <m:t>C</m:t>
                </m:r>
                <m:r>
                  <m:rPr>
                    <m:scr m:val="script"/>
                    <m:sty m:val="i"/>
                  </m:rPr>
                  <m:t>N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在每个符号时刻独立采样 [17]。信噪比按</w:t>
      </w:r>
      <w:r>
        <w:rPr>
          <w:rFonts w:ascii="Times New Roman" w:hAnsi="Times New Roman" w:eastAsia="宋体"/>
          <w:b/>
          <w:sz w:val="21"/>
        </w:rPr>
        <w:t>复噪声总方差</w:t>
      </w:r>
      <w:r>
        <w:rPr>
          <w:rFonts w:ascii="Times New Roman" w:hAnsi="Times New Roman" w:eastAsia="宋体"/>
          <w:b w:val="0"/>
          <w:sz w:val="21"/>
        </w:rPr>
        <w:t xml:space="preserve">定义为 </w:t>
      </w:r>
      <m:oMath>
        <m:box>
          <m:e>
            <m:box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R</m:t>
                </m:r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i"/>
                  </m:rPr>
                  <m:t>σ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（dB 形式 </w:t>
      </w:r>
      <m:oMath>
        <m:box>
          <m:e>
            <m:r>
              <m:rPr>
                <m:sty m:val="p"/>
              </m:rPr>
              <m:t>10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box>
                  <m:e>
                    <m:r>
                      <m:rPr>
                        <m:sty m:val="p"/>
                      </m:rPr>
                      <m:t>10</m:t>
                    </m:r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i"/>
                  </m:rPr>
                  <m:t>σ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）；该约定与 §4.3.1 和附录 A 中 ADJSCC 训练时使用的 SNR 网格一致，因此所有跨方法 SNR 比较都在同一物理量下进行。</w:t>
      </w:r>
      <w:r>
        <w:rPr>
          <w:rFonts w:ascii="Times New Roman" w:hAnsi="Times New Roman" w:eastAsia="宋体"/>
          <w:b/>
          <w:sz w:val="21"/>
        </w:rPr>
        <w:t>假设接收端拥有完美的信道状态信息（Channel State Information, CSI）</w:t>
      </w:r>
      <w:r>
        <w:rPr>
          <w:rFonts w:ascii="Times New Roman" w:hAnsi="Times New Roman" w:eastAsia="宋体"/>
          <w:b w:val="0"/>
          <w:sz w:val="21"/>
        </w:rPr>
        <w:t>，做相干硬判决恢复比特：</w:t>
      </w:r>
    </w:p>
    <w:p>
      <w:pPr>
        <w:widowControl/>
        <w:spacing w:line="240" w:lineRule="auto" w:before="60" w:after="100"/>
        <w:ind w:firstLine="0"/>
        <w:jc w:val="center"/>
      </w:pPr>
      <m:oMath>
        <m:box>
          <m:e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den>
                </m:f>
              </m:e>
            </m:box>
            <m:d>
              <m:dPr>
                <m:begChr m:val="("/>
                <m:endChr m:val=")"/>
              </m:dPr>
              <m:e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box>
                      <m:e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  <m:r>
                      <m:t/>
                    </m:r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</m:e>
                            </m:box>
                            <m:r>
                              <m:rPr>
                                <m:sty m:val="p"/>
                              </m:rPr>
                              <m:t>{</m:t>
                            </m:r>
                            <m:sSubSup>
                              <m:e>
                                <m:r>
                                  <m:rPr>
                                    <m:sty m:val="i"/>
                                  </m:rPr>
                                  <m:t>h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i</m:t>
                                </m:r>
                              </m:sub>
                              <m:sup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e>
                                </m:box>
                              </m:sup>
                            </m:sSubSup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}</m:t>
                            </m:r>
                          </m:e>
                        </m:box>
                      </m:e>
                    </m:d>
                  </m:e>
                </m:box>
              </m:e>
            </m:d>
            <m:r>
              <m:rPr>
                <m:sty m:val="p"/>
              </m:rPr>
              <m:t>,</m:t>
            </m:r>
          </m:e>
        </m:box>
      </m:oMath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随后按码本大小重组成索引 </w:t>
      </w:r>
      <m:oMath>
        <m:box>
          <m:e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  <m:r>
                      <m:rPr>
                        <m:sty m:val="i"/>
                      </m:rPr>
                      <m:t>:</m:t>
                    </m:r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>。本节信道实验</w:t>
      </w:r>
      <w:r>
        <w:rPr>
          <w:rFonts w:ascii="Times New Roman" w:hAnsi="Times New Roman" w:eastAsia="宋体"/>
          <w:b/>
          <w:sz w:val="21"/>
        </w:rPr>
        <w:t>不</w:t>
      </w:r>
      <w:r>
        <w:rPr>
          <w:rFonts w:ascii="Times New Roman" w:hAnsi="Times New Roman" w:eastAsia="宋体"/>
          <w:b w:val="0"/>
          <w:sz w:val="21"/>
        </w:rPr>
        <w:t>插入纠错码；§4.3.2 在 RS-Token 与传统编解码器之间公平地附加同一 rate-1/2 LDPC 保护，独立报告。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任务路径评估。</w:t>
      </w:r>
      <w:r>
        <w:rPr>
          <w:rFonts w:ascii="Times New Roman" w:hAnsi="Times New Roman" w:eastAsia="宋体"/>
          <w:b w:val="0"/>
          <w:sz w:val="21"/>
        </w:rPr>
        <w:t xml:space="preserve"> 设第 </w:t>
      </w:r>
      <m:oMath>
        <m:box>
          <m:e>
            <m:r>
              <m:rPr>
                <m:sty m:val="i"/>
              </m:rPr>
              <m:t>ℓ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层码本大小为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ℓ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，第 </w:t>
      </w:r>
      <m:oMath>
        <m:box>
          <m:e>
            <m:r>
              <m:rPr>
                <m:sty m:val="i"/>
              </m:rPr>
              <m:t>ℓ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层在第 </w:t>
      </w:r>
      <m:oMath>
        <m:box>
          <m:e>
            <m:r>
              <m:rPr>
                <m:sty m:val="i"/>
              </m:rPr>
              <m:t>t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个空间标记位置接收到的索引为 </w:t>
      </w:r>
      <m:oMath>
        <m:box>
          <m:e>
            <m:sSubSup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i"/>
                  </m:rPr>
                  <m:t>ℓ</m:t>
                </m:r>
              </m:sub>
              <m:sup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sup>
            </m:sSubSup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ℓ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，标记网格大小为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16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16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256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。L0 词袋（Bag-of-Words, BoW）特征是对 L0 码字使用频次的归一化直方图：</w:t>
      </w:r>
    </w:p>
    <w:p>
      <w:pPr>
        <w:widowControl/>
        <w:spacing w:line="240" w:lineRule="auto" w:before="60" w:after="100"/>
        <w:ind w:firstLine="0"/>
        <w:jc w:val="center"/>
      </w:pP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j</m:t>
                    </m:r>
                  </m:e>
                </m:box>
              </m:sub>
            </m:sSub>
            <m:r>
              <m:t/>
            </m:r>
            <m:r>
              <m:rPr>
                <m:sty m:val="p"/>
              </m:rPr>
              <m:t>=</m:t>
            </m:r>
            <m:r>
              <m:t/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T</m:t>
                    </m:r>
                  </m:e>
                </m:box>
              </m:den>
            </m:f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T</m:t>
                    </m:r>
                  </m:e>
                </m:box>
              </m:sup>
              <m:e>
                <m:box>
                  <m:e>
                    <m:r>
                      <m:rPr>
                        <m:sty m:val="b"/>
                      </m:rPr>
                      <m:t>1</m:t>
                    </m:r>
                  </m:e>
                </m:box>
                <m:r>
                  <m:t/>
                </m:r>
                <m:d>
                  <m:dPr>
                    <m:begChr m:val="["/>
                    <m:endChr m:val="]"/>
                  </m:dPr>
                  <m:e>
                    <m:box>
                      <m:e>
                        <m:sSubSup>
                          <m:e>
                            <m:limUpp>
                              <m:e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z</m:t>
                                    </m:r>
                                  </m:e>
                                </m:box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^</m:t>
                                </m:r>
                              </m:lim>
                            </m:limUpp>
                          </m:e>
                          <m:sub>
                            <m:r>
                              <m:rPr>
                                <m:sty m:val="p"/>
                              </m:rPr>
                              <m:t>0</m:t>
                            </m:r>
                          </m:sub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rPr>
                                    <m:sty m:val="i"/>
                                  </m:rPr>
                                  <m:t>t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i"/>
                          </m:rPr>
                          <m:t>j</m:t>
                        </m:r>
                      </m:e>
                    </m:box>
                  </m:e>
                </m:d>
                <m:r>
                  <m:rPr>
                    <m:sty m:val="p"/>
                  </m:rPr>
                  <m:t>,</m:t>
                </m:r>
                <m:r>
                  <m:t/>
                </m:r>
                <m:r>
                  <m:rPr>
                    <m:sty m:val="i"/>
                  </m:rPr>
                  <m:t>j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rPr>
                        <m:sty m:val="i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,</m:t>
                </m:r>
              </m:e>
            </m:nary>
          </m:e>
        </m:box>
      </m:oMath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得到 </w:t>
      </w:r>
      <m:oMath>
        <m:box>
          <m:e>
            <m:sSub>
              <m:e>
                <m:r>
                  <m:rPr>
                    <m:sty m:val="i"/>
                  </m:rPr>
                  <m:t>𝐡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ℝ</m:t>
                </m:r>
              </m:e>
              <m:sup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</m:e>
                </m:box>
              </m:sup>
            </m:sSup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（本文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1024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）。词袋表示</w:t>
      </w:r>
      <w:r>
        <w:rPr>
          <w:rFonts w:ascii="Times New Roman" w:hAnsi="Times New Roman" w:eastAsia="宋体"/>
          <w:b/>
          <w:sz w:val="21"/>
        </w:rPr>
        <w:t>有意丢弃标记网格的空间维度</w:t>
      </w:r>
      <w:r>
        <w:rPr>
          <w:rFonts w:ascii="Times New Roman" w:hAnsi="Times New Roman" w:eastAsia="宋体"/>
          <w:b w:val="0"/>
          <w:sz w:val="21"/>
        </w:rPr>
        <w:t xml:space="preserve">——它作为图像级场景标签的最简代理，充分支撑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任务路径声明，但区域级任务（检测 / 分割）需要保留空间结构（§5.3）。在 </w:t>
      </w:r>
      <m:oMath>
        <m:box>
          <m:e>
            <m:sSub>
              <m:e>
                <m:r>
                  <m:rPr>
                    <m:sty m:val="i"/>
                  </m:rPr>
                  <m:t>𝐡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上训练线性分类器 </w:t>
      </w:r>
      <m:oMath>
        <m:box>
          <m:e>
            <m:r>
              <m:rPr>
                <m:sty m:val="i"/>
              </m:rPr>
              <m:t>W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做 30 类 AID 场景分类，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y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p"/>
              </m:rPr>
              <m:t>\arg</m:t>
            </m:r>
            <m:sSub>
              <m:e>
                <m:r>
                  <m:rPr>
                    <m:sty m:val="p"/>
                  </m:rPr>
                  <m:t>max</m:t>
                </m:r>
              </m:e>
              <m:sub>
                <m:box>
                  <m:e>
                    <m:r>
                      <m:rPr>
                        <m:sty m:val="i"/>
                      </m:rPr>
                      <m:t>c</m:t>
                    </m:r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W</m:t>
            </m:r>
            <m:sSub>
              <m:e>
                <m:r>
                  <m:rPr>
                    <m:sty m:val="i"/>
                  </m:rPr>
                  <m:t>𝐡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rPr>
                    <m:sty m:val="i"/>
                  </m:rPr>
                  <m:t>c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；任务路径准确率即 </w:t>
      </w:r>
      <m:oMath>
        <m:box>
          <m:e>
            <m:r>
              <m:rPr>
                <m:sty m:val="i"/>
              </m:rPr>
              <m:t>𝔼</m:t>
            </m:r>
            <m:r>
              <m:rPr>
                <m:sty m:val="p"/>
              </m:rPr>
              <m:t>[</m:t>
            </m:r>
            <m:box>
              <m:e>
                <m:r>
                  <m:rPr>
                    <m:sty m:val="b"/>
                  </m:rPr>
                  <m:t>1</m:t>
                </m:r>
              </m:e>
            </m:box>
            <m:r>
              <m:rPr>
                <m:sty m:val="p"/>
              </m:rPr>
              <m:t>[</m:t>
            </m:r>
            <m:limUpp>
              <m:e>
                <m:box>
                  <m:e>
                    <m:r>
                      <m:rPr>
                        <m:sty m:val="i"/>
                      </m:rPr>
                      <m:t>y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。该指标</w:t>
      </w:r>
      <w:r>
        <w:rPr>
          <w:rFonts w:ascii="Times New Roman" w:hAnsi="Times New Roman" w:eastAsia="宋体"/>
          <w:b/>
          <w:sz w:val="21"/>
        </w:rPr>
        <w:t xml:space="preserve">专门支撑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b/>
          <w:sz w:val="21"/>
        </w:rPr>
        <w:t xml:space="preserve"> 任务路径声明</w:t>
      </w:r>
      <w:r>
        <w:rPr>
          <w:rFonts w:ascii="Times New Roman" w:hAnsi="Times New Roman" w:eastAsia="宋体"/>
          <w:b w:val="0"/>
          <w:sz w:val="21"/>
        </w:rPr>
        <w:t xml:space="preserve">，多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重建质量另由下文重建路径指标支撑。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重建路径评估。</w:t>
      </w:r>
      <w:r>
        <w:rPr>
          <w:rFonts w:ascii="Times New Roman" w:hAnsi="Times New Roman" w:eastAsia="宋体"/>
          <w:b w:val="0"/>
          <w:sz w:val="21"/>
        </w:rPr>
        <w:t xml:space="preserve"> 给定接收索引 </w:t>
      </w:r>
      <m:oMath>
        <m:box>
          <m:e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  <m:r>
                      <m:rPr>
                        <m:sty m:val="i"/>
                      </m:rPr>
                      <m:t>:</m:t>
                    </m:r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，解码器输出重建 </w:t>
      </w:r>
      <m:oMath>
        <m:box>
          <m:e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i"/>
                  </m:rP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i"/>
                  </m:rPr>
                  <m:t>ϕ</m:t>
                </m:r>
              </m:sub>
            </m:sSub>
            <m:r>
              <m:t/>
            </m:r>
            <m:d>
              <m:dPr>
                <m:begChr m:val="("/>
                <m:endChr m:val=")"/>
              </m:dPr>
              <m:e>
                <m:box>
                  <m:e>
                    <m:nary>
                      <m:naryPr>
                        <m:chr m:val="∑"/>
                        <m:limLoc m:val="undOvr"/>
                      </m:naryPr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ℓ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rPr>
                                <m:sty m:val="p"/>
                              </m:rPr>
                              <m:t>0</m:t>
                            </m:r>
                          </m:e>
                        </m:box>
                      </m:sub>
                      <m:sup>
                        <m:box>
                          <m:e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p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c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ℓ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>
                                  <m:e>
                                    <m:limUpp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z</m:t>
                                            </m:r>
                                          </m:e>
                                        </m:box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m:t>^</m:t>
                                        </m:r>
                                      </m:lim>
                                    </m:limUpp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m:t>ℓ</m:t>
                                    </m:r>
                                  </m:sub>
                                </m:sSub>
                              </m:e>
                            </m:box>
                          </m:sub>
                        </m:sSub>
                      </m:e>
                    </m:nary>
                  </m:e>
                </m:box>
              </m:e>
            </m:d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，与 §3.2 中训练时的解码同形。PSNR 在 </w:t>
      </w:r>
      <m:oMath>
        <m:box>
          <m:e>
            <m:r>
              <m:rPr>
                <m:sty m:val="p"/>
              </m:rPr>
              <m:t>[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归一化像素域定义为</w:t>
      </w:r>
    </w:p>
    <w:p>
      <w:pPr>
        <w:widowControl/>
        <w:spacing w:line="240" w:lineRule="auto" w:before="60" w:after="100"/>
        <w:ind w:firstLine="0"/>
        <w:jc w:val="center"/>
      </w:pPr>
      <m:oMath>
        <m:box>
          <m:e>
            <m:box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R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i"/>
                  </m:rPr>
                  <m:t>k</m:t>
                </m:r>
              </m:sub>
            </m:sSub>
            <m:r>
              <m:rPr>
                <m:sty m:val="p"/>
              </m:rPr>
              <m:t>)</m:t>
            </m:r>
            <m:r>
              <m:t/>
            </m:r>
            <m:r>
              <m:rPr>
                <m:sty m:val="p"/>
              </m:rPr>
              <m:t>=</m:t>
            </m:r>
            <m:r>
              <m:t/>
            </m:r>
            <m:r>
              <m:rPr>
                <m:sty m:val="p"/>
              </m:rPr>
              <m:t>10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box>
                  <m:e>
                    <m:r>
                      <m:rPr>
                        <m:sty m:val="p"/>
                      </m:rPr>
                      <m:t>10</m:t>
                    </m:r>
                  </m:e>
                </m:box>
              </m:sub>
            </m:sSub>
            <m:r>
              <m:t/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E</m:t>
                        </m:r>
                      </m:e>
                    </m:box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limUpp>
                          <m:e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x</m:t>
                                </m:r>
                              </m:e>
                            </m:box>
                          </m:e>
                          <m:lim>
                            <m:r>
                              <m:rPr>
                                <m:sty m:val="p"/>
                              </m:rPr>
                              <m:t>^</m:t>
                            </m:r>
                          </m:lim>
                        </m:limUpp>
                      </m:e>
                      <m:sub>
                        <m:r>
                          <m:rPr>
                            <m:sty m:val="i"/>
                          </m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t/>
            </m:r>
            <m:box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i"/>
                  </m:rPr>
                  <m:t>k</m:t>
                </m:r>
              </m:sub>
            </m:sSub>
            <m:r>
              <m:rPr>
                <m:sty m:val="p"/>
              </m:rPr>
              <m:t>)</m:t>
            </m:r>
            <m:r>
              <m:t/>
            </m:r>
            <m:r>
              <m:rPr>
                <m:sty m:val="p"/>
              </m:rPr>
              <m:t>=</m:t>
            </m:r>
            <m:r>
              <m:t/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i"/>
                      </m:rPr>
                      <m:t>H</m:t>
                    </m:r>
                    <m:r>
                      <m:rPr>
                        <m:sty m:val="i"/>
                      </m:rPr>
                      <m:t>W</m:t>
                    </m:r>
                  </m:e>
                </m:box>
              </m:den>
            </m:f>
            <m:r>
              <m:t/>
            </m:r>
            <m:r>
              <m:rPr>
                <m:sty m:val="p"/>
              </m:rPr>
              <m:t>‖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i"/>
                  </m:rPr>
                  <m:t>k</m:t>
                </m:r>
              </m:sub>
            </m:sSub>
            <m:sSubSup>
              <m:e>
                <m:r>
                  <m:rPr>
                    <m:sty m:val="p"/>
                  </m:rPr>
                  <m:t>‖</m:t>
                </m:r>
              </m:e>
              <m:sub>
                <m:r>
                  <m:rPr>
                    <m:sty m:val="p"/>
                  </m:rPr>
                  <m:t>2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>.</m:t>
            </m:r>
          </m:e>
        </m:box>
      </m:oMath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其中 MSE 为均方误差（Mean Squared Error）。LPIPS 取 [16] 的 AlexNet 主干默认实现。重建图分类准确率使用一个</w:t>
      </w:r>
      <w:r>
        <w:rPr>
          <w:rFonts w:ascii="Times New Roman" w:hAnsi="Times New Roman" w:eastAsia="宋体"/>
          <w:b/>
          <w:sz w:val="21"/>
        </w:rPr>
        <w:t>在干净 AID 上训练的 ResNet34 分类器</w:t>
      </w:r>
      <w:r>
        <w:rPr>
          <w:rFonts w:ascii="Times New Roman" w:hAnsi="Times New Roman" w:eastAsia="宋体"/>
          <w:b w:val="0"/>
          <w:sz w:val="21"/>
        </w:rPr>
        <w:t xml:space="preserve"> </w:t>
      </w:r>
      <m:oMath>
        <m:box>
          <m:e>
            <m:sSub>
              <m:e>
                <m:r>
                  <m:rPr>
                    <m:sty m:val="i"/>
                  </m:rPr>
                  <m:t>f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>：</w:t>
      </w:r>
    </w:p>
    <w:p>
      <w:pPr>
        <w:widowControl/>
        <w:spacing w:line="240" w:lineRule="auto" w:before="60" w:after="100"/>
        <w:ind w:firstLine="0"/>
        <w:jc w:val="center"/>
      </w:pPr>
      <m:oMath>
        <m:box>
          <m:e>
            <m:sSub>
              <m:e>
                <m:box>
                  <m:e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c</m:t>
                    </m:r>
                  </m:e>
                </m:box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  <m:r>
              <m:t/>
            </m:r>
            <m:r>
              <m:rPr>
                <m:sty m:val="p"/>
              </m:rPr>
              <m:t>=</m:t>
            </m:r>
            <m:r>
              <m:t/>
            </m:r>
            <m:r>
              <m:rPr>
                <m:sty m:val="i"/>
              </m:rPr>
              <m:t>𝔼</m:t>
            </m:r>
            <m:d>
              <m:dPr>
                <m:begChr m:val="["/>
                <m:endChr m:val="]"/>
              </m:dPr>
              <m:e>
                <m:box>
                  <m:e>
                    <m:box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</m:box>
                    <m:r>
                      <m:t/>
                    </m:r>
                    <m:d>
                      <m:dPr>
                        <m:begChr m:val="["/>
                        <m:endChr m:val="]"/>
                      </m:dPr>
                      <m:e>
                        <m:box>
                          <m:e>
                            <m:r>
                              <m:rPr>
                                <m:sty m:val="p"/>
                              </m:rPr>
                              <m:t>\arg</m:t>
                            </m:r>
                            <m:r>
                              <m:rPr>
                                <m:sty m:val="p"/>
                              </m:rPr>
                              <m:t>max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f</m:t>
                                </m:r>
                              </m:e>
                              <m:sub>
                                <m:box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c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l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s</m:t>
                                        </m:r>
                                      </m:e>
                                    </m:box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limUpp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</m:e>
                                    </m:box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^</m:t>
                                    </m:r>
                                  </m:lim>
                                </m:limUpp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e>
                    </m:d>
                  </m:e>
                </m:box>
              </m:e>
            </m:d>
            <m:r>
              <m:rPr>
                <m:sty m:val="p"/>
              </m:rPr>
              <m:t>,</m:t>
            </m:r>
          </m:e>
        </m:box>
      </m:oMath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其中 </w:t>
      </w:r>
      <m:oMath>
        <m:box>
          <m:e>
            <m:sSub>
              <m:e>
                <m:r>
                  <m:rPr>
                    <m:sty m:val="i"/>
                  </m:rPr>
                  <m:t>f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在干净 AID 图像上独立训练（与 RVQ 标记器共用同一 8000/1000/1000 划分——训练集用于训练、验证集用于选最优检查点、测试集仅用于一次性评估），达到 96.10% 测试集 top-1 准确率与 95.94% macro-F1，是"重建是否保留场景识别线索"的稳定代理。所有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的声明只由这些</w:t>
      </w:r>
      <w:r>
        <w:rPr>
          <w:rFonts w:ascii="Times New Roman" w:hAnsi="Times New Roman" w:eastAsia="宋体"/>
          <w:b/>
          <w:sz w:val="21"/>
        </w:rPr>
        <w:t>重建路径指标</w:t>
      </w:r>
      <w:r>
        <w:rPr>
          <w:rFonts w:ascii="Times New Roman" w:hAnsi="Times New Roman" w:eastAsia="宋体"/>
          <w:b w:val="0"/>
          <w:sz w:val="21"/>
        </w:rPr>
        <w:t xml:space="preserve">支持，不由 </w:t>
      </w:r>
      <m:oMath>
        <m:box>
          <m:e>
            <m:sSub>
              <m:e>
                <m:r>
                  <m:rPr>
                    <m:sty m:val="i"/>
                  </m:rPr>
                  <m:t>𝐡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支持。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 w:eastAsia="宋体"/>
          <w:b/>
          <w:sz w:val="28"/>
        </w:rPr>
        <w:t>4. 实验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本节首先介绍数据集、实现细节、评价协议与对比方法（§4.1），随后报告低码率任务性能、蒸馏位置、渐进式重建和连续 SNR 扫描结果（§4.2）。§4.3 将 RS-Token 与现代 deep-JSCC 及传统编解码器 + LDPC 方案比较，§4.4 评估跨数据集泛化，§4.5 给出无保护传统码流压力测试，§4.6 从 RVQ 深度、编码器形式、教师模型和蒸馏权重四个方面进行消融。各实验分别使用与其研究问题对应的任务指标、重建指标或解码失败率。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为避免指标混用，评估分为：</w:t>
      </w:r>
    </w:p>
    <w:p>
      <w:pPr>
        <w:widowControl/>
        <w:spacing w:line="324" w:lineRule="auto" w:before="0" w:after="40"/>
        <w:ind w:left="420" w:hanging="240"/>
        <w:jc w:val="both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任务路径</w:t>
      </w:r>
      <w:r>
        <w:rPr>
          <w:rFonts w:ascii="Times New Roman" w:hAnsi="Times New Roman" w:eastAsia="宋体"/>
          <w:b w:val="0"/>
          <w:sz w:val="21"/>
        </w:rPr>
        <w:t xml:space="preserve">：只用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/L0 词袋准确率，仅支持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低码率语义声明。</w:t>
      </w:r>
    </w:p>
    <w:p>
      <w:pPr>
        <w:widowControl/>
        <w:spacing w:line="324" w:lineRule="auto" w:before="0" w:after="40"/>
        <w:ind w:left="420" w:hanging="240"/>
        <w:jc w:val="both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分层线性探针</w:t>
      </w:r>
      <w:r>
        <w:rPr>
          <w:rFonts w:ascii="Times New Roman" w:hAnsi="Times New Roman" w:eastAsia="宋体"/>
          <w:b w:val="0"/>
          <w:sz w:val="21"/>
        </w:rPr>
        <w:t>：用累积码字嵌入分析 L0 与 L1–L3 的语义分工。</w:t>
      </w:r>
    </w:p>
    <w:p>
      <w:pPr>
        <w:widowControl/>
        <w:spacing w:line="324" w:lineRule="auto" w:before="0" w:after="40"/>
        <w:ind w:left="420" w:hanging="240"/>
        <w:jc w:val="both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重建路径</w:t>
      </w:r>
      <w:r>
        <w:rPr>
          <w:rFonts w:ascii="Times New Roman" w:hAnsi="Times New Roman" w:eastAsia="宋体"/>
          <w:b w:val="0"/>
          <w:sz w:val="21"/>
        </w:rPr>
        <w:t xml:space="preserve">：用 PSNR、LPIPS、干净 AID 上训练的 ResNet34 重建图分类器，支持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重建声明。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也就是说：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>/L0 词袋与分层探针不被用作多层重建质量证据；PSNR/LPIPS 单独不被用作"L0 是否语义"的证据。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4.1 实验设置</w:t>
      </w:r>
    </w:p>
    <w:p>
      <w:pPr>
        <w:pStyle w:val="Heading3"/>
        <w:keepNext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4.1.1 数据集与预处理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主要实验使用 30 类 AID 航空场景数据集 [18]，采用固定的按类分层训练集、验证集和测试集划分，样本数分别为 8,000、1,000 和 1,000（80%/10%/10%）。30 个类别均出现在每个子集中；训练集每类包含 176–336 张图像（均值 266.7），验证集和测试集每类包含 22–42 张图像（均值 33.3）。跨数据集实验另采用 NWPU-RESISC45 [19]，具体协议见 §4.4。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训练阶段采用随机裁剪并缩放至 </w:t>
      </w:r>
      <m:oMath>
        <m:box>
          <m:e>
            <m:r>
              <m:rPr>
                <m:sty m:val="p"/>
              </m:rPr>
              <m:t>256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256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，评估阶段采用缩放和中心裁剪得到相同分辨率；训练与评估使用一致的图像归一化方式。</w:t>
      </w:r>
    </w:p>
    <w:p>
      <w:pPr>
        <w:pStyle w:val="Heading3"/>
        <w:keepNext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4.1.2 实现细节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RS-Token 的四层 RVQ 标记器接收 </w:t>
      </w:r>
      <m:oMath>
        <m:box>
          <m:e>
            <m:r>
              <m:rPr>
                <m:sty m:val="p"/>
              </m:rPr>
              <m:t>256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256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RGB（红绿蓝三通道）输入；潜在标记网格 </w:t>
      </w:r>
      <m:oMath>
        <m:box>
          <m:e>
            <m:r>
              <m:rPr>
                <m:sty m:val="p"/>
              </m:rPr>
              <m:t>16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16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，潜在维度 256，码本大小 1024。每层包含 256 个离散符号，每个用 </w:t>
      </w:r>
      <m:oMath>
        <m:box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1024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10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比特表示，因此每层负载为 2,560 比特/图像，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分别对应 2,560、5,120、7,680、10,240 比特/图像。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所有模型均训练 50 轮，批次大小为 16，采用 AdamW 优化器、</w:t>
      </w:r>
      <m:oMath>
        <m:box>
          <m:e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4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初始学习率、梯度裁剪和 bf16 自动混合精度（Automatic Mixed Precision, AMP）。</w:t>
      </w:r>
      <m:oMath>
        <m:box>
          <m:e>
            <m:sSub>
              <m:e>
                <m:r>
                  <m:rPr>
                    <m:sty m:val="i"/>
                  </m:rPr>
                  <m:t>ℓ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、LPIPS [16]、RVQ 和蒸馏损失的权重依次为 1、0.1、1 和 0.5，LPIPS 使用 AlexNet 主干。教师模型为冻结的 RemoteCLIP Vision Transformer-B/32 [7]，蒸馏投影头 </w:t>
      </w:r>
      <m:oMath>
        <m:box>
          <m:e>
            <m:sSub>
              <m:e>
                <m:r>
                  <m:rPr>
                    <m:sty m:val="i"/>
                  </m:rPr>
                  <m:t>g</m:t>
                </m:r>
              </m:e>
              <m:sub>
                <m:r>
                  <m:rPr>
                    <m:sty m:val="i"/>
                  </m:rPr>
                  <m:t>ψ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的隐藏维度为 512。</w:t>
      </w:r>
    </w:p>
    <w:p>
      <w:pPr>
        <w:pStyle w:val="Heading3"/>
        <w:keepNext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4.1.3 评价协议与对比方法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任务路径从接收的 L0 索引构造 1024 维词袋特征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，并训练线性分类器完成 AID 30 类场景分类。重建路径从前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层 RVQ 索引解码图像，报告 PSNR、LPIPS，以及在干净 AID 图像上训练的 ResNet34 对重建图像的分类准确率。除非另有说明，结果均报告随机种子 41、42 和 43 的均值与标准差；单种子实验在表题或正文中明确标注。信道实验将 RVQ 索引比特映射为 BPSK 符号，经 AWGN 或 Rayleigh 信道传输 [17]，接收端通过硬判决恢复索引。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内部对照包括无蒸馏 RVQ 基线和 L0 蒸馏模型。前者仅使用重建损失与 RVQ 量化损失，后者在相同架构和传输协议下加入 §3.3 的 RemoteCLIP 蒸馏项。外部比较包括连续表示的 ADJSCC、传统 JPEG2000/WebP 编解码器，以及采用相同 rate-1/2 LDPC 保护的数字传输方案；各基线的训练方式、速率匹配条件和适用范围分别在 §4.3 与 §4.5 中说明。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4.2 主要结果</w:t>
      </w:r>
    </w:p>
    <w:p>
      <w:pPr>
        <w:pStyle w:val="Heading3"/>
        <w:keepNext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4.2.1 低码率任务性能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RS-Token 核心假设是：当只传输最低码率层时，L0 仍应可用于场景级判断。无蒸馏 RVQ 标记器也产生 L0 索引 [5]，但因为它由重建损失驱动，其第一层码本不一定对 AID 场景类别具有判别性。本实验在同一 RVQ 索引传输框架下检验 RemoteCLIP [7] 蒸馏对 L0 任务保真度的提升作用。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本实验比较无蒸馏 RVQ 基线与 L0 蒸馏模型，两者仅在是否使用 L0 RemoteCLIP 蒸馏项上不同，标记器架构与索引传输方式保持一致。任务路径只根据接收的 L0 索引构造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>/L0 词袋特征，并拟合线性分类器完成 30 类 AID 场景分类。表 1 报告三个模型种子的均值与标准差；其中 PSNR 和 LPIPS 仅用于确认两组模型具有相近的重建训练质量，不作为 L0 语义能力的直接证据。</w:t>
      </w:r>
    </w:p>
    <w:p>
      <w:pPr>
        <w:keepNext/>
        <w:widowControl/>
        <w:spacing w:line="264" w:lineRule="auto" w:before="100" w:after="60"/>
        <w:ind w:firstLine="0"/>
        <w:jc w:val="center"/>
      </w:pPr>
      <w:r>
        <w:rPr>
          <w:rFonts w:ascii="Times New Roman" w:hAnsi="Times New Roman" w:eastAsia="宋体"/>
          <w:b w:val="0"/>
          <w:sz w:val="18"/>
        </w:rPr>
        <w:t>表 1  低码率任务路径性能（3 个模型种子的均值 ± 标准差）。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指标</w:t>
            </w:r>
          </w:p>
        </w:tc>
        <w:tc>
          <w:tcPr>
            <w:tcW w:type="dxa" w:w="302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无蒸馏</w:t>
            </w:r>
          </w:p>
        </w:tc>
        <w:tc>
          <w:tcPr>
            <w:tcW w:type="dxa" w:w="302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RemoteCLIP 蒸馏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最优 PSNR (dB)</w:t>
            </w:r>
          </w:p>
        </w:tc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26.10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0.02</m:t>
                  </m:r>
                </m:e>
              </m:box>
            </m:oMath>
          </w:p>
        </w:tc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25.89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最优 LPIPS</w:t>
            </w:r>
          </w:p>
        </w:tc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0.172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0.001</m:t>
                  </m:r>
                </m:e>
              </m:box>
            </m:oMath>
          </w:p>
        </w:tc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0.175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0.002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无信道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eastAsia="宋体"/>
                <w:b w:val="0"/>
                <w:sz w:val="17"/>
              </w:rPr>
              <w:t xml:space="preserve"> 准确率</w:t>
            </w:r>
          </w:p>
        </w:tc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58.23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1.57</m:t>
                  </m:r>
                </m:e>
              </m:box>
            </m:oMath>
          </w:p>
        </w:tc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83.33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0.81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55.73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0.72</m:t>
                  </m:r>
                </m:e>
              </m:box>
            </m:oMath>
          </w:p>
        </w:tc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82.57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0.31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58.20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1.59</m:t>
                  </m:r>
                </m:e>
              </m:box>
            </m:oMath>
          </w:p>
        </w:tc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83.37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0.76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28.67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0.65</m:t>
                  </m:r>
                </m:e>
              </m:box>
            </m:oMath>
          </w:p>
        </w:tc>
        <w:tc>
          <w:tcPr>
            <w:tcW w:type="dxa" w:w="30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58.57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0.47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302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48.63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1.31</m:t>
                  </m:r>
                </m:e>
              </m:box>
            </m:oMath>
          </w:p>
        </w:tc>
        <w:tc>
          <w:tcPr>
            <w:tcW w:type="dxa" w:w="302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78.80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0.72</m:t>
                  </m:r>
                </m:e>
              </m:box>
            </m:oMath>
          </w:p>
        </w:tc>
      </w:tr>
    </w:tbl>
    <w:p>
      <w:pPr>
        <w:spacing w:after="40"/>
      </w:pPr>
    </w:p>
    <w:p>
      <w:pPr>
        <w:keepNext/>
        <w:widowControl/>
        <w:spacing w:line="24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43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p_l0_task_robustness_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64" w:lineRule="auto" w:before="40" w:after="60"/>
        <w:ind w:firstLine="0"/>
        <w:jc w:val="center"/>
      </w:pPr>
      <w:r>
        <w:rPr>
          <w:rFonts w:ascii="Times New Roman" w:hAnsi="Times New Roman" w:eastAsia="宋体"/>
          <w:b w:val="0"/>
          <w:sz w:val="18"/>
        </w:rPr>
        <w:t xml:space="preserve">图 2  L0 任务路径在无信道、AWGN、Rayleigh 下的鲁棒性。该图可视化与表 1 相同的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18"/>
        </w:rPr>
        <w:t xml:space="preserve">/L0 词袋任务路径证据，仅用于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b w:val="0"/>
          <w:sz w:val="18"/>
        </w:rPr>
        <w:t xml:space="preserve"> 任务路径声明。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表 1 表明，RemoteCLIP 蒸馏带来了幅度较大且跨种子稳定的 L0 任务增益。无信道时，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准确率由 </w:t>
      </w:r>
      <m:oMath>
        <m:box>
          <m:e>
            <m:r>
              <m:rPr>
                <m:sty m:val="p"/>
              </m:rPr>
              <m:t>58.23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1.57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提升至 </w:t>
      </w:r>
      <m:oMath>
        <m:box>
          <m:e>
            <m:r>
              <m:rPr>
                <m:sty m:val="p"/>
              </m:rPr>
              <m:t>83.33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0.81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，增幅为 </w:t>
      </w:r>
      <w:r>
        <w:rPr>
          <w:rFonts w:ascii="Times New Roman" w:hAnsi="Times New Roman" w:eastAsia="宋体"/>
          <w:b/>
          <w:sz w:val="21"/>
        </w:rPr>
        <w:t>25.10 个百分点</w:t>
      </w:r>
      <w:r>
        <w:rPr>
          <w:rFonts w:ascii="Times New Roman" w:hAnsi="Times New Roman" w:eastAsia="宋体"/>
          <w:b w:val="0"/>
          <w:sz w:val="21"/>
        </w:rPr>
        <w:t xml:space="preserve">。在 AWGN +5 dB 和 +10 dB 下，蒸馏模型分别达到 </w:t>
      </w:r>
      <m:oMath>
        <m:box>
          <m:e>
            <m:r>
              <m:rPr>
                <m:sty m:val="p"/>
              </m:rPr>
              <m:t>82.57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0.31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和 </w:t>
      </w:r>
      <m:oMath>
        <m:box>
          <m:e>
            <m:r>
              <m:rPr>
                <m:sty m:val="p"/>
              </m:rPr>
              <m:t>83.37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0.76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，与无信道结果接近。Rayleigh 衰落造成更明显的绝对性能下降，但蒸馏模型在 +5 dB 和 +10 dB 下仍分别领先基线 </w:t>
      </w:r>
      <w:r>
        <w:rPr>
          <w:rFonts w:ascii="Times New Roman" w:hAnsi="Times New Roman" w:eastAsia="宋体"/>
          <w:b/>
          <w:sz w:val="21"/>
        </w:rPr>
        <w:t>29.90</w:t>
      </w:r>
      <w:r>
        <w:rPr>
          <w:rFonts w:ascii="Times New Roman" w:hAnsi="Times New Roman" w:eastAsia="宋体"/>
          <w:b w:val="0"/>
          <w:sz w:val="21"/>
        </w:rPr>
        <w:t xml:space="preserve"> 和 </w:t>
      </w:r>
      <w:r>
        <w:rPr>
          <w:rFonts w:ascii="Times New Roman" w:hAnsi="Times New Roman" w:eastAsia="宋体"/>
          <w:b/>
          <w:sz w:val="21"/>
        </w:rPr>
        <w:t>30.17 个百分点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表 1 的两组模型虽然使用相同随机种子（41/42/43），但教师模型和蒸馏头会改变随机数生成器的调用顺序，因此并不共享逐比特相同的初始权重。为排除初始化差异的影响，我们进一步训练了 6 个配对控制检查点，即 3 个种子下各包含一组基线模型和蒸馏模型；同一种子内两者从完全相同的权重出发，唯一差别为 </w:t>
      </w:r>
      <m:oMath>
        <m:box>
          <m:e>
            <m:sSub>
              <m:e>
                <m:r>
                  <m:rPr>
                    <m:sty m:val="i"/>
                  </m:rPr>
                  <m:t>λ</m:t>
                </m:r>
              </m:e>
              <m:sub>
                <m:box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l</m:t>
                    </m:r>
                  </m:e>
                </m:box>
              </m:sub>
            </m:sSub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0.5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。配对蒸馏在无信道、AWGN +5 dB、AWGN +10 dB、Rayleigh +5 dB 和 Rayleigh +10 dB 下的增益依次为 </w:t>
      </w:r>
      <m:oMath>
        <m:box>
          <m:e>
            <m:r>
              <m:rPr>
                <m:sty m:val="p"/>
              </m:rPr>
              <m:t>25.77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2.94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、</w:t>
      </w:r>
      <m:oMath>
        <m:box>
          <m:e>
            <m:r>
              <m:rPr>
                <m:sty m:val="p"/>
              </m:rPr>
              <m:t>26.97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3.46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、</w:t>
      </w:r>
      <m:oMath>
        <m:box>
          <m:e>
            <m:r>
              <m:rPr>
                <m:sty m:val="p"/>
              </m:rPr>
              <m:t>25.73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2.99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、</w:t>
      </w:r>
      <m:oMath>
        <m:box>
          <m:e>
            <m:r>
              <m:rPr>
                <m:sty m:val="p"/>
              </m:rPr>
              <m:t>27.47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3.31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和 </w:t>
      </w:r>
      <m:oMath>
        <m:box>
          <m:e>
            <m:r>
              <m:rPr>
                <m:sty m:val="p"/>
              </m:rPr>
              <m:t>28.83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3.35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个百分点。五个配对差值均落在表 1 非配对差值的 </w:t>
      </w:r>
      <m:oMath>
        <m:box>
          <m:e>
            <m:r>
              <m:rPr>
                <m:sty m:val="p"/>
              </m:rPr>
              <m:t>2</m:t>
            </m:r>
            <m:r>
              <m:rPr>
                <m:sty m:val="i"/>
              </m:rPr>
              <m:t>σ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范围内，说明主要增益来自蒸馏损失，而非初始化噪声；逐种子结果见附录 C。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上述结果只支持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时 L0 索引的场景级任务保真度；多层 RVQ 的语义分工和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的重建性能将在后续实验中分别验证。</w:t>
      </w:r>
    </w:p>
    <w:p>
      <w:pPr>
        <w:pStyle w:val="Heading3"/>
        <w:keepNext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4.2.2 L0 蒸馏位置验证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上一小节表明 L0 蒸馏模型的 L0 索引具有场景判别性。本实验通过改变蒸馏位置，分析这种 L0 特化来自 RemoteCLIP 监督的位置，还是第一残差层本身。仅在主模型上拟合分层线性探针不能区分两种解释，因为探针与 L0 监督来自同一检查点；因此还需要蒸馏位置反事实作为独立证据。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为此，我们训练三个仅在 RemoteCLIP 蒸馏施加位置上不同的 RVQ 标记器：</w:t>
      </w:r>
    </w:p>
    <w:p>
      <w:pPr>
        <w:widowControl/>
        <w:spacing w:line="324" w:lineRule="auto" w:before="0" w:after="40"/>
        <w:ind w:left="420" w:hanging="240"/>
        <w:jc w:val="both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L0（主模型）</w:t>
      </w:r>
      <w:r>
        <w:rPr>
          <w:rFonts w:ascii="Times New Roman" w:hAnsi="Times New Roman" w:eastAsia="宋体"/>
          <w:b w:val="0"/>
          <w:sz w:val="21"/>
        </w:rPr>
        <w:t>：发表的 L0 蒸馏主模型，RemoteCLIP 教师 [7] 对齐 L0 直通量化特征。</w:t>
      </w:r>
    </w:p>
    <w:p>
      <w:pPr>
        <w:widowControl/>
        <w:spacing w:line="324" w:lineRule="auto" w:before="0" w:after="40"/>
        <w:ind w:left="420" w:hanging="240"/>
        <w:jc w:val="both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全层蒸馏</w:t>
      </w:r>
      <w:r>
        <w:rPr>
          <w:rFonts w:ascii="Times New Roman" w:hAnsi="Times New Roman" w:eastAsia="宋体"/>
          <w:b w:val="0"/>
          <w:sz w:val="21"/>
        </w:rPr>
        <w:t xml:space="preserve">：将同一对齐损失施加到 RVQ 总和表示 </w:t>
      </w:r>
      <m:oMath>
        <m:box>
          <m:e>
            <m:sSub>
              <m:e>
                <m:r>
                  <m:rPr>
                    <m:sty m:val="i"/>
                  </m:rPr>
                  <m:t>𝐳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ℓ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0</m:t>
                    </m:r>
                  </m:e>
                </m:box>
              </m:sub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sup>
              <m:e>
                <m:sSubSup>
                  <m:e>
                    <m:r>
                      <m:rPr>
                        <m:sty m:val="i"/>
                      </m:rPr>
                      <m:t>𝐳</m:t>
                    </m:r>
                  </m:e>
                  <m:sub>
                    <m:r>
                      <m:rPr>
                        <m:sty m:val="i"/>
                      </m:rPr>
                      <m:t>q</m:t>
                    </m:r>
                  </m:sub>
                  <m:sup>
                    <m:box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i"/>
                          </m:rPr>
                          <m:t>ℓ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box>
                  </m:sup>
                </m:sSubSup>
              </m:e>
            </m:nary>
          </m:e>
        </m:box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widowControl/>
        <w:spacing w:line="324" w:lineRule="auto" w:before="0" w:after="40"/>
        <w:ind w:left="420" w:hanging="240"/>
        <w:jc w:val="both"/>
      </w:pPr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L1 蒸馏</w:t>
      </w:r>
      <w:r>
        <w:rPr>
          <w:rFonts w:ascii="Times New Roman" w:hAnsi="Times New Roman" w:eastAsia="宋体"/>
          <w:b w:val="0"/>
          <w:sz w:val="21"/>
        </w:rPr>
        <w:t>：将对齐损失移到 L1 直通量化特征。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三种设置使用相同的 RemoteCLIP 教师、50 个训练轮、损失权重及编码器/解码器/量化器架构。L0 主模型和 L1 蒸馏模型报告种子 42；全层蒸馏另外重复种子 41 和 43，以给出三种子均值与标准差。表 2 同时报告 5 个信道条件下的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准确率、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PSNR、重建图分类准确率，以及无信道条件下的累积线性探针。</w:t>
      </w:r>
    </w:p>
    <w:p>
      <w:pPr>
        <w:keepNext/>
        <w:widowControl/>
        <w:spacing w:line="264" w:lineRule="auto" w:before="100" w:after="60"/>
        <w:ind w:firstLine="0"/>
        <w:jc w:val="center"/>
      </w:pPr>
      <w:r>
        <w:rPr>
          <w:rFonts w:ascii="Times New Roman" w:hAnsi="Times New Roman" w:eastAsia="宋体"/>
          <w:b w:val="0"/>
          <w:sz w:val="18"/>
        </w:rPr>
        <w:t>表 2  蒸馏位置消融。L0 和 L1 列使用种子 42；全层蒸馏列报告种子 41/42/43 的均值 ± 标准差。每个信道条件包含 1,000 张 AID 测试图像。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设置</w:t>
            </w:r>
          </w:p>
        </w:tc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L0（主，1 种子）</w:t>
            </w:r>
          </w:p>
        </w:tc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全层蒸馏（3 种子均值 ± 标准差）</w:t>
            </w:r>
          </w:p>
        </w:tc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L1（1 种子）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 xml:space="preserve"> 准确率（</w:t>
            </w:r>
            <m:oMath>
              <m:box>
                <m:e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>, %）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无信道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82.6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81.60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0.40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34.2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82.1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79.90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0.46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32.1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82.6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81.60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0.40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34.2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58.6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47.77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2.16</m:t>
                      </m:r>
                    </m:e>
                  </m:box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10.4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77.7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74.53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0.49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24.0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4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 xml:space="preserve"> PSNR (dB)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无信道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25.92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25.68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0.06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22.32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23.94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23.74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0.06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14.36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25.92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25.68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0.06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22.29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16.93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16.62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0.07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12.45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20.63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20.38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0.09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13.08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4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 xml:space="preserve"> 重建图分类准确率 (%)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无信道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86.9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86.33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0.32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35.3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84.6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83.07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0.06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86.9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86.33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0.32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35.2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22.6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18.47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2.29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66.8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64.57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1.53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累积码字上的分层线性探针 (%, 无信道)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L0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86.0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85.90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0.44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30.5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L0+L1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87.8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87.07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0.31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33.7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L0+L1+L2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87.9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87.83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0.81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35.8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L0+L1+L2+L3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87.9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87.90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0.53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36.5</w:t>
            </w:r>
          </w:p>
        </w:tc>
      </w:tr>
    </w:tbl>
    <w:p>
      <w:pPr>
        <w:spacing w:after="40"/>
      </w:pP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表 2 显示，单独在 L1 施加蒸馏会同时破坏四类指标。L0 分层探针由 </w:t>
      </w:r>
      <m:oMath>
        <m:box>
          <m:e>
            <m:r>
              <m:rPr>
                <m:sty m:val="p"/>
              </m:rPr>
              <m:t>86.0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降至 </w:t>
      </w:r>
      <m:oMath>
        <m:box>
          <m:e>
            <m:r>
              <m:rPr>
                <m:sty m:val="p"/>
              </m:rPr>
              <m:t>30.5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（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55.5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个百分点），无信道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由 </w:t>
      </w:r>
      <m:oMath>
        <m:box>
          <m:e>
            <m:r>
              <m:rPr>
                <m:sty m:val="p"/>
              </m:rPr>
              <m:t>82.6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降至 </w:t>
      </w:r>
      <m:oMath>
        <m:box>
          <m:e>
            <m:r>
              <m:rPr>
                <m:sty m:val="p"/>
              </m:rPr>
              <m:t>34.2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（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48.4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个百分点），无信道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PSNR 由 </w:t>
      </w:r>
      <m:oMath>
        <m:box>
          <m:e>
            <m:r>
              <m:rPr>
                <m:sty m:val="p"/>
              </m:rPr>
              <m:t>25.92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 降至 </w:t>
      </w:r>
      <m:oMath>
        <m:box>
          <m:e>
            <m:r>
              <m:rPr>
                <m:sty m:val="p"/>
              </m:rPr>
              <m:t>22.32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dB（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3.60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dB）。在 AWGN +5 dB 下，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PSNR 下降 </w:t>
      </w:r>
      <m:oMath>
        <m:box>
          <m:e>
            <m:r>
              <m:rPr>
                <m:sty m:val="p"/>
              </m:rPr>
              <m:t>9.58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dB，重建图分类准确率仅为 </w:t>
      </w:r>
      <m:oMath>
        <m:box>
          <m:e>
            <m:r>
              <m:rPr>
                <m:sty m:val="p"/>
              </m:rPr>
              <m:t>3.7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。与此同时，L1 及其后续累积探针均停留在 30–37% 区间，说明语义信息并未简单转移至 L1，而是错误的蒸馏位置阻碍了 RVQ 的整体优化。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全层蒸馏的平均结果也低于种子 42 的 L0 主模型，但退化幅度远小于 L1 蒸馏。其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在无信道、AWGN +5 dB、Rayleigh +5 dB 和 Rayleigh +10 dB 下分别低 1.00、2.20、10.83 和 3.17 个百分点；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PSNR 在五个信道条件下降低 0.20–0.31 dB，重建图分类准确率降低 0.57–4.13 个百分点。累积线性探针与 L0 主模型相差不超过 0.7 个百分点，表明将对齐损失施加到总 RVQ 表示没有在后续层产生额外的可探测语义收益。由于 L0 主模型和 L1 模型仅报告一个种子，本实验不对三种蒸馏位置进行正式显著性检验。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综合三个设置，L0 单独蒸馏在当前实验中表现最佳；全层蒸馏带来较小退化，L1 蒸馏则同时损害任务与重建性能。蒸馏位置反事实与分层探针共同支持 L0 特化的解释，但其多种子稳健性仍需对 L0 和 L1 设置进行完整复现。</w:t>
      </w:r>
    </w:p>
    <w:p>
      <w:pPr>
        <w:pStyle w:val="Heading3"/>
        <w:keepNext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4.2.3 渐进式重建性能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"L0 携带任务语义"并不意味着 L0 单独足以做图像重建。本实验评估传输更多 RVQ 层对重建路径图像质量与重建图分类准确率的影响。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表 3 报告 L0 蒸馏模型在三个独立训练种子（s41/s42/s43）下的重建结果。每个信道条件包含 1,000 张 AID 测试图像，三个模型使用相同的信道噪声实现，因此标准差主要反映模型训练的种子差异。本节仅使用 PSNR、LPIPS 和重建图分类准确率评价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的重建路径，不使用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>/L0 任务指标。</w:t>
      </w:r>
    </w:p>
    <w:p>
      <w:pPr>
        <w:keepNext/>
        <w:widowControl/>
        <w:spacing w:line="264" w:lineRule="auto" w:before="100" w:after="60"/>
        <w:ind w:firstLine="0"/>
        <w:jc w:val="center"/>
      </w:pPr>
      <w:r>
        <w:rPr>
          <w:rFonts w:ascii="Times New Roman" w:hAnsi="Times New Roman" w:eastAsia="宋体"/>
          <w:b w:val="0"/>
          <w:sz w:val="18"/>
        </w:rPr>
        <w:t>表 3  不同前缀长度与信道条件下的重建性能（3 个模型种子的均值 ± 标准差）。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 w:val="true"/>
        </w:trPr>
        <w:tc>
          <w:tcPr>
            <w:tcW w:type="dxa" w:w="1296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信道</w:t>
            </w:r>
          </w:p>
        </w:tc>
        <w:tc>
          <w:tcPr>
            <w:tcW w:type="dxa" w:w="1296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SNR</w:t>
            </w:r>
          </w:p>
        </w:tc>
        <w:tc>
          <w:tcPr>
            <w:tcW w:type="dxa" w:w="1296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k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比特/图像</w:t>
            </w:r>
          </w:p>
        </w:tc>
        <w:tc>
          <w:tcPr>
            <w:tcW w:type="dxa" w:w="1296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PSNR (dB)</w:t>
            </w:r>
          </w:p>
        </w:tc>
        <w:tc>
          <w:tcPr>
            <w:tcW w:type="dxa" w:w="1296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LPIPS ↓</w:t>
            </w:r>
          </w:p>
        </w:tc>
        <w:tc>
          <w:tcPr>
            <w:tcW w:type="dxa" w:w="1296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重建图分类 (%)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--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22.98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0.09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0.284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0.002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71.4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1.3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--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24.76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0.04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0.205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0.001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84.6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0.2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--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7,680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25.55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0.06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0.183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0.002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86.6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0.3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--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25.92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0.08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0.175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0.002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86.8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0.4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+5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21.99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0.07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0.313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0.002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68.5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1.4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+5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23.24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0.02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0.245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0.001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80.6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0.5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+5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7,680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23.72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0.04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0.225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0.002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83.2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0.9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+5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23.94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0.09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0.217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0.002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84.4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0.9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22.98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0.09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0.284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0.002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71.4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1.3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24.76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0.04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0.205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0.001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84.6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0.2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7,680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25.55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0.06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0.183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0.001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86.6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0.4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25.92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0.08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0.175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0.002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86.8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0.4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+5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16.95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0.05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0.481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0.002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22.0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1.5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+5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16.94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0.06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0.470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0.003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20.5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0.4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+5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7,680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16.90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0.05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0.470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0.003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19.7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1.3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+5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16.90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0.07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0.471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0.003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19.7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2.6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19.87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0.07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0.383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0.002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55.2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1.9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20.33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0.07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0.342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0.003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63.4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1.3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7,680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20.50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0.04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0.330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0.003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65.1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20.55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0.07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0.326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0.003</m:t>
                  </m:r>
                </m:e>
              </m:box>
            </m:oMath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67.7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1.1</m:t>
                  </m:r>
                </m:e>
              </m:box>
            </m:oMath>
          </w:p>
        </w:tc>
      </w:tr>
    </w:tbl>
    <w:p>
      <w:pPr>
        <w:spacing w:after="40"/>
      </w:pPr>
    </w:p>
    <w:p>
      <w:pPr>
        <w:keepNext/>
        <w:widowControl/>
        <w:spacing w:line="24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155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p_progressive_reconstruction_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15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64" w:lineRule="auto" w:before="40" w:after="60"/>
        <w:ind w:firstLine="0"/>
        <w:jc w:val="center"/>
      </w:pPr>
      <w:r>
        <w:rPr>
          <w:rFonts w:ascii="Times New Roman" w:hAnsi="Times New Roman" w:eastAsia="宋体"/>
          <w:b w:val="0"/>
          <w:sz w:val="18"/>
        </w:rPr>
        <w:t xml:space="preserve">图 3  传输更多 RVQ 层时的渐进式重建。该图对应表 3 中的重建路径指标，不使用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18"/>
        </w:rPr>
        <w:t>/L0 词袋任务指标。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无信道时，随着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从 1 增至 4，PSNR 由 </w:t>
      </w:r>
      <m:oMath>
        <m:box>
          <m:e>
            <m:r>
              <m:rPr>
                <m:sty m:val="p"/>
              </m:rPr>
              <m:t>22.98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0.09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 提升至 </w:t>
      </w:r>
      <m:oMath>
        <m:box>
          <m:e>
            <m:r>
              <m:rPr>
                <m:sty m:val="p"/>
              </m:rPr>
              <m:t>25.92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0.08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dB，LPIPS 由 </w:t>
      </w:r>
      <m:oMath>
        <m:box>
          <m:e>
            <m:r>
              <m:rPr>
                <m:sty m:val="p"/>
              </m:rPr>
              <m:t>0.284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0.002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降至 </w:t>
      </w:r>
      <m:oMath>
        <m:box>
          <m:e>
            <m:r>
              <m:rPr>
                <m:sty m:val="p"/>
              </m:rPr>
              <m:t>0.175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0.002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，重建图分类准确率由 </w:t>
      </w:r>
      <m:oMath>
        <m:box>
          <m:e>
            <m:r>
              <m:rPr>
                <m:sty m:val="p"/>
              </m:rPr>
              <m:t>71.4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1.3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提升至 </w:t>
      </w:r>
      <m:oMath>
        <m:box>
          <m:e>
            <m:r>
              <m:rPr>
                <m:sty m:val="p"/>
              </m:rPr>
              <m:t>86.8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。其中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与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的 PSNR 相差 2.94 dB，明显大于各单元格 0.04–0.09 dB 的标准差。AWGN +5 dB 下同样呈现单调改善，PSNR 由 </w:t>
      </w:r>
      <m:oMath>
        <m:box>
          <m:e>
            <m:r>
              <m:rPr>
                <m:sty m:val="p"/>
              </m:rPr>
              <m:t>21.99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0.07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 提升至 </w:t>
      </w:r>
      <m:oMath>
        <m:box>
          <m:e>
            <m:r>
              <m:rPr>
                <m:sty m:val="p"/>
              </m:rPr>
              <m:t>23.94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0.09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dB，分类准确率由 </w:t>
      </w:r>
      <m:oMath>
        <m:box>
          <m:e>
            <m:r>
              <m:rPr>
                <m:sty m:val="p"/>
              </m:rPr>
              <m:t>68.5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1.4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提升至 </w:t>
      </w:r>
      <m:oMath>
        <m:box>
          <m:e>
            <m:r>
              <m:rPr>
                <m:sty m:val="p"/>
              </m:rPr>
              <m:t>84.4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0.9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；AWGN +10 dB 下各前缀结果与无信道条件在一个标准差内一致。相比之下，Rayleigh +5 dB 下的 PSNR 在所有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上均约为 16.9 dB，新增 RVQ 层无法抵消强衰落造成的索引错误。Rayleigh +10 dB 下渐进性部分恢复，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时 PSNR 和分类准确率分别达到 </w:t>
      </w:r>
      <m:oMath>
        <m:box>
          <m:e>
            <m:r>
              <m:rPr>
                <m:sty m:val="p"/>
              </m:rPr>
              <m:t>20.55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0.07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 和 </w:t>
      </w:r>
      <m:oMath>
        <m:box>
          <m:e>
            <m:r>
              <m:rPr>
                <m:sty m:val="p"/>
              </m:rPr>
              <m:t>67.7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1.1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。因此，多层前缀在无信道和 AWGN 条件下能够稳定改善重建，但这种收益在强 Rayleigh 衰落下基本消失。</w:t>
      </w:r>
    </w:p>
    <w:p>
      <w:pPr>
        <w:pStyle w:val="Heading3"/>
        <w:keepNext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4.2.4 连续信噪比分析</w:t>
      </w:r>
    </w:p>
    <w:p>
      <w:pPr>
        <w:keepNext/>
        <w:widowControl/>
        <w:spacing w:line="24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11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06_snr_swee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64" w:lineRule="auto" w:before="40" w:after="60"/>
        <w:ind w:firstLine="0"/>
        <w:jc w:val="center"/>
      </w:pPr>
      <w:r>
        <w:rPr>
          <w:rFonts w:ascii="Times New Roman" w:hAnsi="Times New Roman" w:eastAsia="宋体"/>
          <w:b w:val="0"/>
          <w:sz w:val="18"/>
        </w:rPr>
        <w:t>图 4  连续 SNR 扫描，4 子图：（a）h₀ 准确率 vs SNR 在 AWGN 下、（b）h₀ 准确率 vs SNR 在 Rayleigh 下、（c）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18"/>
        </w:rPr>
        <w:t xml:space="preserve"> PSNR vs SNR 在 AWGN 下、（d）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18"/>
        </w:rPr>
        <w:t xml:space="preserve"> PSNR vs SNR 在 Rayleigh 下；每子图给出基线与蒸馏的 3 种子均值 ± 标准差双曲线。SNR 网格 = </w:t>
      </w:r>
      <m:oMath>
        <m:box>
          <m:e>
            <m:r>
              <m:rPr>
                <m:sty m:val="p"/>
              </m:rPr>
              <m:t>{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7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20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b w:val="0"/>
          <w:sz w:val="18"/>
        </w:rPr>
        <w:t xml:space="preserve"> dB。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图 4 将离散工作点扩展到 10 个 SNR。AWGN 下的任务路径蒸馏增益在 +2 dB 达到 30.70 个百分点（41.37% 对 72.07%），随后随 SNR 升高收敛至约 26.57 个百分点；Rayleigh 下的增益在 +5 至 +10 dB 区间保持在 29.4–30.1 个百分点。重建路径中，蒸馏模型与基线在全部 SNR 下的 PSNR 差异小于 0.4 dB，与 §4.2.2 中 L0 单独蒸馏不会明显干扰后续重建层的观察一致。在 AWGN 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5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 时，两种模型的任务准确率均接近 30 类随机基准（基线 5.03%、蒸馏 6.67%，BER 约为 0.213），表明该点已低于当前离散任务路径的有效工作区间。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4.3 与现有方法的比较</w:t>
      </w:r>
    </w:p>
    <w:p>
      <w:pPr>
        <w:pStyle w:val="Heading3"/>
        <w:keepNext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4.3.1 与现代 deep-JSCC 的对比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除离散标记框架内部的"无蒸馏 RVQ 基线"对照外，一个外部对照基线是</w:t>
      </w:r>
      <w:r>
        <w:rPr>
          <w:rFonts w:ascii="Times New Roman" w:hAnsi="Times New Roman" w:eastAsia="宋体"/>
          <w:b/>
          <w:sz w:val="21"/>
        </w:rPr>
        <w:t>连续表示的现代 deep-JSCC</w:t>
      </w:r>
      <w:r>
        <w:rPr>
          <w:rFonts w:ascii="Times New Roman" w:hAnsi="Times New Roman" w:eastAsia="宋体"/>
          <w:b w:val="0"/>
          <w:sz w:val="21"/>
        </w:rPr>
        <w:t>——它直接以 MSE 优化像素重建，并已在 SNR 自适应（ADJSCC [3]）等方向上发展成熟。本节用 ADJSCC 作为现代 deep-JSCC 代表性基线，在严格匹配传输比特预算下做对照，澄清"离散表示 + 视觉-语言蒸馏"与"连续 deep-JSCC"的真实关系。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我们在 AID 训练集上从零训练 ADJSCC，共得到 3 个速率、3 个随机种子下的 9 个检查点。每个速率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10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40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分别输出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2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560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5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120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240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个实数 BPSK 等效符号，与 RS-Token 的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比特预算匹配。训练时每个批次以相同概率采样 AWGN 或 Rayleigh 信道，SNR 在 </w:t>
      </w:r>
      <m:oMath>
        <m:box>
          <m:e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12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 内均匀采样；Rayleigh 信道采用复数衰落和相干迫零（Zero-Forcing, ZF）均衡。训练轮数、批次大小、优化器、学习率和混合精度设置与 RS-Token 相同。评估覆盖无信道、AWGN +5/+10 dB 和 Rayleigh +5/+10 dB，并统一使用测试准确率为 96.10% 的 AID ResNet34 评价重建图分类性能。</w:t>
      </w:r>
    </w:p>
    <w:p>
      <w:pPr>
        <w:keepNext/>
        <w:widowControl/>
        <w:spacing w:line="264" w:lineRule="auto" w:before="100" w:after="60"/>
        <w:ind w:firstLine="0"/>
        <w:jc w:val="center"/>
      </w:pPr>
      <w:r>
        <w:rPr>
          <w:rFonts w:ascii="Times New Roman" w:hAnsi="Times New Roman" w:eastAsia="宋体"/>
          <w:b w:val="0"/>
          <w:sz w:val="18"/>
        </w:rPr>
        <w:t xml:space="preserve">表 4  ADJSCC 与 RS-Token 在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18"/>
        </w:rPr>
        <w:t>（10,240 比特/图像）下的比较（3 个模型种子的均值 ± 标准差）。完整结果见附录 A。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81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指标</w:t>
            </w:r>
          </w:p>
        </w:tc>
        <w:tc>
          <w:tcPr>
            <w:tcW w:type="dxa" w:w="181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信道</w:t>
            </w:r>
          </w:p>
        </w:tc>
        <w:tc>
          <w:tcPr>
            <w:tcW w:type="dxa" w:w="181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ADJSCC</w:t>
            </w:r>
          </w:p>
        </w:tc>
        <w:tc>
          <w:tcPr>
            <w:tcW w:type="dxa" w:w="181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RS-Token</w:t>
            </w:r>
          </w:p>
        </w:tc>
        <w:tc>
          <w:tcPr>
            <w:tcW w:type="dxa" w:w="181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PSNR (dB)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无信道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28.23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0.03</m:t>
                  </m:r>
                </m:e>
              </m:box>
            </m:oMath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25.92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0.08</m:t>
                  </m:r>
                </m:e>
              </m:box>
            </m:oMath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2.30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PSNR (dB)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27.06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0.01</m:t>
                  </m:r>
                </m:e>
              </m:box>
            </m:oMath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23.94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0.09</m:t>
                  </m:r>
                </m:e>
              </m:box>
            </m:oMath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3.12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PSNR (dB)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27.81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0.02</m:t>
                  </m:r>
                </m:e>
              </m:box>
            </m:oMath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25.92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0.08</m:t>
                  </m:r>
                </m:e>
              </m:box>
            </m:oMath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1.89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PSNR (dB)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24.97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0.01</m:t>
                  </m:r>
                </m:e>
              </m:box>
            </m:oMath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16.90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0.07</m:t>
                  </m:r>
                </m:e>
              </m:box>
            </m:oMath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8.07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PSNR (dB)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26.45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0.01</m:t>
                  </m:r>
                </m:e>
              </m:box>
            </m:oMath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20.55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0.07</m:t>
                  </m:r>
                </m:e>
              </m:box>
            </m:oMath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5.89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重建图分类 (%)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无信道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80.00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86.80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6.80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重建图分类 (%)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71.43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84.40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12.97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重建图分类 (%)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77.43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86.80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9.37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重建图分类 (%)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51.57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19.73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31.84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重建图分类 (%)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68.03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67.73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0.30</m:t>
                  </m:r>
                </m:e>
              </m:box>
            </m:oMath>
          </w:p>
        </w:tc>
      </w:tr>
    </w:tbl>
    <w:p>
      <w:pPr>
        <w:spacing w:after="40"/>
      </w:pP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表 4 和附录 A 显示，两种方法在像素保真度和任务保真度上呈现方向相反的优势。ADJSCC 在 5 个信道条件和 3 个比特预算下的 PSNR 均高于 RS-Token，差距为 1.9–8.1 dB，这与其直接采用 MSE 优化连续潜在表示一致。RS-Token 则在无信道和 AWGN 条件下取得更高的重建图分类准确率：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时分别领先 6.8、12.97 和 9.37 个百分点，低比特预算下的优势进一步扩大。Rayleigh +5 dB 时该趋势发生反转，ADJSCC 的分类准确率为 51.6%，而 RS-Token 为 19.7%；结合 §3.4 和 §4.2.3 可知，约 6% 的残余 BER 已足以显著破坏离散索引。Rayleigh +10 dB 时两者的分类差距缩小至 0.3 个百分点。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这些结果表明，两种方法分别位于任务保真度与像素保真度折中的不同区域：RS-Token 在无信道和 AWGN 的低比特条件下更有利于保持任务语义，而 ADJSCC 在 PSNR 及强 Rayleigh 衰落下更具优势。ADJSCC 的三种子 PSNR 标准差不超过 0.03 dB，说明当前实现的结果具有较小的种子波动，但这不等同于证明任一方法已达到全局最优。相应地，本文将鲁棒性结论限定为 AWGN 工作区，并在 Rayleigh 信道下报告与连续 JSCC 的帕累托折中。</w:t>
      </w:r>
    </w:p>
    <w:p>
      <w:pPr>
        <w:pStyle w:val="Heading3"/>
        <w:keepNext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4.3.2 与传统编解码器 + LDPC 的对比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本小节考察传统编解码器与 RS-Token 在采用相同 rate-1/2 LDPC 时的传输表现。由于文件编解码器未必能精确生成指定长度的码流，比较以目标传输预算为控制量，并同时报告实际源比特、解码失败率和重建质量。RS-Token 能够精确匹配三档预算，JPEG2000 为近似匹配，WebP 结果则作为未严格匹配速率的补充参考。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比较设置 5,120、10,240 和 20,480 三档目标传输比特预算。所有方法使用相同的 rate-1/2 系统稀疏 LDPC 和 min-sum BP 解码器；该实现为自定义稀疏码，并非 5G NR LDPC。由于编码率为 </w:t>
      </w:r>
      <m:oMath>
        <m:box>
          <m:e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，目标源比特预算分别为 2,560、5,120 和 10,240。RS-Token 使用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精确匹配三档预算，JPEG2000 的实际源比特与目标相差 0.1%–4.0%；WebP 的实际源比特则高出目标 1.5–5.5 倍。表 5 给出 +10 dB 下 AWGN 和 Rayleigh 信道的结果，每个单元格对 5 个信道随机种子取平均。</w:t>
      </w:r>
    </w:p>
    <w:p>
      <w:pPr>
        <w:keepNext/>
        <w:widowControl/>
        <w:spacing w:line="264" w:lineRule="auto" w:before="100" w:after="60"/>
        <w:ind w:firstLine="0"/>
        <w:jc w:val="center"/>
      </w:pPr>
      <w:r>
        <w:rPr>
          <w:rFonts w:ascii="Times New Roman" w:hAnsi="Times New Roman" w:eastAsia="宋体"/>
          <w:b w:val="0"/>
          <w:sz w:val="18"/>
        </w:rPr>
        <w:t>表 5  +10 dB 下采用相同 rate-1/2 LDPC 的目标传输比特比较（5 个信道随机种子的均值）。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 w:val="true"/>
        </w:trPr>
        <w:tc>
          <w:tcPr>
            <w:tcW w:type="dxa" w:w="113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113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信道</w:t>
            </w:r>
          </w:p>
        </w:tc>
        <w:tc>
          <w:tcPr>
            <w:tcW w:type="dxa" w:w="113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k</m:t>
                  </m:r>
                </m:e>
              </m:box>
            </m:oMath>
          </w:p>
        </w:tc>
        <w:tc>
          <w:tcPr>
            <w:tcW w:type="dxa" w:w="113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目标总比特</w:t>
            </w:r>
          </w:p>
        </w:tc>
        <w:tc>
          <w:tcPr>
            <w:tcW w:type="dxa" w:w="113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实际源比特（均值）</w:t>
            </w:r>
          </w:p>
        </w:tc>
        <w:tc>
          <w:tcPr>
            <w:tcW w:type="dxa" w:w="113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解码失败 (%)</w:t>
            </w:r>
          </w:p>
        </w:tc>
        <w:tc>
          <w:tcPr>
            <w:tcW w:type="dxa" w:w="113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重建图分类 (%)</w:t>
            </w:r>
          </w:p>
        </w:tc>
        <w:tc>
          <w:tcPr>
            <w:tcW w:type="dxa" w:w="113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有效 PSNR (dB)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RS-Token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AWGN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5,120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2,560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70.3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22.95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JPEG2000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AWGN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5,120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2,663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99.9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WebP</w:t>
            </w:r>
            <m:oMath>
              <m:box>
                <m:e>
                  <m:sSup>
                    <m:e>
                      <m:r>
                        <m:rPr>
                          <m:sty m:val="p"/>
                        </m:rPr>
                        <m:t/>
                      </m:r>
                    </m:e>
                    <m:sup>
                      <m:r>
                        <m:rPr>
                          <m:sty m:val="i"/>
                        </m:rPr>
                        <m:t>†</m:t>
                      </m:r>
                    </m:sup>
                  </m:sSup>
                </m:e>
              </m:box>
            </m:oMath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AWGN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5,120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14,164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99.3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RS-Token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AWGN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10,240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5,120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84.3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24.77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JPEG2000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AWGN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10,240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5,192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90.2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WebP</w:t>
            </w:r>
            <m:oMath>
              <m:box>
                <m:e>
                  <m:sSup>
                    <m:e>
                      <m:r>
                        <m:rPr>
                          <m:sty m:val="p"/>
                        </m:rPr>
                        <m:t/>
                      </m:r>
                    </m:e>
                    <m:sup>
                      <m:r>
                        <m:rPr>
                          <m:sty m:val="i"/>
                        </m:rPr>
                        <m:t>†</m:t>
                      </m:r>
                    </m:sup>
                  </m:sSup>
                </m:e>
              </m:box>
            </m:oMath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AWGN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10,240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14,301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94.7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3.2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RS-Token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AWGN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20,480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10,240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86.9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25.92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JPEG2000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AWGN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20,480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10,246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62.1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14.3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WebP</w:t>
            </w:r>
            <m:oMath>
              <m:box>
                <m:e>
                  <m:sSup>
                    <m:e>
                      <m:r>
                        <m:rPr>
                          <m:sty m:val="p"/>
                        </m:rPr>
                        <m:t/>
                      </m:r>
                    </m:e>
                    <m:sup>
                      <m:r>
                        <m:rPr>
                          <m:sty m:val="i"/>
                        </m:rPr>
                        <m:t>†</m:t>
                      </m:r>
                    </m:sup>
                  </m:sSup>
                </m:e>
              </m:box>
            </m:oMath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AWGN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20,480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15,410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79.4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13.6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RS-Token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Rayleigh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5,120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2,560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69.5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22.56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JPEG2000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Rayleigh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5,120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2,663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99.9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WebP</w:t>
            </w:r>
            <m:oMath>
              <m:box>
                <m:e>
                  <m:sSup>
                    <m:e>
                      <m:r>
                        <m:rPr>
                          <m:sty m:val="p"/>
                        </m:rPr>
                        <m:t/>
                      </m:r>
                    </m:e>
                    <m:sup>
                      <m:r>
                        <m:rPr>
                          <m:sty m:val="i"/>
                        </m:rPr>
                        <m:t>†</m:t>
                      </m:r>
                    </m:sup>
                  </m:sSup>
                </m:e>
              </m:box>
            </m:oMath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Rayleigh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5,120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14,164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RS-Token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Rayleigh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10,240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5,120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83.0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24.13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JPEG2000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Rayleigh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10,240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5,192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92.8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WebP</w:t>
            </w:r>
            <m:oMath>
              <m:box>
                <m:e>
                  <m:sSup>
                    <m:e>
                      <m:r>
                        <m:rPr>
                          <m:sty m:val="p"/>
                        </m:rPr>
                        <m:t/>
                      </m:r>
                    </m:e>
                    <m:sup>
                      <m:r>
                        <m:rPr>
                          <m:sty m:val="i"/>
                        </m:rPr>
                        <m:t>†</m:t>
                      </m:r>
                    </m:sup>
                  </m:sSup>
                </m:e>
              </m:box>
            </m:oMath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Rayleigh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10,240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14,301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RS-Token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Rayleigh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20,480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10,240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86.3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25.08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JPEG2000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Rayleigh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20,480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10,246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71.6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WebP</w:t>
            </w:r>
            <m:oMath>
              <m:box>
                <m:e>
                  <m:sSup>
                    <m:e>
                      <m:r>
                        <m:rPr>
                          <m:sty m:val="p"/>
                        </m:rPr>
                        <m:t/>
                      </m:r>
                    </m:e>
                    <m:sup>
                      <m:r>
                        <m:rPr>
                          <m:sty m:val="i"/>
                        </m:rPr>
                        <m:t>†</m:t>
                      </m:r>
                    </m:sup>
                  </m:sSup>
                </m:e>
              </m:box>
            </m:oMath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Rayleigh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20,480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15,410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</w:tr>
    </w:tbl>
    <w:p>
      <w:pPr>
        <w:spacing w:after="40"/>
      </w:pP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表 5 显示，在三档预算和两类信道下，RS-Token 的解码失败率均为 0。以接近目标源比特的 JPEG2000 为主要传统对照，AWGN +10 dB 下的失败率为 62.1%–99.9%，Rayleigh +10 dB 下为 71.6%–99.9%。在目标总比特为 20,480 时，RS-Token 的重建图分类准确率在 AWGN 和 Rayleigh 下分别为 86.9% 和 86.3%，JPEG2000 则为 14.3% 和 1.3%。WebP 在三档预算下均未实现速率匹配，其失败率结果只用于补充说明文件容器在残余误码下的响应。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上述现象与两类表示对残余误码的响应方式一致：传统压缩码流中的局部误码可能破坏全局容器，使整个图像无法解码；RS-Token 的误码则局限于相应标记的码本查找。该实验仅反映本文自定义 rate-1/2 LDPC 实现及目标比特设置下的结果，不应解释为对 5G NR LDPC 或完整标准通信协议的评测。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4.4 跨数据集泛化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前述主要实验均在 AID [18] 上进行，因而尚不能区分 L0 表示编码的是可迁移的遥感场景语义，还是仅与 AID 标签集相关的特征。本节将 AID 上训练的标记器直接迁移至另一遥感场景数据集，同时考察任务路径与重建路径的跨数据集泛化能力。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AID 上训练的编码器、RVQ 码本和解码器在迁移时全部冻结，并直接应用于包含 45 类、31,500 张图像的 NWPU-RESISC45 [19]。仅线性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探针和用于评价重建图像的 ResNet34 在 NWPU 的 60/20/20 划分上重新拟合；后者的测试准确率和宏平均 F1 分别为 95.17% 和 0.9518。L0 蒸馏模型与无蒸馏基线均使用种子 42，每个信道条件包含 6,300 张测试图像。</w:t>
      </w:r>
    </w:p>
    <w:p>
      <w:pPr>
        <w:keepNext/>
        <w:widowControl/>
        <w:spacing w:line="264" w:lineRule="auto" w:before="100" w:after="60"/>
        <w:ind w:firstLine="0"/>
        <w:jc w:val="center"/>
      </w:pPr>
      <w:r>
        <w:rPr>
          <w:rFonts w:ascii="Times New Roman" w:hAnsi="Times New Roman" w:eastAsia="宋体"/>
          <w:b w:val="0"/>
          <w:sz w:val="18"/>
        </w:rPr>
        <w:t>表 6  AID 标记器在 NWPU-RESISC45 上的跨数据集迁移结果（种子 42，每个条件 6,300 张测试图像）。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cantSplit/>
          <w:tblHeader w:val="true"/>
        </w:trPr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信道</w:t>
            </w:r>
          </w:p>
        </w:tc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SNR</w:t>
            </w:r>
          </w:p>
        </w:tc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 xml:space="preserve">蒸馏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eastAsia="宋体"/>
                <w:b/>
                <w:sz w:val="15"/>
              </w:rPr>
              <w:t xml:space="preserve"> (%)</w:t>
            </w:r>
          </w:p>
        </w:tc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 xml:space="preserve">基线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eastAsia="宋体"/>
                <w:b/>
                <w:sz w:val="15"/>
              </w:rPr>
              <w:t xml:space="preserve"> (%)</w:t>
            </w:r>
          </w:p>
        </w:tc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Δ</m:t>
                  </m:r>
                  <m:sSub>
                    <m:e>
                      <m:r>
                        <m:rPr>
                          <m:sty m:val="i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eastAsia="宋体"/>
                <w:b/>
                <w:sz w:val="15"/>
              </w:rPr>
              <w:t>（个百分点）</w:t>
            </w:r>
          </w:p>
        </w:tc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 xml:space="preserve">蒸馏 </w:t>
            </w:r>
            <m:oMath>
              <m:box>
                <m:e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4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5"/>
              </w:rPr>
              <w:t xml:space="preserve"> PSNR (dB)</w:t>
            </w:r>
          </w:p>
        </w:tc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 xml:space="preserve">蒸馏 </w:t>
            </w:r>
            <m:oMath>
              <m:box>
                <m:e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4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5"/>
              </w:rPr>
              <w:t xml:space="preserve"> 重建图分类 (%)</w:t>
            </w:r>
          </w:p>
        </w:tc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 xml:space="preserve">基线 </w:t>
            </w:r>
            <m:oMath>
              <m:box>
                <m:e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4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5"/>
              </w:rPr>
              <w:t xml:space="preserve"> PSNR (dB)</w:t>
            </w:r>
          </w:p>
        </w:tc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 xml:space="preserve">基线 </w:t>
            </w:r>
            <m:oMath>
              <m:box>
                <m:e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4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5"/>
              </w:rPr>
              <w:t xml:space="preserve"> 重建图分类 (%)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无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--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64.37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43.49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20.87</m:t>
                  </m:r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27.09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80.59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27.37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78.08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AWGN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+5 dB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61.38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41.68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19.70</m:t>
                  </m:r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24.80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76.25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24.63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72.60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AWGN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+10 dB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64.38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43.48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20.90</m:t>
                  </m:r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27.08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80.60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27.37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78.10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Rayleigh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+5 dB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30.73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16.79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13.94</m:t>
                  </m:r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17.42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18.24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16.82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15.48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Rayleigh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+10 dB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53.54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33.71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19.83</m:t>
                  </m:r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21.20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56.76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20.71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49.22</w:t>
            </w:r>
          </w:p>
        </w:tc>
      </w:tr>
    </w:tbl>
    <w:p>
      <w:pPr>
        <w:spacing w:after="40"/>
      </w:pP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NWPU 渐进式重建（L0 蒸馏模型，无信道）：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从 1 到 4 时 PSNR </w:t>
      </w:r>
      <m:oMath>
        <m:box>
          <m:e>
            <m:r>
              <m:rPr>
                <m:sty m:val="p"/>
              </m:rPr>
              <m:t>23.65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25.65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26.62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27.09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dB、重建图分类 </w:t>
      </w:r>
      <m:oMath>
        <m:box>
          <m:e>
            <m:r>
              <m:rPr>
                <m:sty m:val="p"/>
              </m:rPr>
              <m:t>62.25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76.38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79.41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80.59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，与 AID 上同样保留单调改善。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表 6 显示，无信道下 L0 蒸馏模型的任务准确率为 64.37%，较无蒸馏基线高 20.87 个百分点；AWGN +10 dB 下保持 20.90 个百分点的差距。Rayleigh +10 dB 和 +5 dB 下的增益分别为 19.83 和 13.94 个百分点。与 AID 上种子 42 的 26.57 个百分点相比，NWPU 上的同口径增益缩小约 5.7 个百分点，说明域偏移降低了绝对任务性能，但没有消除蒸馏贡献。重建路径中，蒸馏模型的无信道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PSNR 为 27.09 dB，重建图分类准确率为 80.59%；无蒸馏基线的相应结果为 27.37 dB 和 78.08%。两个模型在 NWPU 上均出现相近的 PSNR 抬升，说明该变化主要来自数据集图像统计差异，而非跨域重建能力的额外提升。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因此，该结果应解释为部分迁移：L0 蒸馏的相对增益在新数据集上得到保留，但绝对准确率随域偏移下降，且强 Rayleigh 衰落会进一步放大这种退化。该证据支持 L0 含有可迁移的遥感场景语义，但不足以说明其对任意遥感分布均具有不变性。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4.5 无保护传统码流压力测试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RS-Token 的主内部对照是无蒸馏 RVQ 基线，因为它共享同一 RVQ 索引框架并直接检验 RemoteCLIP 蒸馏的效果。WebP 与 JPEG2000 是</w:t>
      </w:r>
      <w:r>
        <w:rPr>
          <w:rFonts w:ascii="Times New Roman" w:hAnsi="Times New Roman" w:eastAsia="宋体"/>
          <w:b/>
          <w:sz w:val="21"/>
        </w:rPr>
        <w:t>外部传统压缩基线</w:t>
      </w:r>
      <w:r>
        <w:rPr>
          <w:rFonts w:ascii="Times New Roman" w:hAnsi="Times New Roman" w:eastAsia="宋体"/>
          <w:b w:val="0"/>
          <w:sz w:val="21"/>
        </w:rPr>
        <w:t>——不是架构消融，也不应被视作完美公平的语义标记器比较。本节聚焦一个</w:t>
      </w:r>
      <w:r>
        <w:rPr>
          <w:rFonts w:ascii="Times New Roman" w:hAnsi="Times New Roman" w:eastAsia="宋体"/>
          <w:b/>
          <w:sz w:val="21"/>
        </w:rPr>
        <w:t>更窄的压力测试</w:t>
      </w:r>
      <w:r>
        <w:rPr>
          <w:rFonts w:ascii="Times New Roman" w:hAnsi="Times New Roman" w:eastAsia="宋体"/>
          <w:b w:val="0"/>
          <w:sz w:val="21"/>
        </w:rPr>
        <w:t>：传统压缩文件的码流以</w:t>
      </w:r>
      <w:r>
        <w:rPr>
          <w:rFonts w:ascii="Times New Roman" w:hAnsi="Times New Roman" w:eastAsia="宋体"/>
          <w:b/>
          <w:sz w:val="21"/>
        </w:rPr>
        <w:t>无保护</w:t>
      </w:r>
      <w:r>
        <w:rPr>
          <w:rFonts w:ascii="Times New Roman" w:hAnsi="Times New Roman" w:eastAsia="宋体"/>
          <w:b w:val="0"/>
          <w:sz w:val="21"/>
        </w:rPr>
        <w:t>方式经 BPSK 含噪信道传输时的失效模式。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WebP 与 JPEG2000 的目标预算设为 2,560、5,120 和 10,240 比特/图像，分别与 RS-Token 的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对齐；由于缺少 7,680 比特操作点，本实验不比较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。压缩码流不采用 LDPC 或其他纠错码，直接经 BPSK 信道传输。表 7 中“实际比特”为生成文件的平均字节数乘以 8，“解码失败”为接收端无法得到图像的比例；分类准确率将失败样本计为错误，而有效 PSNR 仅在成功解码的图像上计算。</w:t>
      </w:r>
    </w:p>
    <w:p>
      <w:pPr>
        <w:keepNext/>
        <w:widowControl/>
        <w:spacing w:line="264" w:lineRule="auto" w:before="100" w:after="60"/>
        <w:ind w:firstLine="0"/>
        <w:jc w:val="center"/>
      </w:pPr>
      <w:r>
        <w:rPr>
          <w:rFonts w:ascii="Times New Roman" w:hAnsi="Times New Roman" w:eastAsia="宋体"/>
          <w:b w:val="0"/>
          <w:sz w:val="18"/>
        </w:rPr>
        <w:t>表 7  无信道编码保护的 WebP/JPEG2000 码流压力测试。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 w:val="true"/>
        </w:trPr>
        <w:tc>
          <w:tcPr>
            <w:tcW w:type="dxa" w:w="1296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方法</w:t>
            </w:r>
          </w:p>
        </w:tc>
        <w:tc>
          <w:tcPr>
            <w:tcW w:type="dxa" w:w="1296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信道/SNR</w:t>
            </w:r>
          </w:p>
        </w:tc>
        <w:tc>
          <w:tcPr>
            <w:tcW w:type="dxa" w:w="1296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目标比特</w:t>
            </w:r>
          </w:p>
        </w:tc>
        <w:tc>
          <w:tcPr>
            <w:tcW w:type="dxa" w:w="1296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实际比特（均值）</w:t>
            </w:r>
          </w:p>
        </w:tc>
        <w:tc>
          <w:tcPr>
            <w:tcW w:type="dxa" w:w="1296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解码失败</w:t>
            </w:r>
          </w:p>
        </w:tc>
        <w:tc>
          <w:tcPr>
            <w:tcW w:type="dxa" w:w="1296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全图像分类准确率 (%)</w:t>
            </w:r>
          </w:p>
        </w:tc>
        <w:tc>
          <w:tcPr>
            <w:tcW w:type="dxa" w:w="1296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有效 PSNR (dB)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WebP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14,164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61.8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26.56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WebP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14,164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0.039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58.8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26.51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WebP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14,164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0.999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10.52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WebP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14,301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62.6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26.65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WebP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14,301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0.045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59.9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26.63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WebP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14,301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--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WebP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15,410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67.5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27.04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WebP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15,410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0.041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64.5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26.97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WebP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15,410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--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JPEG2000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2,663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6.5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20.19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JPEG2000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2,663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0.003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6.6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20.11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JPEG2000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2,663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--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JPEG2000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5,192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11.0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22.35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JPEG2000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5,192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0.001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10.9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22.27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JPEG2000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5,192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--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JPEG2000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10,246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39.6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23.97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JPEG2000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10,246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0.004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38.9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23.90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JPEG2000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10,246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1.000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--</w:t>
            </w:r>
          </w:p>
        </w:tc>
      </w:tr>
    </w:tbl>
    <w:p>
      <w:pPr>
        <w:spacing w:after="40"/>
      </w:pP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表 7 表明，WebP 在无信道条件下具有较高的重建图分类准确率，但实际比特数明显超过目标预算，因而无法实现严格速率匹配；在 Rayleigh +10 dB 下，其码流几乎全部解码失败。JPEG2000 的实际比特数更接近目标预算，AWGN +10 dB 下的失败率仅为 0.1–0.4%，但在 Rayleigh +10 dB 下三档预算均达到 100% 解码失败。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该压力测试只说明无保护传统压缩码流在含噪 BPSK 信道下可能出现文件级失败。它不构成对“编解码器 + 强信道码 + 重传”系统的完整评价，也不替代无蒸馏 RVQ 基线对 RemoteCLIP 蒸馏贡献的检验；RS-Token 的层间分工由 §4.2.2 的蒸馏位置实验直接验证。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4.6 消融实验</w:t>
      </w:r>
    </w:p>
    <w:p>
      <w:pPr>
        <w:pStyle w:val="Heading3"/>
        <w:keepNext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4.6.1 RVQ 深度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RVQ 深度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是关键架构超参，但仅给出单一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的结果不足以说明"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是最优深度"。本节训练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6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（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已存在为主配置 s42），跑 5 信道任务路径 + 全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重建路径，分析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在任务/重建帕累托折中中的位置。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该消融复用主模型的训练配置，仅改变 RVQ 层数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，并固定随机种子为 42、</w:t>
      </w:r>
      <m:oMath>
        <m:box>
          <m:e>
            <m:sSub>
              <m:e>
                <m:r>
                  <m:rPr>
                    <m:sty m:val="i"/>
                  </m:rPr>
                  <m:t>λ</m:t>
                </m:r>
              </m:e>
              <m:sub>
                <m:box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l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0.5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、L0 单层蒸馏及 RemoteCLIP 教师。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直接使用主配置的 s42 检查点。每层包含 256 个 10 比特索引，因此单层和全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前缀的负载分别为 2,560 和 </w:t>
      </w:r>
      <m:oMath>
        <m:box>
          <m:e>
            <m:r>
              <m:rPr>
                <m:sty m:val="p"/>
              </m:rPr>
              <m:t>2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560</m:t>
            </m:r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比特/图像。</w:t>
      </w:r>
    </w:p>
    <w:p>
      <w:pPr>
        <w:keepNext/>
        <w:widowControl/>
        <w:spacing w:line="264" w:lineRule="auto" w:before="100" w:after="60"/>
        <w:ind w:firstLine="0"/>
        <w:jc w:val="center"/>
      </w:pPr>
      <w:r>
        <w:rPr>
          <w:rFonts w:ascii="Times New Roman" w:hAnsi="Times New Roman" w:eastAsia="宋体"/>
          <w:b w:val="0"/>
          <w:sz w:val="18"/>
        </w:rPr>
        <w:t xml:space="preserve">表 8  RVQ 深度消融（种子 42，全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 w:val="0"/>
          <w:sz w:val="18"/>
        </w:rPr>
        <w:t xml:space="preserve"> 前缀）。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 w:val="true"/>
        </w:trPr>
        <w:tc>
          <w:tcPr>
            <w:tcW w:type="dxa" w:w="113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K</m:t>
                  </m:r>
                </m:e>
              </m:box>
            </m:oMath>
          </w:p>
        </w:tc>
        <w:tc>
          <w:tcPr>
            <w:tcW w:type="dxa" w:w="113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 xml:space="preserve">全 </w:t>
            </w:r>
            <m:oMath>
              <m:box>
                <m:e>
                  <m:r>
                    <m:rPr>
                      <m:sty m:val="i"/>
                    </m:rPr>
                    <m:t>K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5"/>
              </w:rPr>
              <w:t xml:space="preserve"> 比特</w:t>
            </w:r>
          </w:p>
        </w:tc>
        <w:tc>
          <w:tcPr>
            <w:tcW w:type="dxa" w:w="113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h₀ 无信道 (%)</w:t>
            </w:r>
          </w:p>
        </w:tc>
        <w:tc>
          <w:tcPr>
            <w:tcW w:type="dxa" w:w="113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h₀ AWGN +5 (%)</w:t>
            </w:r>
          </w:p>
        </w:tc>
        <w:tc>
          <w:tcPr>
            <w:tcW w:type="dxa" w:w="113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h₀ Ray +5 (%)</w:t>
            </w:r>
          </w:p>
        </w:tc>
        <w:tc>
          <w:tcPr>
            <w:tcW w:type="dxa" w:w="113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h₀ Ray +10 (%)</w:t>
            </w:r>
          </w:p>
        </w:tc>
        <w:tc>
          <w:tcPr>
            <w:tcW w:type="dxa" w:w="113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PSNR 无信道 (dB)</w:t>
            </w:r>
          </w:p>
        </w:tc>
        <w:tc>
          <w:tcPr>
            <w:tcW w:type="dxa" w:w="113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PSNR Ray +10 (dB)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5,120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84.00</m:t>
                      </m:r>
                    </m:e>
                  </m:box>
                </m:e>
              </m:box>
            </m:oMath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83.30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59.10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79.40</m:t>
                      </m:r>
                    </m:e>
                  </m:box>
                </m:e>
              </m:box>
            </m:oMath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24.71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20.39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7,680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84.30</m:t>
                      </m:r>
                    </m:e>
                  </m:box>
                </m:e>
              </m:box>
            </m:oMath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84.70</m:t>
                      </m:r>
                    </m:e>
                  </m:box>
                </m:e>
              </m:box>
            </m:oMath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54.50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77.90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25.44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20.41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4（主）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10,240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82.60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80.80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61.50</m:t>
                      </m:r>
                    </m:e>
                  </m:box>
                </m:e>
              </m:box>
            </m:oMath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78.40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25.92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20.55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15,360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82.10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81.50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54.90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75.20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26.58</m:t>
                      </m:r>
                    </m:e>
                  </m:box>
                </m:e>
              </m:box>
            </m:oMath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20.79</m:t>
                      </m:r>
                    </m:e>
                  </m:box>
                </m:e>
              </m:box>
            </m:oMath>
          </w:p>
        </w:tc>
      </w:tr>
    </w:tbl>
    <w:p>
      <w:pPr>
        <w:spacing w:after="40"/>
      </w:pPr>
    </w:p>
    <w:p>
      <w:pPr>
        <w:widowControl/>
        <w:spacing w:line="324" w:lineRule="auto" w:before="0" w:after="60"/>
        <w:ind w:firstLine="420"/>
        <w:jc w:val="both"/>
      </w:pPr>
      <m:oMath>
        <m:box>
          <m:e>
            <m:r>
              <m:rPr>
                <m:sty m:val="i"/>
              </m:rPr>
              <m:t>Δ</m:t>
            </m:r>
          </m:e>
        </m:box>
      </m:oMath>
      <w:r>
        <w:rPr>
          <w:rFonts w:ascii="Times New Roman" w:hAnsi="Times New Roman" w:eastAsia="宋体"/>
          <w:b/>
          <w:sz w:val="21"/>
        </w:rPr>
        <w:t xml:space="preserve"> 对比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/>
          <w:sz w:val="21"/>
        </w:rPr>
        <w:t xml:space="preserve">（无信道、全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b/>
          <w:sz w:val="21"/>
        </w:rPr>
        <w:t>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K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Δ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 xml:space="preserve"> h₀（个百分点）</w:t>
            </w:r>
          </w:p>
        </w:tc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Δ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 xml:space="preserve"> PSNR (dB)</w:t>
            </w:r>
          </w:p>
        </w:tc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 xml:space="preserve">比特 </w:t>
            </w:r>
            <m:oMath>
              <m:box>
                <m:e>
                  <m:r>
                    <m:rPr>
                      <m:sty m:val="i"/>
                    </m:rPr>
                    <m:t>Δ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1.40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1.21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5</m:t>
                  </m:r>
                  <m:box>
                    <m:e>
                      <m:r>
                        <m:rPr>
                          <m:sty m:val="p"/>
                        </m:rPr>
                        <m:t>,</m:t>
                      </m:r>
                    </m:e>
                  </m:box>
                  <m:r>
                    <m:rPr>
                      <m:sty m:val="p"/>
                    </m:rPr>
                    <m:t>120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1.70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0.48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  <m:box>
                    <m:e>
                      <m:r>
                        <m:rPr>
                          <m:sty m:val="p"/>
                        </m:rPr>
                        <m:t>,</m:t>
                      </m:r>
                    </m:e>
                  </m:box>
                  <m:r>
                    <m:rPr>
                      <m:sty m:val="p"/>
                    </m:rPr>
                    <m:t>560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0.00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0.00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0.50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0.66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5</m:t>
                  </m:r>
                  <m:box>
                    <m:e>
                      <m:r>
                        <m:rPr>
                          <m:sty m:val="p"/>
                        </m:rPr>
                        <m:t>,</m:t>
                      </m:r>
                    </m:e>
                  </m:box>
                  <m:r>
                    <m:rPr>
                      <m:sty m:val="p"/>
                    </m:rPr>
                    <m:t>120</m:t>
                  </m:r>
                </m:e>
              </m:box>
            </m:oMath>
          </w:p>
        </w:tc>
      </w:tr>
    </w:tbl>
    <w:p>
      <w:pPr>
        <w:spacing w:after="40"/>
      </w:pP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表 8 表明，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并非所有单项指标上的最优值。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和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的无信道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准确率分别比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高 1.70 和 1.40 个百分点，可能是因为固定蒸馏权重在较少的 RVQ 承诺损失项下具有更高的相对占比。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的全前缀 PSNR 比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高 0.66 dB，但需要增加 50% 的传输比特，收益呈次线性。Rayleigh +5 dB 下，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的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准确率为 61.50%，分别高于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的结果。进一步地，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模型只传输前 4 层时的 PSNR 为 26.17 dB，略高于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模型的 25.92 dB，但其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前缀 PSNR 较低，说明更深模型会重新分配各层承载的信息量。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在所有候选深度的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准确率均超过 82% 的前提下，本文把无信道 PSNR 不低于 25.9 dB 作为主配置的附加约束。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是满足该约束的最小深度，并将信息负载控制在 10,240 比特。因此，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应被视为任务性能、重建质量与传输开销之间的折中点，而非单维度最优解。</w:t>
      </w:r>
    </w:p>
    <w:p>
      <w:pPr>
        <w:pStyle w:val="Heading3"/>
        <w:keepNext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4.6.2 编码器形式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为检验 CNN 编码器是否必要，构造直接量化 RemoteCLIP（Direct-Quantize-RemoteCLIP, DCRC）控制模型：跳过 CNN 编码器，直接将冻结的 RemoteCLIP 512 维全局嵌入投影并重塑为 256 个标记，再使用四层 RVQ 和相同解码器。DCRC 与 RS-Token 采用相同的 10,240 比特预算和 3 个训练种子，完整结果见附录 B。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DCRC 在任务路径上显著领先 RS-Token：无信道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准确率为 </w:t>
      </w:r>
      <m:oMath>
        <m:box>
          <m:e>
            <m:r>
              <m:rPr>
                <m:sty m:val="p"/>
              </m:rPr>
              <m:t>96.00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0.62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，而 RS-Token 为 </w:t>
      </w:r>
      <m:oMath>
        <m:box>
          <m:e>
            <m:r>
              <m:rPr>
                <m:sty m:val="p"/>
              </m:rPr>
              <m:t>83.33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0.81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；五种信道条件下的优势约为 13–24 个百分点。然而，DCRC 的无信道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PSNR 仅为 </w:t>
      </w:r>
      <m:oMath>
        <m:box>
          <m:e>
            <m:r>
              <m:rPr>
                <m:sty m:val="p"/>
              </m:rPr>
              <m:t>17.85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0.01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dB，比 RS-Token 低 8.07 dB，重建图分类准确率也低 75.37 个百分点。其 PSNR 从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增加到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时仅提升 0.09 dB，说明判别性的 RemoteCLIP 全局嵌入不能为后续 RVQ 层提供可渐进恢复的像素细节。因此，CNN 编码器是同时支持任务路径和重建路径所需的生成式表示接口，而非冗余组件。</w:t>
      </w:r>
    </w:p>
    <w:p>
      <w:pPr>
        <w:pStyle w:val="Heading3"/>
        <w:keepNext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4.6.3 教师模型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为区分视觉-语言蒸馏机制与 RemoteCLIP 领域适配本身的贡献，使用架构、训练协议和随机种子均匹配的 OpenAI CLIP 教师进行对照。表 9 报告任务路径和无信道重建结果。</w:t>
      </w:r>
    </w:p>
    <w:p>
      <w:pPr>
        <w:keepNext/>
        <w:widowControl/>
        <w:spacing w:line="264" w:lineRule="auto" w:before="100" w:after="60"/>
        <w:ind w:firstLine="0"/>
        <w:jc w:val="center"/>
      </w:pPr>
      <w:r>
        <w:rPr>
          <w:rFonts w:ascii="Times New Roman" w:hAnsi="Times New Roman" w:eastAsia="宋体"/>
          <w:b w:val="0"/>
          <w:sz w:val="18"/>
        </w:rPr>
        <w:t>表 9  教师模型消融。RemoteCLIP 对比 OpenAI CLIP，架构与种子匹配。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81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信道</w:t>
            </w:r>
          </w:p>
        </w:tc>
        <w:tc>
          <w:tcPr>
            <w:tcW w:type="dxa" w:w="181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SNR</w:t>
            </w:r>
          </w:p>
        </w:tc>
        <w:tc>
          <w:tcPr>
            <w:tcW w:type="dxa" w:w="181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RemoteCLIP</w:t>
            </w:r>
          </w:p>
        </w:tc>
        <w:tc>
          <w:tcPr>
            <w:tcW w:type="dxa" w:w="181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OpenAI CLIP</w:t>
            </w:r>
          </w:p>
        </w:tc>
        <w:tc>
          <w:tcPr>
            <w:tcW w:type="dxa" w:w="181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Δ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 xml:space="preserve"> 准确率（</w:t>
            </w:r>
            <m:oMath>
              <m:box>
                <m:e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>, %）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--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82.6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80.8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+1.8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+5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82.5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78.8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+3.7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+10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82.6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80.8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+1.8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+5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59.8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53.8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+6.0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+10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79.2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74.4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+4.8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4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 xml:space="preserve"> 无信道重建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PSNR (dB)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--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25.92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26.03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−0.11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重建图分类 (%)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--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86.9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86.6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+0.3</w:t>
            </w:r>
          </w:p>
        </w:tc>
      </w:tr>
    </w:tbl>
    <w:p>
      <w:pPr>
        <w:spacing w:after="40"/>
      </w:pP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表 9 中，RemoteCLIP 相对 OpenAI CLIP 的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优势为 1.8–6.0 个百分点，并在 Rayleigh 信道下更明显；两种教师的重建结果基本一致，PSNR 和重建图分类差距分别不超过 0.11 dB 和 0.3 个百分点。这说明视觉-语言蒸馏是主要机制，而 RemoteCLIP 提供的是有界的遥感领域增益。</w:t>
      </w:r>
    </w:p>
    <w:p>
      <w:pPr>
        <w:pStyle w:val="Heading3"/>
        <w:keepNext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4.6.4 蒸馏权重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表 10 比较 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0.1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1.0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，其余训练配置保持不变，用于评估语义对齐强度、重建质量与衰落鲁棒性之间的敏感性。</w:t>
      </w:r>
    </w:p>
    <w:p>
      <w:pPr>
        <w:keepNext/>
        <w:widowControl/>
        <w:spacing w:line="264" w:lineRule="auto" w:before="100" w:after="60"/>
        <w:ind w:firstLine="0"/>
        <w:jc w:val="center"/>
      </w:pPr>
      <w:r>
        <w:rPr>
          <w:rFonts w:ascii="Times New Roman" w:hAnsi="Times New Roman" w:eastAsia="宋体"/>
          <w:b w:val="0"/>
          <w:sz w:val="18"/>
        </w:rPr>
        <w:t xml:space="preserve">表 10  蒸馏权重 </w:t>
      </w:r>
      <m:oMath>
        <m:box>
          <m:e>
            <m:r>
              <m:rPr>
                <m:sty m:val="i"/>
              </m:rPr>
              <m:t>λ</m:t>
            </m:r>
          </m:e>
        </m:box>
      </m:oMath>
      <w:r>
        <w:rPr>
          <w:rFonts w:ascii="Times New Roman" w:hAnsi="Times New Roman" w:eastAsia="宋体"/>
          <w:b w:val="0"/>
          <w:sz w:val="18"/>
        </w:rPr>
        <w:t xml:space="preserve"> 消融（种子 42）。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条件</w:t>
            </w:r>
          </w:p>
        </w:tc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λ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0.1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λ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0.5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>（主）</w:t>
            </w:r>
          </w:p>
        </w:tc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λ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1.0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无信道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eastAsia="宋体"/>
                <w:b w:val="0"/>
                <w:sz w:val="17"/>
              </w:rPr>
              <w:t xml:space="preserve"> (%)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71.2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82.4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84.5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AWGN +10 dB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eastAsia="宋体"/>
                <w:b w:val="0"/>
                <w:sz w:val="17"/>
              </w:rPr>
              <w:t xml:space="preserve"> (%)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71.2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82.5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84.5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AWGN +5 dB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eastAsia="宋体"/>
                <w:b w:val="0"/>
                <w:sz w:val="17"/>
              </w:rPr>
              <w:t xml:space="preserve"> (%)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69.2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82.3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83.3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Rayleigh +10 dB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eastAsia="宋体"/>
                <w:b w:val="0"/>
                <w:sz w:val="17"/>
              </w:rPr>
              <w:t xml:space="preserve"> (%)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64.3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79.0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77.6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Rayleigh +5 dB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eastAsia="宋体"/>
                <w:b w:val="0"/>
                <w:sz w:val="17"/>
              </w:rPr>
              <w:t xml:space="preserve"> (%)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42.1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59.1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49.8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4</m:t>
                  </m:r>
                </m:e>
              </m:box>
            </m:oMath>
            <w:r>
              <w:rPr>
                <w:rFonts w:ascii="Times New Roman" w:hAnsi="Times New Roman" w:eastAsia="宋体"/>
                <w:b w:val="0"/>
                <w:sz w:val="17"/>
              </w:rPr>
              <w:t xml:space="preserve"> 无信道 PSNR (dB)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26.20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25.92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25.64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4</m:t>
                  </m:r>
                </m:e>
              </m:box>
            </m:oMath>
            <w:r>
              <w:rPr>
                <w:rFonts w:ascii="Times New Roman" w:hAnsi="Times New Roman" w:eastAsia="宋体"/>
                <w:b w:val="0"/>
                <w:sz w:val="17"/>
              </w:rPr>
              <w:t xml:space="preserve"> 无信道 LPIPS ↓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0.165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0.176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0.185</w:t>
            </w:r>
          </w:p>
        </w:tc>
      </w:tr>
    </w:tbl>
    <w:p>
      <w:pPr>
        <w:spacing w:after="40"/>
      </w:pP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表 10 表明，增大 </w:t>
      </w:r>
      <m:oMath>
        <m:box>
          <m:e>
            <m:r>
              <m:rPr>
                <m:sty m:val="i"/>
              </m:rPr>
              <m:t>λ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能够提高无信道和 AWGN 下的任务准确率，但会降低无信道重建质量；在 Rayleigh 信道下，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0.5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的任务表现优于 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1.0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。因此主模型采用 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0.5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，以平衡语义判别性、重建质量和衰落鲁棒性，该取值并不代表所有部署条件下的全局最优。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 w:eastAsia="宋体"/>
          <w:b/>
          <w:sz w:val="28"/>
        </w:rPr>
        <w:t>5. 讨论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5.1 层特化与任务–重建折中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主结果与蒸馏位置反事实共同说明，L0 的场景判别性来自施加在第一量化层上的视觉–语言监督，而不是 RVQ 第一层天然具有更强语义。RemoteCLIP [7] 提供的遥感语义几何使 L0 比仅由重建损失驱动的 RVQ 表示 [5] 更适合图像级任务，这与向量量化标记器吸收基础模型语义的相关研究 [15] 一致。该结论仅适用于 L0 任务路径；后续层的作用主要体现在重建指标随前缀长度增加而改善。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这种层特化并不意味着任务和重建可以同时达到各自的单目标最优。编码器形式消融表明，直接量化 RemoteCLIP 能进一步提高任务准确率，却几乎丧失渐进式重建能力；蒸馏权重消融也显示，更强的语义约束会牺牲一定像素保真度。因而，CNN 编码器、多层 RVQ 和中等蒸馏权重共同形成任务语义、重建细节与信道鲁棒性之间的折中。教师模型消融进一步表明，RemoteCLIP 带来有限的遥感领域增益，本文的主要机制应概括为分层视觉–语言蒸馏，而非特定教师或单一超参数的普适优势。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与 ADJSCC 的比较揭示了另一层折中。连续 deep-JSCC 直接针对像素误差训练，因此在 PSNR 上更有优势；RS-Token 的离散表示在无信道和 AWGN 的低比特条件下保留了更多任务相关信息。然而，硬判决离散索引在 Rayleigh 衰落下对残余误码更敏感，强衰落时连续表示的优势会反转任务结果。因此，RS-Token 不应被描述为对连续 JSCC 的全面替代，而应视为更偏向数字接口和任务语义的另一种设计点。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NWPU-RESISC45 [19] 上的迁移结果进一步限定了该解释：蒸馏相对无蒸馏基线的优势在新数据集上仍然存在，但绝对任务准确率下降。由此可以推断 L0 学到了部分可迁移的遥感场景语义，但现有证据尚不足以支持跨任意传感器、地域或任务分布的不变性。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5.2 系统意义与部署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从系统视角看，RS-Token 是物理层和链路层机制之上的应用表示，不替代混合自动重传请求（Hybrid Automatic Repeat reQuest, HARQ）、自适应调制编码或 LDPC [17]。分层索引允许系统根据业务需求选择传输前缀：仅需场景判断时传输 L0，需要视觉复核时再增加后续层。§4.3.2 说明该表示可以与纠错码组合，但层选择、重传、调制和信道编码仍是彼此独立的模块，尚未进行联合优化。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部署侧编码器和解码器共含 10.87 M 参数，处理一幅 </w:t>
      </w:r>
      <m:oMath>
        <m:box>
          <m:e>
            <m:r>
              <m:rPr>
                <m:sty m:val="p"/>
              </m:rPr>
              <m:t>256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256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图像需要 38.31 GFLOPs；测得的单图 GPU 和单线程 CPU 延迟分别为 8.59 ms 和 66.70 ms。约 150 M 参数的 RemoteCLIP 教师只在训练阶段使用，接收端额外保存的 fp32 码本约占 8 MB。这些测量给出了计算与存储开销的量级，但实际边缘部署仍需结合目标硬件的功耗、内存带宽和并发要求评估。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5.3 局限性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当前实验仍有四项主要局限。第一，任务评估限于 AID 和 NWPU-RESISC45 的图像级场景分类，尚未验证目标检测、语义分割等需要空间定位的任务；词袋特征会丢弃标记网格的空间关系，因此密集预测需要保留空间结构并重新设计评价协议。第二，主结果采用三个随机种子，但 L1 蒸馏位置、教师模型、RVQ 深度和跨数据集实验中的部分设置仍仅报告种子 42，相关结论需要更充分的多种子复现。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第三，信道编码比较使用自定义 rate-1/2 系统稀疏 LDPC 和 min-sum BP 解码，而非 5G NR LDPC，也未包含 HARQ、软译码和自适应调制编码。因此，§4.3.2 的结果只适用于本文实现与固定传输比特条件，不能外推到标准蜂窝系统。第四，现代 deep-JSCC 比较仅覆盖 ADJSCC；NTSCC、SwinJSCC [4] 等更近期方法可能改变帕累托前沿的具体位置。未来工作需要在统一训练预算、信道模型和任务评价器下扩展比较范围。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 w:eastAsia="宋体"/>
          <w:b/>
          <w:sz w:val="28"/>
        </w:rPr>
        <w:t>6. 结论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本文提出面向遥感通信的层次化 RVQ 标记器 RS-Token。通过仅在第一量化层蒸馏 RemoteCLIP，模型使 L0 更适合低码率场景分类，并利用后续层渐进细化重建。实验分别评价任务路径与重建路径，以无蒸馏 RVQ 基线检验蒸馏贡献，并通过蒸馏位置、配对初始化和连续 SNR 扫描验证主要增益的稳定性。跨数据集实验表明该增益能够部分迁移至 NWPU-RESISC45；编码器形式与 RVQ 深度消融则将主架构解释为任务性能、重建质量和传输开销之间的折中。与 ADJSCC 及传统数字传输方案的比较进一步表明，RS-Token 在 AWGN 的低比特任务保真度上具有优势，但在 Rayleigh 衰落下与连续 deep-JSCC 存在明显折中。总体而言，现有结果支持 RemoteCLIP 引导的层特化用于低码率遥感场景语义传输和渐进式重建，同时也限定了其在强衰落与跨域条件下的适用范围。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 w:eastAsia="宋体"/>
          <w:b/>
          <w:sz w:val="28"/>
        </w:rPr>
        <w:t>附录 A：ADJSCC 对比 RS-Token 完整结果（§4.3.1 支持材料）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ADJSCC 训练于混合 AWGN + 复数 Rayleigh，每样本独立随机选择信道，SNR ∈ [-2, 12] dB 均匀；3 种子（41/42/43）。RS-Token 结果来自 §4.2.1 和 §4.2.3 的三个主模型种子。所有单元格为均值 ± 标准差。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A.1 PSNR (dB)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 w:val="true"/>
        </w:trPr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比特/图像</w:t>
            </w:r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k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信道</w:t>
            </w:r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ADJSCC</w:t>
            </w:r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RS-Token（L0 蒸馏）</w:t>
            </w:r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Δ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>（RS − ADJSCC）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25.71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0.03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22.98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0.09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2.73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24.64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0.02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21.99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0.07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2.65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25.33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0.03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22.98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0.09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2.35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23.18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0.01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16.95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0.05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6.23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24.34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0.03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19.87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0.07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4.47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27.21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0.03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24.76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0.04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2.45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25.94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0.02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23.24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0.02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2.71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26.76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0.02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24.76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0.04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1.99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24.10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0.01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16.94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0.06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7.16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25.47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0.02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20.33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0.07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5.14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28.23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0.03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25.92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0.08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2.30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27.06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0.01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23.94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0.09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3.12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27.81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0.02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25.92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0.08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1.89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24.97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0.01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16.90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0.07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8.07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26.45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0.01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20.55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0.07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5.89</m:t>
                  </m:r>
                </m:e>
              </m:box>
            </m:oMath>
          </w:p>
        </w:tc>
      </w:tr>
    </w:tbl>
    <w:p>
      <w:pPr>
        <w:spacing w:after="40"/>
      </w:pP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A.2 重建图分类器准确率（%）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 w:val="true"/>
        </w:trPr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比特/图像</w:t>
            </w:r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k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信道</w:t>
            </w:r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ADJSCC</w:t>
            </w:r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RS-Token</w:t>
            </w:r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Δ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>（个百分点）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52.87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71.37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18.50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38.70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68.47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29.77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49.17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71.37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22.20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22.63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22.00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0.63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38.40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55.17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16.77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70.77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84.57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13.80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58.67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80.60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21.93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68.17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84.60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16.43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38.67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20.50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18.17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55.70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63.40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7.70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80.00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86.80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6.80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71.43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84.40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12.97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77.43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86.80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9.37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51.57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19.73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31.84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68.03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67.73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0.30</m:t>
                  </m:r>
                </m:e>
              </m:box>
            </m:oMath>
          </w:p>
        </w:tc>
      </w:tr>
    </w:tbl>
    <w:p>
      <w:pPr>
        <w:spacing w:after="40"/>
      </w:pP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A.3 LPIPS（AlexNet，越小越好）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 w:val="true"/>
        </w:trPr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比特/图像</w:t>
            </w:r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k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信道</w:t>
            </w:r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ADJSCC</w:t>
            </w:r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RS-Token</w:t>
            </w:r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Δ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>（ADJSCC − RS）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0.5398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0.2841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0.2557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0.6350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0.4815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0.1535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0.4321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0.2054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0.2267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0.3856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0.1748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0.2108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0.3979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0.1748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0.2231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0.5093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0.4706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0.0387</m:t>
                  </m:r>
                </m:e>
              </m:box>
            </m:oMath>
          </w:p>
        </w:tc>
      </w:tr>
    </w:tbl>
    <w:p>
      <w:pPr>
        <w:spacing w:after="40"/>
      </w:pP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ADJSCC 在 LPIPS 上整体落后 RS-Token，反映"连续潜在表示 + MSE"优化 PSNR 但损失感知细节；该 LPIPS 优势在无信道与 AWGN 下同样反映在重建图分类上，在 Rayleigh 下则与 §4.3.1 所述帕累托折中一致（ADJSCC 反向占优）。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 w:eastAsia="宋体"/>
          <w:b/>
          <w:sz w:val="28"/>
        </w:rPr>
        <w:t>附录 B：直接量化 RemoteCLIP（DCRC）控制实验（§4.6.2 支持材料）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DCRC = RemoteCLIP 视觉编码器（冻结）→ 上采样投影 512→2048 → 重塑为 256 标记 × 8 维 → RVQ（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，码本 = 1024）→ 解码器。比特预算与 RS-Token 完全匹配（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即 2,560 / 5,120 / 7,680 / 10,240 比特/图像）。3 种子（41/42/43）。</w:t>
      </w: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>B.1 任务路径（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宋体"/>
          <w:b/>
          <w:sz w:val="24"/>
        </w:rPr>
        <w:t xml:space="preserve"> 在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b/>
          <w:sz w:val="24"/>
        </w:rPr>
        <w:t>，%）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信道</w:t>
            </w:r>
          </w:p>
        </w:tc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 xml:space="preserve">DCRC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box>
            </m:oMath>
          </w:p>
        </w:tc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 xml:space="preserve">RS-Token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box>
            </m:oMath>
          </w:p>
        </w:tc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Δ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 xml:space="preserve"> DCRC − RS（个百分点）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无信道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96.00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0.62</m:t>
                      </m:r>
                    </m:e>
                  </m:box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82.63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1.05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13.37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95.83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0.06</m:t>
                      </m:r>
                    </m:e>
                  </m:box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80.60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0.72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15.23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96.00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0.62</m:t>
                      </m:r>
                    </m:e>
                  </m:box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82.63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1.05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13.37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81.70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1.47</m:t>
                      </m:r>
                    </m:e>
                  </m:box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58.17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3.17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23.53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93.77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0.06</m:t>
                      </m:r>
                    </m:e>
                  </m:box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76.70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1.70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17.07</m:t>
                  </m:r>
                </m:e>
              </m:box>
            </m:oMath>
          </w:p>
        </w:tc>
      </w:tr>
    </w:tbl>
    <w:p>
      <w:pPr>
        <w:spacing w:after="40"/>
      </w:pP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 xml:space="preserve">B.2 重建路径在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/>
          <w:sz w:val="24"/>
        </w:rPr>
        <w:t>（10,240 比特/图像）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cantSplit/>
          <w:tblHeader w:val="true"/>
        </w:trPr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信道</w:t>
            </w:r>
          </w:p>
        </w:tc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DCRC PSNR (dB)</w:t>
            </w:r>
          </w:p>
        </w:tc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RS-Token PSNR (dB)</w:t>
            </w:r>
          </w:p>
        </w:tc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Δ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5"/>
              </w:rPr>
              <w:t xml:space="preserve"> PSNR</w:t>
            </w:r>
          </w:p>
        </w:tc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DCRC LPIPS</w:t>
            </w:r>
          </w:p>
        </w:tc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RS-Token LPIPS</w:t>
            </w:r>
          </w:p>
        </w:tc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DCRC 重建图分类 (%)</w:t>
            </w:r>
          </w:p>
        </w:tc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RS-Token 重建图分类 (%)</w:t>
            </w:r>
          </w:p>
        </w:tc>
        <w:tc>
          <w:tcPr>
            <w:tcW w:type="dxa" w:w="100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Δ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5"/>
              </w:rPr>
              <w:t xml:space="preserve"> 重建图分类（个百分点）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无信道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17.85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0.01</m:t>
                  </m:r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25.92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0.08</m:t>
                      </m:r>
                    </m:e>
                  </m:box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8.07</m:t>
                  </m:r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0.376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0.175</m:t>
                      </m:r>
                    </m:e>
                  </m:box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11.43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86.80</m:t>
                      </m:r>
                    </m:e>
                  </m:box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75.37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AWGN +5 dB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17.27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0.09</m:t>
                  </m:r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23.94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0.09</m:t>
                      </m:r>
                    </m:e>
                  </m:box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6.66</m:t>
                  </m:r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0.423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0.217</m:t>
                      </m:r>
                    </m:e>
                  </m:box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9.70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84.40</m:t>
                      </m:r>
                    </m:e>
                  </m:box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74.70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AWGN +10 dB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17.85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0.01</m:t>
                  </m:r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25.92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0.08</m:t>
                      </m:r>
                    </m:e>
                  </m:box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8.07</m:t>
                  </m:r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0.376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0.175</m:t>
                      </m:r>
                    </m:e>
                  </m:box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11.40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86.80</m:t>
                      </m:r>
                    </m:e>
                  </m:box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75.40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Rayleigh +5 dB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14.71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0.25</m:t>
                  </m:r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16.90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0.07</m:t>
                      </m:r>
                    </m:e>
                  </m:box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2.19</m:t>
                  </m:r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0.670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0.471</m:t>
                      </m:r>
                    </m:e>
                  </m:box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4.00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19.73</m:t>
                      </m:r>
                    </m:e>
                  </m:box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15.73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Rayleigh +10 dB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15.90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0.14</m:t>
                  </m:r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20.55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0.07</m:t>
                      </m:r>
                    </m:e>
                  </m:box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4.65</m:t>
                  </m:r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0.542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0.326</m:t>
                      </m:r>
                    </m:e>
                  </m:box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7.30</w:t>
            </w:r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67.73</m:t>
                      </m:r>
                    </m:e>
                  </m:box>
                </m:e>
              </m:box>
            </m:oMath>
          </w:p>
        </w:tc>
        <w:tc>
          <w:tcPr>
            <w:tcW w:type="dxa" w:w="100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60.43</m:t>
                  </m:r>
                </m:e>
              </m:box>
            </m:oMath>
          </w:p>
        </w:tc>
      </w:tr>
    </w:tbl>
    <w:p>
      <w:pPr>
        <w:spacing w:after="40"/>
      </w:pPr>
    </w:p>
    <w:p>
      <w:pPr>
        <w:pStyle w:val="Heading2"/>
        <w:keepNext/>
        <w:ind w:firstLine="0"/>
        <w:jc w:val="left"/>
      </w:pPr>
      <w:r>
        <w:rPr>
          <w:rFonts w:ascii="Times New Roman" w:hAnsi="Times New Roman" w:eastAsia="宋体"/>
          <w:b/>
          <w:sz w:val="24"/>
        </w:rPr>
        <w:t xml:space="preserve">B.3 重建扫描在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/>
          <w:sz w:val="24"/>
        </w:rPr>
        <w:t>（无信道）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 w:val="true"/>
        </w:trPr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k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比特/图像</w:t>
            </w:r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DCRC PSNR</w:t>
            </w:r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RS-Token PSNR</w:t>
            </w:r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DCRC 重建图分类 (%)</w:t>
            </w:r>
          </w:p>
        </w:tc>
        <w:tc>
          <w:tcPr>
            <w:tcW w:type="dxa" w:w="1512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RS-Token 重建图分类 (%)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2,560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17.76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0.03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22.98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0.09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10.90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71.37</m:t>
                      </m:r>
                    </m:e>
                  </m:box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5,120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17.84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0.01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24.76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0.04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11.37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84.57</m:t>
                      </m:r>
                    </m:e>
                  </m:box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7,680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17.85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0.01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25.55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0.06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11.53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86.63</m:t>
                      </m:r>
                    </m:e>
                  </m:box>
                </m:e>
              </m:box>
            </m:oMath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10,240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17.85</m:t>
                  </m:r>
                  <m:r>
                    <m:rPr>
                      <m:sty m:val="i"/>
                    </m:rPr>
                    <m:t>±</m:t>
                  </m:r>
                  <m:r>
                    <m:rPr>
                      <m:sty m:val="p"/>
                    </m:rPr>
                    <m:t>0.01</m:t>
                  </m:r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25.92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0.08</m:t>
                      </m:r>
                    </m:e>
                  </m:box>
                </m:e>
              </m:box>
            </m:oMath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11.43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86.80</m:t>
                      </m:r>
                    </m:e>
                  </m:box>
                </m:e>
              </m:box>
            </m:oMath>
          </w:p>
        </w:tc>
      </w:tr>
    </w:tbl>
    <w:p>
      <w:pPr>
        <w:spacing w:after="40"/>
      </w:pP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DCRC 的 RVQ 多层在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→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仅累积 </w:t>
      </w:r>
      <m:oMath>
        <m:box>
          <m:e>
            <m:r>
              <m:rPr>
                <m:sty m:val="p"/>
              </m:rPr>
              <m:t>+</m:t>
            </m:r>
            <m:r>
              <m:rPr>
                <m:sty m:val="p"/>
              </m:rPr>
              <m:t>0.09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 PSNR，说明深层码本几乎不能渐进编码像素细节；这与 §4.6.2 中关于保留 CNN 编码器的分析一致。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 w:eastAsia="宋体"/>
          <w:b/>
          <w:sz w:val="28"/>
        </w:rPr>
        <w:t>附录 C：配对初始化控制实验逐种子结果（§4.2.1 支持材料）</w:t>
      </w: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每个（种子，信道）对共享逐比特相同的初始权重；唯一差别是蒸馏损失权重 </w:t>
      </w:r>
      <m:oMath>
        <m:box>
          <m:e>
            <m:sSub>
              <m:e>
                <m:r>
                  <m:rPr>
                    <m:sty m:val="i"/>
                  </m:rPr>
                  <m:t>λ</m:t>
                </m:r>
              </m:e>
              <m:sub>
                <m:box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l</m:t>
                    </m:r>
                  </m:e>
                </m:box>
              </m:sub>
            </m:sSub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0.0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0.5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。表中所有单元格为单信道种子。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81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种子</w:t>
            </w:r>
          </w:p>
        </w:tc>
        <w:tc>
          <w:tcPr>
            <w:tcW w:type="dxa" w:w="181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信道</w:t>
            </w:r>
          </w:p>
        </w:tc>
        <w:tc>
          <w:tcPr>
            <w:tcW w:type="dxa" w:w="181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 xml:space="preserve">基线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 xml:space="preserve"> (%)</w:t>
            </w:r>
          </w:p>
        </w:tc>
        <w:tc>
          <w:tcPr>
            <w:tcW w:type="dxa" w:w="181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 xml:space="preserve">蒸馏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 xml:space="preserve"> (%)</w:t>
            </w:r>
          </w:p>
        </w:tc>
        <w:tc>
          <w:tcPr>
            <w:tcW w:type="dxa" w:w="1814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Δ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>（个百分点）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41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无信道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55.00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83.40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28.40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41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52.70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83.30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30.60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41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55.00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83.40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28.40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41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26.70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57.60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30.90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41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46.30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78.90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32.60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42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无信道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58.30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84.60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26.30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42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56.70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83.30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26.60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42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58.30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84.60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26.30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42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29.30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53.60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24.30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42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50.50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78.20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27.70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43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无信道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59.80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82.40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22.60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43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57.30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81.00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23.70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43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59.80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82.30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22.50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43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29.20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56.40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27.20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43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49.70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75.90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26.20</m:t>
                  </m:r>
                </m:e>
              </m:box>
            </m:oMath>
          </w:p>
        </w:tc>
      </w:tr>
    </w:tbl>
    <w:p>
      <w:pPr>
        <w:spacing w:after="40"/>
      </w:pP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3 种子均值 ± 标准差与对照（§4.2.1 已用）：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信道</w:t>
            </w:r>
          </w:p>
        </w:tc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 xml:space="preserve">非配对 </w:t>
            </w:r>
            <m:oMath>
              <m:box>
                <m:e>
                  <m:r>
                    <m:rPr>
                      <m:sty m:val="i"/>
                    </m:rPr>
                    <m:t>Δ</m:t>
                  </m:r>
                </m:e>
              </m:box>
            </m:oMath>
            <w:r>
              <w:rPr>
                <w:rFonts w:ascii="Times New Roman" w:hAnsi="Times New Roman" w:eastAsia="宋体"/>
                <w:b/>
                <w:sz w:val="17"/>
              </w:rPr>
              <w:t>（表 1）</w:t>
            </w:r>
          </w:p>
        </w:tc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 xml:space="preserve">配对 </w:t>
            </w:r>
            <m:oMath>
              <m:box>
                <m:e>
                  <m:r>
                    <m:rPr>
                      <m:sty m:val="i"/>
                    </m:rPr>
                    <m:t>Δ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single" w:sz="12" w:color="000000" w:space="0"/>
              <w:left w:val="nil"/>
              <w:bottom w:val="single" w:sz="8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Δ</m:t>
                      </m:r>
                    </m:e>
                    <m:sub>
                      <m:box>
                        <m:e>
                          <m:r>
                            <m:rPr>
                              <m:nor/>
                            </m:rPr>
                            <m:t>配对</m:t>
                          </m:r>
                        </m:e>
                      </m:box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i"/>
                        </m:rPr>
                        <m:t>Δ</m:t>
                      </m:r>
                    </m:e>
                    <m:sub>
                      <m:box>
                        <m:e>
                          <m:r>
                            <m:rPr>
                              <m:nor/>
                            </m:rPr>
                            <m:t>非配对</m:t>
                          </m:r>
                        </m:e>
                      </m:box>
                    </m:sub>
                  </m:sSub>
                </m:e>
              </m:box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无信道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25.10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+</m:t>
                      </m:r>
                      <m:r>
                        <m:rPr>
                          <m:sty m:val="b"/>
                        </m:rPr>
                        <m:t>25.77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2.94</m:t>
                      </m:r>
                    </m:e>
                  </m:box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0.67</m:t>
                  </m:r>
                </m:e>
              </m:box>
            </m:oMath>
            <w:r>
              <w:rPr>
                <w:rFonts w:ascii="Times New Roman" w:hAnsi="Times New Roman" w:eastAsia="宋体"/>
                <w:b w:val="0"/>
                <w:sz w:val="17"/>
              </w:rPr>
              <w:t>（在 2σ 内）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+5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26.83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+</m:t>
                      </m:r>
                      <m:r>
                        <m:rPr>
                          <m:sty m:val="b"/>
                        </m:rPr>
                        <m:t>26.97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3.46</m:t>
                      </m:r>
                    </m:e>
                  </m:box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0.13</m:t>
                  </m:r>
                </m:e>
              </m:box>
            </m:oMath>
            <w:r>
              <w:rPr>
                <w:rFonts w:ascii="Times New Roman" w:hAnsi="Times New Roman" w:eastAsia="宋体"/>
                <w:b w:val="0"/>
                <w:sz w:val="17"/>
              </w:rPr>
              <w:t>（在 2σ 内）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AWGN +10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25.17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+</m:t>
                      </m:r>
                      <m:r>
                        <m:rPr>
                          <m:sty m:val="b"/>
                        </m:rPr>
                        <m:t>25.73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2.99</m:t>
                      </m:r>
                    </m:e>
                  </m:box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0.57</m:t>
                  </m:r>
                </m:e>
              </m:box>
            </m:oMath>
            <w:r>
              <w:rPr>
                <w:rFonts w:ascii="Times New Roman" w:hAnsi="Times New Roman" w:eastAsia="宋体"/>
                <w:b w:val="0"/>
                <w:sz w:val="17"/>
              </w:rPr>
              <w:t>（在 2σ 内）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+5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29.90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+</m:t>
                      </m:r>
                      <m:r>
                        <m:rPr>
                          <m:sty m:val="b"/>
                        </m:rPr>
                        <m:t>27.47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3.31</m:t>
                      </m:r>
                    </m:e>
                  </m:box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2.43</m:t>
                  </m:r>
                </m:e>
              </m:box>
            </m:oMath>
            <w:r>
              <w:rPr>
                <w:rFonts w:ascii="Times New Roman" w:hAnsi="Times New Roman" w:eastAsia="宋体"/>
                <w:b w:val="0"/>
                <w:sz w:val="17"/>
              </w:rPr>
              <w:t>（在 2σ 内）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Rayleigh +10 dB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30.17</m:t>
                  </m:r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box>
                    <m:e>
                      <m:r>
                        <m:rPr>
                          <m:sty m:val="b"/>
                        </m:rPr>
                        <m:t>+</m:t>
                      </m:r>
                      <m:r>
                        <m:rPr>
                          <m:sty m:val="b"/>
                        </m:rPr>
                        <m:t>28.83</m:t>
                      </m:r>
                      <m:r>
                        <m:rPr>
                          <m:sty m:val="b"/>
                        </m:rPr>
                        <m:t>±</m:t>
                      </m:r>
                      <m:r>
                        <m:rPr>
                          <m:sty m:val="b"/>
                        </m:rPr>
                        <m:t>3.35</m:t>
                      </m:r>
                    </m:e>
                  </m:box>
                </m:e>
              </m:box>
            </m:oMath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m:oMath>
              <m: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1.33</m:t>
                  </m:r>
                </m:e>
              </m:box>
            </m:oMath>
            <w:r>
              <w:rPr>
                <w:rFonts w:ascii="Times New Roman" w:hAnsi="Times New Roman" w:eastAsia="宋体"/>
                <w:b w:val="0"/>
                <w:sz w:val="17"/>
              </w:rPr>
              <w:t>（在 2σ 内）</w:t>
            </w:r>
          </w:p>
        </w:tc>
      </w:tr>
    </w:tbl>
    <w:p>
      <w:pPr>
        <w:spacing w:after="40"/>
      </w:pPr>
    </w:p>
    <w:p>
      <w:pPr>
        <w:widowControl/>
        <w:spacing w:line="324" w:lineRule="auto" w:before="0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配对初始化重建路径（3 种子均值 ± 标准差）：无信道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PSNR </w:t>
      </w:r>
      <m:oMath>
        <m:box>
          <m:e>
            <m:r>
              <m:rPr>
                <m:sty m:val="p"/>
              </m:rPr>
              <m:t>25.94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0.06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 / 重建图分类 </w:t>
      </w:r>
      <m:oMath>
        <m:box>
          <m:e>
            <m:r>
              <m:rPr>
                <m:sty m:val="p"/>
              </m:rPr>
              <m:t>87.00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0.79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；与非配对蒸馏（PSNR </w:t>
      </w:r>
      <m:oMath>
        <m:box>
          <m:e>
            <m:r>
              <m:rPr>
                <m:sty m:val="p"/>
              </m:rPr>
              <m:t>25.92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0.08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 xml:space="preserve"> dB / 重建图分类 </w:t>
      </w:r>
      <m:oMath>
        <m:box>
          <m:e>
            <m:r>
              <m:rPr>
                <m:sty m:val="p"/>
              </m:rPr>
              <m:t>86.80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0.36</m:t>
            </m:r>
          </m:e>
        </m:box>
      </m:oMath>
      <w:r>
        <w:rPr>
          <w:rFonts w:ascii="Times New Roman" w:hAnsi="Times New Roman" w:eastAsia="宋体"/>
          <w:b w:val="0"/>
          <w:sz w:val="21"/>
        </w:rPr>
        <w:t>）在标准差范围内一致——配对训练对重建路径在标准差范围内无可见副作用，分层探针也与原蒸馏几乎相同。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 w:eastAsia="宋体"/>
          <w:b/>
          <w:sz w:val="28"/>
        </w:rPr>
        <w:t>参考文献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[1] X. Kang, B. Song, J. Guo, Z. Qin, and F. R. Yu, “Task-oriented image transmission for scene classification in unmanned aerial systems,” IEEE Transactions on Communications, 2022.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[2] E. Bourtsoulatze, D. B. Kurka, and D. Gündüz, “Deep joint source-channel coding for wireless image transmission,” IEEE Transactions on Cognitive Communications and Networking, vol. 5, no. 3, pp. 567–579, 2019.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[3] J. Xu, B. Ai, W. Chen, A. Yang, P. Sun, and M. Rodrigues, “Wireless image transmission using deep source channel coding with attention modules,” IEEE Transactions on Circuits and Systems for Video Technology, vol. 32, no. 4, pp. 2315–2328, 2022.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[4] K. Yang, S. Wang, J. Dai, X. Qin, K. Niu, and P. Zhang, “SwinJSCC: Taming swin transformer for deep joint source-channel coding,” IEEE Transactions on Cognitive Communications and Networking, vol. 11, no. 1, pp. 90–104, 2025.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[5] D. Lee, C. Kim, S. Kim, M. Kim, and W.-S. Han, “Autoregressive image generation using residual quantization,” in Proc. IEEE/CVF Conference on Computer Vision and Pattern Recognition (CVPR), 2022, pp. 11,523–11,532.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[6] Y. Zhou, Y. Sun, G. Chen, X. Xu, H. Chen, B. Huang, S. Cui, and P. Zhang, “MOC-RVQ: Multilevel codebook-assisted digital generative semantic communication,” arXiv preprint arXiv:2401.01272, 2024.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[7] F. Liu, D. Chen, Z. Guan, X. Zhou, J. Zhu, Q. Ye, L. Fu, and J. Zhou, “Remoteclip: A vision language foundation model for remote sensing,” IEEE Transactions on Geoscience and Remote Sensing, vol. 62, pp. 1–16, 2024.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[8] J. Hu, H. Wu, W. Zhang, F. Wang, W. Xu, H. Gao, and D. Gündüz, “Zero-shot semantic communication with multimodal foundation models,” arXiv preprint arXiv:2502.18200, 2025.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[9] A. van den Oord, O. Vinyals, and K. Kavukcuoglu, “Neural discrete representation learning,” in Proc. Advances in Neural Information Processing Systems (NeurIPS), 2017.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[10] N. Zeghidour, A. Luebs, A. Omran, J. Skoglund, and M. Tagliasacchi, “SoundStream: An end-to-end neural audio codec,” IEEE/ACM Transactions on Audio, Speech, and Language Processing, vol. 30, pp. 495–507, 2021.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[11] A. Défossez, J. Copet, G. Synnaeve, and Y. Adi, “High fidelity neural audio compression,” arXiv preprint arXiv:2210.13438, 2022.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[12] X. Zhang, D. Zhang, S. Li, Y. Zhou, and X. Qiu, “SpeechTokenizer: Unified speech tokenizer for speech language models,” in Proc. International Conference on Learning Representations (ICLR), 2024.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[13] Y. Wu, Z. Zhang, J. Chen, H. Tang, D. Li, Y. Fang, L. Zhu, E. Xie, H. Yin, L. Yi, S. Han, and Y. Lu, “VILA-U: A unified foundation model integrating visual understanding and generation,” in Proc. International Conference on Learning Representations (ICLR), 2025, arXiv:2409.04429.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[14] D. Shenkut and B. V. K. V. Kumar, “Residual vector quantization for communication-efficient multi-agent perception,” in Proc. IEEE International Conference on Acoustics, Speech and Signal Processing (ICASSP), 2026, accepted at ICASSP 2026; arXiv:2509.21464.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[15] Z. Peng, L. Dong, H. Bao, Q. Ye, and F. Wei, “BEiT v2: Masked image modeling with vector-quantized visual tokenizers,” arXiv preprint arXiv:2208.06366, 2022.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[16] R. Zhang, P. Isola, A. A. Efros, E. Shechtman, and O. Wang, “The unreasonable effectiveness of deep features as a perceptual metric,” in Proc. IEEE/CVF Conference on Computer Vision and Pattern Recognition (CVPR), 2018, pp. 586–595.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[17] J. G. Proakis and M. Salehi, Digital Communications, 5th ed. McGraw-Hill, 2007.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[18] G.-S. Xia, J. Hu, F. Hu, B. Shi, X. Bai, Y. Zhong, L. Zhang, and X. Lu, “AID: A benchmark data set for performance evaluation of aerial scene classification,” IEEE Transactions on Geoscience and Remote Sensing, vol. 55, no. 7, pp. 3965–3981, 2017.</w:t>
      </w:r>
    </w:p>
    <w:p>
      <w:pPr>
        <w:widowControl/>
        <w:spacing w:line="276" w:lineRule="auto" w:before="0" w:after="40"/>
        <w:ind w:hanging="360" w:left="360"/>
        <w:jc w:val="both"/>
      </w:pPr>
      <w:r>
        <w:rPr>
          <w:rFonts w:ascii="Times New Roman" w:hAnsi="Times New Roman" w:eastAsia="宋体"/>
          <w:sz w:val="18"/>
        </w:rPr>
        <w:t>[19] G. Cheng, J. Han, and X. Lu, “Remote sensing image scene classification: Benchmark and state of the art,” Proceedings of the IEEE, vol. 105, no. 10, pp. 1865–1883, 2017.</w:t>
      </w:r>
    </w:p>
    <w:sectPr w:rsidR="00FC693F" w:rsidRPr="0006063C" w:rsidSect="00034616">
      <w:footerReference w:type="default" r:id="rId9"/>
      <w:pgSz w:w="11906" w:h="16838"/>
      <w:pgMar w:top="1417" w:right="1417" w:bottom="1304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RS-Token：面向信道鲁棒遥感通信的层次化 RemoteCLIP 蒸馏 Token</dc:title>
  <dc:subject>中文论文稿 v0.6</dc:subject>
  <dc:creator>Baohui Zhang; Jianwei Tai</dc:creator>
  <cp:keywords>语义通信; 遥感; RVQ; RemoteCLIP; 信道鲁棒性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