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百家乐以及超级6百家乐视频地址更换，只需更换语言包中地址即可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百家乐地址格式：</w:t>
      </w:r>
      <w:bookmarkStart w:id="0" w:name="OLE_LINK1"/>
      <w:r>
        <w:rPr>
          <w:rFonts w:hint="eastAsia"/>
          <w:lang w:val="en-US" w:eastAsia="zh-CN"/>
        </w:rPr>
        <w:t>Baccarat_room+加对应房间的roomid</w:t>
      </w:r>
      <w:bookmarkEnd w:id="0"/>
    </w:p>
    <w:p>
      <w:r>
        <w:drawing>
          <wp:inline distT="0" distB="0" distL="114300" distR="114300">
            <wp:extent cx="3104515" cy="1647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820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龙虎视频地址：dt_room+加对应房间的roomid</w:t>
      </w:r>
    </w:p>
    <w:p>
      <w:r>
        <w:drawing>
          <wp:inline distT="0" distB="0" distL="114300" distR="114300">
            <wp:extent cx="4785360" cy="1347470"/>
            <wp:effectExtent l="0" t="0" r="152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骰宝视屏地址：Sicbo_room+加对应房间的roomid</w:t>
      </w:r>
    </w:p>
    <w:p>
      <w:r>
        <w:drawing>
          <wp:inline distT="0" distB="0" distL="114300" distR="114300">
            <wp:extent cx="5064760" cy="13017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轮盘视频地址：Roule_room+加对应房间</w:t>
      </w:r>
      <w:bookmarkStart w:id="1" w:name="_GoBack"/>
      <w:bookmarkEnd w:id="1"/>
      <w:r>
        <w:rPr>
          <w:rFonts w:hint="eastAsia"/>
          <w:lang w:val="en-US" w:eastAsia="zh-CN"/>
        </w:rPr>
        <w:t>的roomid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5370" cy="12350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1F9A"/>
    <w:rsid w:val="3A052D10"/>
    <w:rsid w:val="3D415595"/>
    <w:rsid w:val="4CD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chinawf</dc:creator>
  <cp:lastModifiedBy>chinawf</cp:lastModifiedBy>
  <dcterms:modified xsi:type="dcterms:W3CDTF">2017-08-22T01:48:17Z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