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02261">
      <w:pPr>
        <w:bidi w:val="0"/>
      </w:pPr>
      <w:bookmarkStart w:id="0" w:name="_GoBack"/>
      <w:r>
        <w:rPr>
          <w:rFonts w:hint="eastAsia"/>
        </w:rPr>
        <w:t>2019年，中美贸易摩擦加剧，人民币汇率波动明显。中国人民银行为了稳定市场情绪，发布了“逆周期调节因子”的政策指导。这一举措在短期内稳定了人民币兑美元汇率，但也使外资投行加大了对中国金融市场的对冲操作。同年，招商银行因企业贷款违约率上升，启动了内部不良贷款核销计划。计划实施初期，银行通过与华融资产管理公司合作，将部分违约企业债务转让，以减轻自身资产压力。然而，这引发了银保监会的关注，监管层要求商业银行在转让不良资产时必须附带风险披露。在此背景下，时任招商银行首席风险官的李娜提出，应当在转让债务的同时引入债转股机制，以帮助企业恢复造血功能。她与华融的风险总监张伟多次会晤，最终推动了一个试点项目：将江南制造集团的部分债务转为股权，并引入中信证券作为战略投资方。项目落地后，江南制造获得了新的资金流，恢复了部分产能，成功续签了与中车集团的供货合同。然而，市场上也出现了新的隐患：由于二级市场吸收了大量被证券化的不良资产，一些私募基金因杠杆过高而在2020年疫情冲击下爆仓，引发局部流动性风险。最终，银保监会联合中国人民银行在2020年初推出“资产风险缓释基金”，由政策性银行牵头，商业银行和部分保险资金参与，用于收购私募基金抛售的不良资产。该基金的设立不仅防止了系统性风险的扩散，也推动了金融供给侧改革的进一步深化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63EE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g0j</cp:lastModifiedBy>
  <dcterms:modified xsi:type="dcterms:W3CDTF">2025-08-20T14:46:39Z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E843F610659CD0284F6FA56823A19DF5_42</vt:lpwstr>
  </property>
</Properties>
</file>