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32"/>
        </w:rPr>
        <w:t>Intent Dynamics: From Flow-of-Thought Capture to Simulated Intelligence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Geometric measurement and dynamical modeling of human–AI thought differences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Author: Baitao Wang | August 2026</w:t>
      </w:r>
    </w:p>
    <w:p>
      <w:pPr>
        <w:spacing w:after="100"/>
        <w:ind w:left="454"/>
      </w:pP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Current flagship result (v0.75)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 — complete empirical chain: measurement (flow-of-thought capture) → dissection (64-dimension atlas) → intervention (inference-time spectrum) → </w:t>
      </w:r>
      <w:r>
        <w:rPr>
          <w:rFonts w:ascii="Times New Roman" w:hAnsi="Times New Roman" w:eastAsia="宋体"/>
          <w:b/>
          <w:i/>
          <w:color w:val="444444"/>
          <w:sz w:val="19"/>
        </w:rPr>
        <w:t>conception (Intent Dynamics Engine)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>. Full empirical archive: *Multi-level Semantic Fingerprint System* (historical comprehensive version, in Chinese).</w:t>
      </w:r>
    </w:p>
    <w:p>
      <w:pPr>
        <w:spacing w:after="100"/>
        <w:ind w:left="454"/>
      </w:pPr>
      <w:r>
        <w:rPr>
          <w:rFonts w:ascii="Times New Roman" w:hAnsi="Times New Roman" w:eastAsia="宋体"/>
          <w:b/>
          <w:i/>
          <w:color w:val="444444"/>
          <w:sz w:val="19"/>
        </w:rPr>
        <w:t>【Machine Intent Dynamics — positioning】</w:t>
      </w:r>
      <w:r>
        <w:rPr>
          <w:rFonts w:ascii="Times New Roman" w:hAnsi="Times New Roman" w:eastAsia="宋体"/>
          <w:b w:val="0"/>
          <w:i/>
          <w:color w:val="444444"/>
          <w:sz w:val="19"/>
        </w:rPr>
        <w:t xml:space="preserve"> The multi-level semantic fingerprint system built in this study embodies the prototype of "Machine Intent Dynamics." For the first time, it transforms "root intent" from an abstract cognitive concept into a computable geometric gravity field, and reveals the dynamical features (waves, turns, coupling) that distinguish human thought-flow from AI's probabilistic gliding. Although current validation is limited to small models and the textual domain, this framework provides an empirical path beyond the autoregressive paradigm: using an explicit intent-state space to guide models from "local-probability token continuation" toward "goal-driven reasoning around a core intent." If validated at larger parameter scales and in multimodal settings, this mechanism could lay the cognitive and engineering foundation for a new generation of AI architectures with intrinsic self-drive, interpretable thought trajectories, and extremely low inference energy.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Abstract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Autoregressive models have a single driver — local probability maximization — and no persistent state of "why write this sentence." Starting from engineering practice, this study builds a </w:t>
      </w:r>
      <w:r>
        <w:rPr>
          <w:rFonts w:ascii="Times New Roman" w:hAnsi="Times New Roman" w:eastAsia="宋体"/>
          <w:b/>
          <w:i w:val="0"/>
          <w:sz w:val="21"/>
        </w:rPr>
        <w:t>geometric representation of intent state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from the discriminator's middle-layer 64-dimensional fingerprint, and captures systematic differences between human and AI thought-flow at clause granularity: </w:t>
      </w:r>
      <w:r>
        <w:rPr>
          <w:rFonts w:ascii="Times New Roman" w:hAnsi="Times New Roman" w:eastAsia="宋体"/>
          <w:b/>
          <w:i w:val="0"/>
          <w:sz w:val="21"/>
        </w:rPr>
        <w:t>Humans = breathing waves</w:t>
      </w:r>
      <w:r>
        <w:rPr>
          <w:rFonts w:ascii="Times New Roman" w:hAnsi="Times New Roman" w:eastAsia="宋体"/>
          <w:b w:val="0"/>
          <w:i w:val="0"/>
          <w:sz w:val="21"/>
        </w:rPr>
        <w:t xml:space="preserve"> (inter-clause dimensional jump d=+2.16, turn peak/valley steepness d=+2.09, long-range memory Hurst 0.62, topic–reference coupling 0.52, low-determinism information flow), </w:t>
      </w:r>
      <w:r>
        <w:rPr>
          <w:rFonts w:ascii="Times New Roman" w:hAnsi="Times New Roman" w:eastAsia="宋体"/>
          <w:b/>
          <w:i w:val="0"/>
          <w:sz w:val="21"/>
        </w:rPr>
        <w:t>AI = flat lines</w:t>
      </w:r>
      <w:r>
        <w:rPr>
          <w:rFonts w:ascii="Times New Roman" w:hAnsi="Times New Roman" w:eastAsia="宋体"/>
          <w:b w:val="0"/>
          <w:i w:val="0"/>
          <w:sz w:val="21"/>
        </w:rPr>
        <w:t xml:space="preserve"> (small jumps, shallow turns, goldfish memory Hurst 0.46, mechanical dictionary-like flow, higher transfer entropy). The 64-dimension dissection further shows that the deep signals learned by the discriminator (the unexplained-11 dimensions) are precisely the strongest human–AI difference group (median d=0.53 vs 0.32 for explained dimensions) — among them dim48 is triple-evidenced (composite traceback + dual-model agreement + causal control of reference density −0.42) as the </w:t>
      </w:r>
      <w:r>
        <w:rPr>
          <w:rFonts w:ascii="Times New Roman" w:hAnsi="Times New Roman" w:eastAsia="宋体"/>
          <w:b/>
          <w:i w:val="0"/>
          <w:sz w:val="21"/>
        </w:rPr>
        <w:t>reference-chain/cohesion dimension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, and dim10 as the </w:t>
      </w:r>
      <w:r>
        <w:rPr>
          <w:rFonts w:ascii="Times New Roman" w:hAnsi="Times New Roman" w:eastAsia="宋体"/>
          <w:b/>
          <w:i w:val="0"/>
          <w:sz w:val="21"/>
        </w:rPr>
        <w:t>topic-organization dimension</w:t>
      </w:r>
      <w:r>
        <w:rPr>
          <w:rFonts w:ascii="Times New Roman" w:hAnsi="Times New Roman" w:eastAsia="宋体"/>
          <w:b w:val="0"/>
          <w:i w:val="0"/>
          <w:sz w:val="21"/>
        </w:rPr>
        <w:t xml:space="preserve">. The inference-time intervention spectrum (201 runs / 22 conditions) proves intent state is intervenable (peak 117% oracle; recommended form vt_gate_beam 103% with 67% cost reduction — virtual-token channel + Kalman gating — minimal-intervention principle). </w:t>
      </w:r>
      <w:r>
        <w:rPr>
          <w:rFonts w:ascii="Times New Roman" w:hAnsi="Times New Roman" w:eastAsia="宋体"/>
          <w:b/>
          <w:i w:val="0"/>
          <w:sz w:val="21"/>
        </w:rPr>
        <w:t>From these phenomena, this paper derives the three-layer Intent Dynamics Engine</w:t>
      </w:r>
      <w:r>
        <w:rPr>
          <w:rFonts w:ascii="Times New Roman" w:hAnsi="Times New Roman" w:eastAsia="宋体"/>
          <w:b w:val="0"/>
          <w:i w:val="0"/>
          <w:sz w:val="21"/>
        </w:rPr>
        <w:t xml:space="preserve"> (Root Intent Field / Intent Trajectory Planner / Intent Steering Executor) — five empirical laws — moving from "predicting the next word" to "free thinking around a root intent": AI's first possession of an internal "why."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1. Introduction: From "Resembling Humans" to "How Thought Flows"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1.1 Origin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This research began with an engineering pain point in a narrative-writing system: AI-generated text remained machine-identifiable even after prompt engineering and local lexical substitution. The first-generation research (v0.60–v0.66) answered: </w:t>
      </w:r>
      <w:r>
        <w:rPr>
          <w:rFonts w:ascii="Times New Roman" w:hAnsi="Times New Roman" w:eastAsia="宋体"/>
          <w:b/>
          <w:i w:val="0"/>
          <w:sz w:val="21"/>
        </w:rPr>
        <w:t>the difference lies in the organization of local clauses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humans organize language around an intent core (clause projection 0.96 vs AI 0.79–0.84), AI is local-optimum stitching. This is static "resemblance."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The v0.74 flow-of-thought capture advanced the question: </w:t>
      </w:r>
      <w:r>
        <w:rPr>
          <w:rFonts w:ascii="Times New Roman" w:hAnsi="Times New Roman" w:eastAsia="宋体"/>
          <w:b/>
          <w:i w:val="0"/>
          <w:sz w:val="21"/>
        </w:rPr>
        <w:t>the deepest human–AI difference is not "whether a moment resembles" but "how thought flows"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human thought trajectories are waves fluctuating freely around a core (with undulation, memory, loops); AI trajectories are flat lines (no undulation, goldfish memory, mechanical flow). This paper's core contribution turns "intent" from philosophical metaphor into a </w:t>
      </w:r>
      <w:r>
        <w:rPr>
          <w:rFonts w:ascii="Times New Roman" w:hAnsi="Times New Roman" w:eastAsia="宋体"/>
          <w:b/>
          <w:i w:val="0"/>
          <w:sz w:val="21"/>
        </w:rPr>
        <w:t>measurable dynamical system</w:t>
      </w:r>
      <w:r>
        <w:rPr>
          <w:rFonts w:ascii="Times New Roman" w:hAnsi="Times New Roman" w:eastAsia="宋体"/>
          <w:b w:val="0"/>
          <w:i w:val="0"/>
          <w:sz w:val="21"/>
        </w:rPr>
        <w:t>, and derives an architecture from the measurements.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1.2 Structure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§2 Capture tools → §3 </w:t>
      </w:r>
      <w:r>
        <w:rPr>
          <w:rFonts w:ascii="Times New Roman" w:hAnsi="Times New Roman" w:eastAsia="宋体"/>
          <w:b/>
          <w:i w:val="0"/>
          <w:sz w:val="21"/>
        </w:rPr>
        <w:t>Flow-of-thought capture (core)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§4 Intent-state dissection → §5 Intent intervenability → §6 </w:t>
      </w:r>
      <w:r>
        <w:rPr>
          <w:rFonts w:ascii="Times New Roman" w:hAnsi="Times New Roman" w:eastAsia="宋体"/>
          <w:b/>
          <w:i w:val="0"/>
          <w:sz w:val="21"/>
        </w:rPr>
        <w:t>Intent Dynamics Engine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§7 Boundaries &amp; decoupling → §8 Conclusion.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2. Capture Tools: Geometric Representation of Intent State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2.1 Discriminator and Fingerprint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ParaDiscNN (bge-small-zh-v1.5 encoding → 512→256→64→1 MLP, trained to discriminate AI/human paragraphs). The middle-layer 64-dim activation (net[0:3]+relu+net[3]+relu — skipping LN(64)) is the </w:t>
      </w:r>
      <w:r>
        <w:rPr>
          <w:rFonts w:ascii="Times New Roman" w:hAnsi="Times New Roman" w:eastAsia="宋体"/>
          <w:b/>
          <w:i w:val="0"/>
          <w:sz w:val="21"/>
        </w:rPr>
        <w:t>style fingerprint</w:t>
      </w:r>
      <w:r>
        <w:rPr>
          <w:rFonts w:ascii="Times New Roman" w:hAnsi="Times New Roman" w:eastAsia="宋体"/>
          <w:b w:val="0"/>
          <w:i w:val="0"/>
          <w:sz w:val="21"/>
        </w:rPr>
        <w:t>: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f(x) = relu(W₂·relu(LN₁(W₁x+b₁)) + b₂)    # f ∈ R^64 — W₁=net[0].weight (256×512) — W₂=net[3].weight (64×256)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Geometric property (v0.66): discriminative power comes from </w:t>
      </w:r>
      <w:r>
        <w:rPr>
          <w:rFonts w:ascii="Times New Roman" w:hAnsi="Times New Roman" w:eastAsia="宋体"/>
          <w:b/>
          <w:i w:val="0"/>
          <w:sz w:val="21"/>
        </w:rPr>
        <w:t>projection onto the core</w:t>
      </w:r>
      <w:r>
        <w:rPr>
          <w:rFonts w:ascii="Times New Roman" w:hAnsi="Times New Roman" w:eastAsia="宋体"/>
          <w:b w:val="0"/>
          <w:i w:val="0"/>
          <w:sz w:val="21"/>
        </w:rPr>
        <w:t xml:space="preserve"> (in-segment mean fingerprint direction — human 0.972 vs AI 0.807), not pairwise cosine (AUC 0.55 meaningless) — "the fingerprint points at the shaping core."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2.2 Trajectory Metric System (v0.74 — the capture toolbox)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Slice text at a granularity (segment/clause/word) → extract per-slice dimensional activations → connect into a trajectory — </w:t>
      </w:r>
      <w:r>
        <w:rPr>
          <w:rFonts w:ascii="Times New Roman" w:hAnsi="Times New Roman" w:eastAsia="宋体"/>
          <w:b/>
          <w:i w:val="0"/>
          <w:sz w:val="21"/>
        </w:rPr>
        <w:t>this line is the intent-flow trajectory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Definition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Thought property captured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Jump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mean \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Δactivation\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Turn type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local peak/valley steepness/depth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Topic opening/closing sharpness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Hurst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R/S analysis (long-range autocorrelation)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Memory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(does earlier text influence later? looping ability)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Transfer entropy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symbolic conditional entropy (X past→Y future)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Information-flow freedom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(mechanical vs free)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Coupling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sliding-window dimX×dimY correlation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Inter-dimension tension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(topic–reference bonded?)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Dimension activation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per-dim value/variance/sign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Coordinates of intent state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Why clause-level is the best observation granularity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(v0.74-4): word-level trajectories have the weakest discriminative power (dim10 jump human 0.309 vs AI 0.295 — word fingerprints are highly continuous); segment-level loses undulation (dim10 jump d=+1.24); </w:t>
      </w:r>
      <w:r>
        <w:rPr>
          <w:rFonts w:ascii="Times New Roman" w:hAnsi="Times New Roman" w:eastAsia="宋体"/>
          <w:b/>
          <w:i w:val="0"/>
          <w:sz w:val="21"/>
        </w:rPr>
        <w:t>clause-level (509–1029 points per human text) carries full undulation with the strongest discrimination (d=+2.16)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3. Flow-of-Thought Capture: Human vs AI Thought-Dynamics Portrait (Core)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3.1 Data and Procedure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Corpus</w:t>
      </w:r>
      <w:r>
        <w:rPr>
          <w:rFonts w:ascii="Times New Roman" w:hAnsi="Times New Roman" w:eastAsia="宋体"/>
          <w:b w:val="0"/>
          <w:i w:val="0"/>
          <w:sz w:val="20"/>
        </w:rPr>
        <w:t>: bilingual zh 30 texts (10 human, 96–160 segments / 509–1029 clauses each — Dragon Clan/Zhu Xian/Tianxingjian continuous segments; 20 AI, 23–98 segments — DS/Qwen continuous generation) + same-theme ultra-long (Tianxingjian ch.1–6, 899 segments human vs archives, 146 segments AI imitation)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Fingerprint matrix</w:t>
      </w:r>
      <w:r>
        <w:rPr>
          <w:rFonts w:ascii="Times New Roman" w:hAnsi="Times New Roman" w:eastAsia="宋体"/>
          <w:b w:val="0"/>
          <w:i w:val="0"/>
          <w:sz w:val="20"/>
        </w:rPr>
        <w:t xml:space="preserve">: 26,734 clauses × 64-dim fingerprints archived (fp_matrix.npz — </w:t>
      </w:r>
      <w:r>
        <w:rPr>
          <w:rFonts w:ascii="Times New Roman" w:hAnsi="Times New Roman" w:eastAsia="宋体"/>
          <w:b/>
          <w:i w:val="0"/>
          <w:sz w:val="20"/>
        </w:rPr>
        <w:t>three regression validations ALL PASS</w:t>
      </w:r>
      <w:r>
        <w:rPr>
          <w:rFonts w:ascii="Times New Roman" w:hAnsi="Times New Roman" w:eastAsia="宋体"/>
          <w:b w:val="0"/>
          <w:i w:val="0"/>
          <w:sz w:val="20"/>
        </w:rPr>
        <w:t>: document-level sent_proj 30/30 Δ≤0.0005; 6 dims 3618/3618 Δ≤0.0001; disc 603/603 — fingerprints verified authentic)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Analysis</w:t>
      </w:r>
      <w:r>
        <w:rPr>
          <w:rFonts w:ascii="Times New Roman" w:hAnsi="Times New Roman" w:eastAsia="宋体"/>
          <w:b w:val="0"/>
          <w:i w:val="0"/>
          <w:sz w:val="20"/>
        </w:rPr>
        <w:t>: per-text clause-level dim10 (topic)/dim48 (reference) activations → trajectory → five metrics (jump/turn/Hurst/TE/coupling) → human vs AI group tests (Mann-Whitney U + Cohen's d)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3.2 Finding 1: Humans are Waves, AI is a Flat Line (Jump)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(clause-level):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Human (median)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 (median)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jump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0.310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0.257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+2.16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jump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0.339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+1.07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(segment-level dim10)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+1.24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0.010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human thought trajectories </w:t>
      </w:r>
      <w:r>
        <w:rPr>
          <w:rFonts w:ascii="Times New Roman" w:hAnsi="Times New Roman" w:eastAsia="宋体"/>
          <w:b/>
          <w:i w:val="0"/>
          <w:sz w:val="21"/>
        </w:rPr>
        <w:t>fluctuate freely</w:t>
      </w:r>
      <w:r>
        <w:rPr>
          <w:rFonts w:ascii="Times New Roman" w:hAnsi="Times New Roman" w:eastAsia="宋体"/>
          <w:b w:val="0"/>
          <w:i w:val="0"/>
          <w:sz w:val="21"/>
        </w:rPr>
        <w:t xml:space="preserve"> around the core — dim10 (topic) rises when opening a new topic, holds during development, falls during transitions — forming waves. AI trajectories are significantly flatter (d=+2.16) — </w:t>
      </w:r>
      <w:r>
        <w:rPr>
          <w:rFonts w:ascii="Times New Roman" w:hAnsi="Times New Roman" w:eastAsia="宋体"/>
          <w:b/>
          <w:i w:val="0"/>
          <w:sz w:val="21"/>
        </w:rPr>
        <w:t>AI is not "randomly jagged" but "wave-less"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lacking topic opening/closing structure. </w:t>
      </w:r>
      <w:r>
        <w:rPr>
          <w:rFonts w:ascii="Times New Roman" w:hAnsi="Times New Roman" w:eastAsia="宋体"/>
          <w:b/>
          <w:i w:val="0"/>
          <w:sz w:val="21"/>
        </w:rPr>
        <w:t>For humans, undulation is the breathing of thought; for AI, flatness is the standstill of thought.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意图流转轨迹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Intent flow trajectory (human waves vs AI flat)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3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句元级意图轨迹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Clause-level intent trajectory (human steep vs AI flat)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3.3 Finding 2: Deeper Human Turns, Shallow AI Turns (Turn Type)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(turn "type" not "count"):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Human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peak steepness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0.381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+2.09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dim10 valley depth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+2.14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&lt;0.001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peak steepness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+0.90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dim48 valley depth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0.523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+0.93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0.026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(Control: turn </w:t>
      </w:r>
      <w:r>
        <w:rPr>
          <w:rFonts w:ascii="Times New Roman" w:hAnsi="Times New Roman" w:eastAsia="宋体"/>
          <w:b/>
          <w:i w:val="0"/>
          <w:sz w:val="21"/>
        </w:rPr>
        <w:t>count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 / break </w:t>
      </w:r>
      <w:r>
        <w:rPr>
          <w:rFonts w:ascii="Times New Roman" w:hAnsi="Times New Roman" w:eastAsia="宋体"/>
          <w:b/>
          <w:i w:val="0"/>
          <w:sz w:val="21"/>
        </w:rPr>
        <w:t>density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show no difference — 0.175 vs 0.170 — "count" metrics are ineffective; "type" metrics are effective.)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turn </w:t>
      </w:r>
      <w:r>
        <w:rPr>
          <w:rFonts w:ascii="Times New Roman" w:hAnsi="Times New Roman" w:eastAsia="宋体"/>
          <w:b/>
          <w:i w:val="0"/>
          <w:sz w:val="21"/>
        </w:rPr>
        <w:t>steepness/depth</w:t>
      </w:r>
      <w:r>
        <w:rPr>
          <w:rFonts w:ascii="Times New Roman" w:hAnsi="Times New Roman" w:eastAsia="宋体"/>
          <w:b w:val="0"/>
          <w:i w:val="0"/>
          <w:sz w:val="21"/>
        </w:rPr>
        <w:t xml:space="preserve"> (not count) separates humans and AI — human topic opening/closing is distinct (sharp peaks/valleys — the "cadence" of thought), AI turns are shallow (smooth gliding). </w:t>
      </w:r>
      <w:r>
        <w:rPr>
          <w:rFonts w:ascii="Times New Roman" w:hAnsi="Times New Roman" w:eastAsia="宋体"/>
          <w:b/>
          <w:i w:val="0"/>
          <w:sz w:val="21"/>
        </w:rPr>
        <w:t>Counts equal, amplitudes differ sharply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both have similar numbers of turns, but human turns are "meaningful pivots," AI turns are "directionless slides."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3.4 Finding 3: Human Long-Range Memory, AI Goldfish Memory (Hurst)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(same-theme ultra-long trajectories):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Trajectory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Segments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dim10 Hurst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dim48 Hurst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Tianxingjian ch.1–6 (human)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899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0.621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(&gt;0.5 — long-range memory)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0.638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archives (AI imitation)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0.457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(&lt;0.5 — anti-persistent / near random walk)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0.592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human writing has </w:t>
      </w:r>
      <w:r>
        <w:rPr>
          <w:rFonts w:ascii="Times New Roman" w:hAnsi="Times New Roman" w:eastAsia="宋体"/>
          <w:b/>
          <w:i w:val="0"/>
          <w:sz w:val="21"/>
        </w:rPr>
        <w:t>memory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earlier content influences later organization across distance (loops, echoes, foreshadowing — Hurst&gt;0.5) — the ability for "the original intent to periodically resurface." AI's dim10 Hurst below 0.5 (anti-persistent) — </w:t>
      </w:r>
      <w:r>
        <w:rPr>
          <w:rFonts w:ascii="Times New Roman" w:hAnsi="Times New Roman" w:eastAsia="宋体"/>
          <w:b/>
          <w:i w:val="0"/>
          <w:sz w:val="21"/>
        </w:rPr>
        <w:t>inter-segment topic-memory breaks — goldfish memory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AI cannot "remember its original intent." This is the dynamical explanation of "AI long-text digression" (not semantic forgetting — organizational-memory fracture; consistent with long-range semantic retention 0.94+ showing no difference: </w:t>
      </w:r>
      <w:r>
        <w:rPr>
          <w:rFonts w:ascii="Times New Roman" w:hAnsi="Times New Roman" w:eastAsia="宋体"/>
          <w:b/>
          <w:i w:val="0"/>
          <w:sz w:val="21"/>
        </w:rPr>
        <w:t>semantics remembered, organization forgotten</w:t>
      </w:r>
      <w:r>
        <w:rPr>
          <w:rFonts w:ascii="Times New Roman" w:hAnsi="Times New Roman" w:eastAsia="宋体"/>
          <w:b w:val="0"/>
          <w:i w:val="0"/>
          <w:sz w:val="21"/>
        </w:rPr>
        <w:t>).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3.5 Finding 4: AI's Information Flow is Mechanical, Human's is Free (Transfer Entropy)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(clause-level):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Direction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Human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TE(dim10→dim48)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0.0194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-0.79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0.075 (marginal)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TE(dim48→dim10)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0.0123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0.0160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-0.55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0.244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transfer entropy measures the predictability gain of Y's future given X's past — </w:t>
      </w:r>
      <w:r>
        <w:rPr>
          <w:rFonts w:ascii="Times New Roman" w:hAnsi="Times New Roman" w:eastAsia="宋体"/>
          <w:b/>
          <w:i w:val="0"/>
          <w:sz w:val="21"/>
        </w:rPr>
        <w:t>AI's higher topic→reference flow = more mechanically determined "topic-word→reference-pronoun" transitions</w:t>
      </w:r>
      <w:r>
        <w:rPr>
          <w:rFonts w:ascii="Times New Roman" w:hAnsi="Times New Roman" w:eastAsia="宋体"/>
          <w:b w:val="0"/>
          <w:i w:val="0"/>
          <w:sz w:val="21"/>
        </w:rPr>
        <w:t xml:space="preserve"> (dictionary-like association: a topic word is predictably followed by a reference — predictable) — </w:t>
      </w:r>
      <w:r>
        <w:rPr>
          <w:rFonts w:ascii="Times New Roman" w:hAnsi="Times New Roman" w:eastAsia="宋体"/>
          <w:b/>
          <w:i w:val="0"/>
          <w:sz w:val="21"/>
        </w:rPr>
        <w:t>human's lower flow = more complex, less predictable topic–reference relations (free organization)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an information-theoretic quantification of "human freedom vs AI mechanism."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5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转移熵对比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Transfer entropy (AI mechanical flow higher)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3.6 Finding 5: Human Topic–Reference "Bonded," AI "Disconnected" (Coupling)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Data</w:t>
      </w:r>
      <w:r>
        <w:rPr>
          <w:rFonts w:ascii="Times New Roman" w:hAnsi="Times New Roman" w:eastAsia="宋体"/>
          <w:b w:val="0"/>
          <w:i w:val="0"/>
          <w:sz w:val="21"/>
        </w:rPr>
        <w:t xml:space="preserve"> (3-segment sliding window dim10×dim48 correlation): human coupling mean </w:t>
      </w:r>
      <w:r>
        <w:rPr>
          <w:rFonts w:ascii="Times New Roman" w:hAnsi="Times New Roman" w:eastAsia="宋体"/>
          <w:b/>
          <w:i w:val="0"/>
          <w:sz w:val="21"/>
        </w:rPr>
        <w:t>+0.517</w:t>
      </w:r>
      <w:r>
        <w:rPr>
          <w:rFonts w:ascii="Times New Roman" w:hAnsi="Times New Roman" w:eastAsia="宋体"/>
          <w:b w:val="0"/>
          <w:i w:val="0"/>
          <w:sz w:val="21"/>
        </w:rPr>
        <w:t xml:space="preserve"> vs AI </w:t>
      </w:r>
      <w:r>
        <w:rPr>
          <w:rFonts w:ascii="Times New Roman" w:hAnsi="Times New Roman" w:eastAsia="宋体"/>
          <w:b/>
          <w:i w:val="0"/>
          <w:sz w:val="21"/>
        </w:rPr>
        <w:t>+0.432</w:t>
      </w:r>
      <w:r>
        <w:rPr>
          <w:rFonts w:ascii="Times New Roman" w:hAnsi="Times New Roman" w:eastAsia="宋体"/>
          <w:b w:val="0"/>
          <w:i w:val="0"/>
          <w:sz w:val="21"/>
        </w:rPr>
        <w:t xml:space="preserve"> (p=0.118 — directional).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in human writing, reference chains naturally follow topics (mention topic → "this/it/that" follows — co-fluctuation) — </w:t>
      </w:r>
      <w:r>
        <w:rPr>
          <w:rFonts w:ascii="Times New Roman" w:hAnsi="Times New Roman" w:eastAsia="宋体"/>
          <w:b/>
          <w:i w:val="0"/>
          <w:sz w:val="21"/>
        </w:rPr>
        <w:t>high coupling</w:t>
      </w:r>
      <w:r>
        <w:rPr>
          <w:rFonts w:ascii="Times New Roman" w:hAnsi="Times New Roman" w:eastAsia="宋体"/>
          <w:b w:val="0"/>
          <w:i w:val="0"/>
          <w:sz w:val="21"/>
        </w:rPr>
        <w:t xml:space="preserve">. AI's lower coupling — a segment may repeat topic words (dim10 surging) while using no references (dim48 low) — </w:t>
      </w:r>
      <w:r>
        <w:rPr>
          <w:rFonts w:ascii="Times New Roman" w:hAnsi="Times New Roman" w:eastAsia="宋体"/>
          <w:b/>
          <w:i w:val="0"/>
          <w:sz w:val="21"/>
        </w:rPr>
        <w:t>the mathematical explanation of "circular repetition"</w:t>
      </w:r>
      <w:r>
        <w:rPr>
          <w:rFonts w:ascii="Times New Roman" w:hAnsi="Times New Roman" w:eastAsia="宋体"/>
          <w:b w:val="0"/>
          <w:i w:val="0"/>
          <w:sz w:val="21"/>
        </w:rPr>
        <w:t>: dictionary repetition replaces logical reference — the two threads of thought (topic and cohesion) are "disconnected" in AI.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3.7 Synthesis: Human vs AI Thought-Dynamics Portrait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Dimension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Human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Undulation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Waves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(jump d=+2.16)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Flat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(no waves)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Turns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Deep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(steepness d=+2.09)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Shallow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Memory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Long-range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(Hurst 0.62)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Goldfish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(Hurst 0.46)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Information flow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Free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(low TE)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Mechanical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(high TE)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Coupling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Bonded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(+0.52)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Disconnected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(+0.43)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In one sentence</w:t>
      </w:r>
      <w:r>
        <w:rPr>
          <w:rFonts w:ascii="Times New Roman" w:hAnsi="Times New Roman" w:eastAsia="宋体"/>
          <w:b w:val="0"/>
          <w:i w:val="0"/>
          <w:sz w:val="21"/>
        </w:rPr>
        <w:t xml:space="preserve">: human writing is </w:t>
      </w:r>
      <w:r>
        <w:rPr>
          <w:rFonts w:ascii="Times New Roman" w:hAnsi="Times New Roman" w:eastAsia="宋体"/>
          <w:b/>
          <w:i w:val="0"/>
          <w:sz w:val="21"/>
        </w:rPr>
        <w:t>free fluctuation within a root-intent gravity field</w:t>
      </w:r>
      <w:r>
        <w:rPr>
          <w:rFonts w:ascii="Times New Roman" w:hAnsi="Times New Roman" w:eastAsia="宋体"/>
          <w:b w:val="0"/>
          <w:i w:val="0"/>
          <w:sz w:val="21"/>
        </w:rPr>
        <w:t xml:space="preserve"> (memorable loops, deep turns, free flow); AI writing is </w:t>
      </w:r>
      <w:r>
        <w:rPr>
          <w:rFonts w:ascii="Times New Roman" w:hAnsi="Times New Roman" w:eastAsia="宋体"/>
          <w:b/>
          <w:i w:val="0"/>
          <w:sz w:val="21"/>
        </w:rPr>
        <w:t>field-less flat gliding</w:t>
      </w:r>
      <w:r>
        <w:rPr>
          <w:rFonts w:ascii="Times New Roman" w:hAnsi="Times New Roman" w:eastAsia="宋体"/>
          <w:b w:val="0"/>
          <w:i w:val="0"/>
          <w:sz w:val="21"/>
        </w:rPr>
        <w:t xml:space="preserve"> (no undulation, no memory, mechanical flow) — </w:t>
      </w:r>
      <w:r>
        <w:rPr>
          <w:rFonts w:ascii="Times New Roman" w:hAnsi="Times New Roman" w:eastAsia="宋体"/>
          <w:b/>
          <w:i w:val="0"/>
          <w:sz w:val="21"/>
        </w:rPr>
        <w:t>"thought with a gravity field" vs "thought without a field"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observational basis of the Intent Dynamics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92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想流形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Thought manifold (human concentrated vs AI dispersed)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4. Intent-State Dissection: 64-Dimension Atlas (v0.74)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4.1 Dimension Function Localization (Causal Intervention — 144 runs)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Dimension perturbation (replace μ_h / scale 1.5 / 0.5 / noise control) → virtual-token channel injection → language-feature changes in generated text: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Dimension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Perturbation effect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Function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dim48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reference density −0.42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/ conjunction −0.20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reference-chain/cohesion dimension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dim10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topic density +0.12~+0.23 / reference density +0.13~+0.15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topic-organization dimension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dim46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sent_proj scale0.5 significant (+0.021 p=0.04)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projection-adjustment candidate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dim34/22/43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weak directional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discriminative signal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(Note: sent_proj-level effects are weak — 2/18 significant — attenuated by the MLP 64→896 mapping — </w:t>
      </w:r>
      <w:r>
        <w:rPr>
          <w:rFonts w:ascii="Times New Roman" w:hAnsi="Times New Roman" w:eastAsia="宋体"/>
          <w:b/>
          <w:i w:val="0"/>
          <w:sz w:val="21"/>
        </w:rPr>
        <w:t>dimension control must be measured at the language-feature level</w:t>
      </w:r>
      <w:r>
        <w:rPr>
          <w:rFonts w:ascii="Times New Roman" w:hAnsi="Times New Roman" w:eastAsia="宋体"/>
          <w:b w:val="0"/>
          <w:i w:val="0"/>
          <w:sz w:val="21"/>
        </w:rPr>
        <w:t>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4.2 Interpretability × Discrimination Inverse Relation (64-Dimension Panorama)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Group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Median \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human-AI d\</w:t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</w:r>
          </w:p>
        </w:tc>
        <w:tc>
          <w:tcPr>
            <w:tcW w:type="dxa" w:w="181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Significant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Explained (42 — surface features)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Other unexplained (11)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Unexplained-11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0.53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9/11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Derivation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</w:t>
      </w:r>
      <w:r>
        <w:rPr>
          <w:rFonts w:ascii="Times New Roman" w:hAnsi="Times New Roman" w:eastAsia="宋体"/>
          <w:b/>
          <w:i w:val="0"/>
          <w:sz w:val="21"/>
        </w:rPr>
        <w:t>the deep signals the discriminator learned are precisely the dimensions not linearly explainable by surface features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unexplained-11 = discriminative-signal proper (top-10 strongest includes 5 unexplained: dim58 +0.69/dim55 +0.67/dim59 +0.65/dim34/dim46) — </w:t>
      </w:r>
      <w:r>
        <w:rPr>
          <w:rFonts w:ascii="Times New Roman" w:hAnsi="Times New Roman" w:eastAsia="宋体"/>
          <w:b/>
          <w:i w:val="0"/>
          <w:sz w:val="21"/>
        </w:rPr>
        <w:t>"unexplainable" ≠ "useless" — it is the most concentrated discriminative information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core coordinates of intent state lie on these deep dimensions.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十四维全景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8"/>
        </w:rPr>
        <w:t>64-dim human-AI difference panorama (orange=unexplained-11)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4.3 Polarity Grouping (basis of Law 3)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Unexplained-11 splits into two groups (consistent with internal correlation 38/55): </w:t>
      </w:r>
      <w:r>
        <w:rPr>
          <w:rFonts w:ascii="Times New Roman" w:hAnsi="Times New Roman" w:eastAsia="宋体"/>
          <w:b/>
          <w:i w:val="0"/>
          <w:sz w:val="21"/>
        </w:rPr>
        <w:t>Human-organization group</w:t>
      </w:r>
      <w:r>
        <w:rPr>
          <w:rFonts w:ascii="Times New Roman" w:hAnsi="Times New Roman" w:eastAsia="宋体"/>
          <w:b w:val="0"/>
          <w:i w:val="0"/>
          <w:sz w:val="21"/>
        </w:rPr>
        <w:t xml:space="preserve"> (dim10/11/34/46/48/59 — positive human-AI d + positive jump — human-high-activation + human-waves) vs </w:t>
      </w:r>
      <w:r>
        <w:rPr>
          <w:rFonts w:ascii="Times New Roman" w:hAnsi="Times New Roman" w:eastAsia="宋体"/>
          <w:b/>
          <w:i w:val="0"/>
          <w:sz w:val="21"/>
        </w:rPr>
        <w:t>AI-feature group</w:t>
      </w:r>
      <w:r>
        <w:rPr>
          <w:rFonts w:ascii="Times New Roman" w:hAnsi="Times New Roman" w:eastAsia="宋体"/>
          <w:b w:val="0"/>
          <w:i w:val="0"/>
          <w:sz w:val="21"/>
        </w:rPr>
        <w:t xml:space="preserve"> (dim22/26/43/52/5 — negative + negative — AI-high-activation + AI-fluctuation) — </w:t>
      </w:r>
      <w:r>
        <w:rPr>
          <w:rFonts w:ascii="Times New Roman" w:hAnsi="Times New Roman" w:eastAsia="宋体"/>
          <w:b/>
          <w:i w:val="0"/>
          <w:sz w:val="21"/>
        </w:rPr>
        <w:t>human waves appear on human-high-activation dimensions; AI fluctuations on AI-high-activation dimensions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intervention must distinguish polarity (Law 3).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 Intent Intervenability: Inference-Time Spectrum and Causal Control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5.0 Positioning Statement: Existing Interventions Are Structural/Expressive-Layer — NOT Flow-Of-Thought Layer (Important Distinction)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Layer relations that must be clarified</w:t>
      </w:r>
      <w:r>
        <w:rPr>
          <w:rFonts w:ascii="Times New Roman" w:hAnsi="Times New Roman" w:eastAsia="宋体"/>
          <w:b w:val="0"/>
          <w:i w:val="0"/>
          <w:sz w:val="21"/>
        </w:rPr>
        <w:t xml:space="preserve"> (three periods of this research):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Layer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Period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Metrics/Mechanisms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Structural/expressive-layer intervention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v0.68–v0.73 (earlier)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sent_proj projection (core-clinging)/topic-word retention/logits bias/beam selection/virtual-token injection —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all based on the discriminator's static projection and word-level structural metrics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Implemented (this section)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Measurement/monitoring layer (flow-of-thought)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v0.74 (later)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jump/turn steepness/Hurst/transfer entropy/coupling — capturing human–AI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flow differences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(§3)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Implemented (measurement)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Flow-of-thought intervention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v0.75 conception (future)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trajectory planner uses wave patterns (§3 target distributions) as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generation targets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Not implemented (§6 engine)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Explicit statement</w:t>
      </w:r>
      <w:r>
        <w:rPr>
          <w:rFonts w:ascii="Times New Roman" w:hAnsi="Times New Roman" w:eastAsia="宋体"/>
          <w:b w:val="0"/>
          <w:i w:val="0"/>
          <w:sz w:val="21"/>
        </w:rPr>
        <w:t xml:space="preserve">: the §5 intervention spectrum (probability→logits→beam→seed→virtual token→Kalman gating) is </w:t>
      </w:r>
      <w:r>
        <w:rPr>
          <w:rFonts w:ascii="Times New Roman" w:hAnsi="Times New Roman" w:eastAsia="宋体"/>
          <w:b/>
          <w:i w:val="0"/>
          <w:sz w:val="21"/>
        </w:rPr>
        <w:t>entirely based on structural/expressive-layer metrics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intervention target is "generated text clings to the core" (static projection consistency, sent_proj) — </w:t>
      </w:r>
      <w:r>
        <w:rPr>
          <w:rFonts w:ascii="Times New Roman" w:hAnsi="Times New Roman" w:eastAsia="宋体"/>
          <w:b/>
          <w:i w:val="0"/>
          <w:sz w:val="21"/>
        </w:rPr>
        <w:t>these experiments (v0.68–v0.73) predate flow-of-thought measurement (v0.74) and did NOT use the §3 flow metrics (jump/turn/Hurst/TE/coupling) at all</w:t>
      </w:r>
      <w:r>
        <w:rPr>
          <w:rFonts w:ascii="Times New Roman" w:hAnsi="Times New Roman" w:eastAsia="宋体"/>
          <w:b w:val="0"/>
          <w:i w:val="0"/>
          <w:sz w:val="21"/>
        </w:rPr>
        <w:t xml:space="preserve">. In this study, flow-of-thought metrics serve the </w:t>
      </w:r>
      <w:r>
        <w:rPr>
          <w:rFonts w:ascii="Times New Roman" w:hAnsi="Times New Roman" w:eastAsia="宋体"/>
          <w:b/>
          <w:i w:val="0"/>
          <w:sz w:val="21"/>
        </w:rPr>
        <w:t>measurement and monitoring role</w:t>
      </w:r>
      <w:r>
        <w:rPr>
          <w:rFonts w:ascii="Times New Roman" w:hAnsi="Times New Roman" w:eastAsia="宋体"/>
          <w:b w:val="0"/>
          <w:i w:val="0"/>
          <w:sz w:val="21"/>
        </w:rPr>
        <w:t xml:space="preserve"> (revealing human–AI differences); using flow metrics as </w:t>
      </w:r>
      <w:r>
        <w:rPr>
          <w:rFonts w:ascii="Times New Roman" w:hAnsi="Times New Roman" w:eastAsia="宋体"/>
          <w:b/>
          <w:i w:val="0"/>
          <w:sz w:val="21"/>
        </w:rPr>
        <w:t>intervention targets</w:t>
      </w:r>
      <w:r>
        <w:rPr>
          <w:rFonts w:ascii="Times New Roman" w:hAnsi="Times New Roman" w:eastAsia="宋体"/>
          <w:b w:val="0"/>
          <w:i w:val="0"/>
          <w:sz w:val="21"/>
        </w:rPr>
        <w:t xml:space="preserve"> (e.g., "generated trajectory's turn steepness approaching human levels") is the Intent Dynamics Engine's conception (§6) — </w:t>
      </w:r>
      <w:r>
        <w:rPr>
          <w:rFonts w:ascii="Times New Roman" w:hAnsi="Times New Roman" w:eastAsia="宋体"/>
          <w:b/>
          <w:i w:val="0"/>
          <w:sz w:val="21"/>
        </w:rPr>
        <w:t>not yet implemented</w:t>
      </w:r>
      <w:r>
        <w:rPr>
          <w:rFonts w:ascii="Times New Roman" w:hAnsi="Times New Roman" w:eastAsia="宋体"/>
          <w:b w:val="0"/>
          <w:i w:val="0"/>
          <w:sz w:val="21"/>
        </w:rPr>
        <w:t>. Therefore: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 xml:space="preserve">§5's "117%/103% oracle" proves the spectrum ceiling of </w:t>
      </w:r>
      <w:r>
        <w:rPr>
          <w:rFonts w:ascii="Times New Roman" w:hAnsi="Times New Roman" w:eastAsia="宋体"/>
          <w:b/>
          <w:i w:val="0"/>
          <w:sz w:val="20"/>
        </w:rPr>
        <w:t>structural/expressive-layer intervention</w:t>
      </w:r>
      <w:r>
        <w:rPr>
          <w:rFonts w:ascii="Times New Roman" w:hAnsi="Times New Roman" w:eastAsia="宋体"/>
          <w:b w:val="0"/>
          <w:i w:val="0"/>
          <w:sz w:val="20"/>
        </w:rPr>
        <w:t xml:space="preserve"> (static core-clinging organization) — not the flow layer;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 xml:space="preserve">§3's flow metrics are </w:t>
      </w:r>
      <w:r>
        <w:rPr>
          <w:rFonts w:ascii="Times New Roman" w:hAnsi="Times New Roman" w:eastAsia="宋体"/>
          <w:b/>
          <w:i w:val="0"/>
          <w:sz w:val="20"/>
        </w:rPr>
        <w:t>observational evidence</w:t>
      </w:r>
      <w:r>
        <w:rPr>
          <w:rFonts w:ascii="Times New Roman" w:hAnsi="Times New Roman" w:eastAsia="宋体"/>
          <w:b w:val="0"/>
          <w:i w:val="0"/>
          <w:sz w:val="20"/>
        </w:rPr>
        <w:t xml:space="preserve"> (human waves vs AI flat) — not the objective of existing interventions;</w:t>
      </w:r>
    </w:p>
    <w:p>
      <w:pPr>
        <w:spacing w:after="60" w:line="300" w:lineRule="auto"/>
      </w:pPr>
      <w:r>
        <w:rPr>
          <w:rFonts w:ascii="Times New Roman" w:hAnsi="Times New Roman" w:eastAsia="宋体"/>
          <w:b w:val="0"/>
          <w:i w:val="0"/>
          <w:sz w:val="20"/>
        </w:rPr>
        <w:t xml:space="preserve">The </w:t>
      </w:r>
      <w:r>
        <w:rPr>
          <w:rFonts w:ascii="Times New Roman" w:hAnsi="Times New Roman" w:eastAsia="宋体"/>
          <w:b/>
          <w:i w:val="0"/>
          <w:sz w:val="20"/>
        </w:rPr>
        <w:t>implementation path for flow-layer intervention</w:t>
      </w:r>
      <w:r>
        <w:rPr>
          <w:rFonts w:ascii="Times New Roman" w:hAnsi="Times New Roman" w:eastAsia="宋体"/>
          <w:b w:val="0"/>
          <w:i w:val="0"/>
          <w:sz w:val="20"/>
        </w:rPr>
        <w:t xml:space="preserve"> (wave patterns as target distributions) is in §6.4 — acceptance = end-to-end generation's five metrics approach the human portrait (only then can "flow-of-thought intervention" be claimed implemented).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5.1 Intervention Spectrum (201 runs / 22 conditions — oracle = Δ÷0.09×100)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Probability 17-25% → logits 40% → beam 51% → seed+beam </w:t>
      </w:r>
      <w:r>
        <w:rPr>
          <w:rFonts w:ascii="Times New Roman" w:hAnsi="Times New Roman" w:eastAsia="宋体"/>
          <w:b/>
          <w:i w:val="0"/>
          <w:sz w:val="21"/>
        </w:rPr>
        <w:t>82%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virtual-token channel (vt_ext 49% — </w:t>
      </w:r>
      <w:r>
        <w:rPr>
          <w:rFonts w:ascii="Times New Roman" w:hAnsi="Times New Roman" w:eastAsia="宋体"/>
          <w:b/>
          <w:i w:val="0"/>
          <w:sz w:val="21"/>
        </w:rPr>
        <w:t>+16 points over the logits carrier</w:t>
      </w:r>
      <w:r>
        <w:rPr>
          <w:rFonts w:ascii="Times New Roman" w:hAnsi="Times New Roman" w:eastAsia="宋体"/>
          <w:b w:val="0"/>
          <w:i w:val="0"/>
          <w:sz w:val="21"/>
        </w:rPr>
        <w:t xml:space="preserve">) → three-layer stacking </w:t>
      </w:r>
      <w:r>
        <w:rPr>
          <w:rFonts w:ascii="Times New Roman" w:hAnsi="Times New Roman" w:eastAsia="宋体"/>
          <w:b/>
          <w:i w:val="0"/>
          <w:sz w:val="21"/>
        </w:rPr>
        <w:t>vt_seed_beam 117%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</w:t>
      </w:r>
      <w:r>
        <w:rPr>
          <w:rFonts w:ascii="Times New Roman" w:hAnsi="Times New Roman" w:eastAsia="宋体"/>
          <w:b/>
          <w:i w:val="0"/>
          <w:sz w:val="21"/>
        </w:rPr>
        <w:t>Kalman-gated vt_gate_beam 103% (67% cost reduction — 0.37 s/oracle-point — recommended form)</w:t>
      </w:r>
      <w:r>
        <w:rPr>
          <w:rFonts w:ascii="Times New Roman" w:hAnsi="Times New Roman" w:eastAsia="宋体"/>
          <w:b w:val="0"/>
          <w:i w:val="0"/>
          <w:sz w:val="21"/>
        </w:rPr>
        <w:t xml:space="preserve">. No-beam tests: seed effect depends on beam (pure seed −1%) — beam's net contribution 36 points irreplaceable — gating 46% is the no-beam optimum — </w:t>
      </w:r>
      <w:r>
        <w:rPr>
          <w:rFonts w:ascii="Times New Roman" w:hAnsi="Times New Roman" w:eastAsia="宋体"/>
          <w:b/>
          <w:i w:val="0"/>
          <w:sz w:val="21"/>
        </w:rPr>
        <w:t>"when to inject" matters more than "what to inject"</w:t>
      </w:r>
      <w:r>
        <w:rPr>
          <w:rFonts w:ascii="Times New Roman" w:hAnsi="Times New Roman" w:eastAsia="宋体"/>
          <w:b w:val="0"/>
          <w:i w:val="0"/>
          <w:sz w:val="21"/>
        </w:rPr>
        <w:t xml:space="preserve"> (minimal-intervention principle).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5.2 Kalman Repair (Prediction-Accuracy Path)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S2 r=0.15's root cause: Kalman implementation (segment start read stale x_pred) — after fixing the `predict()` semantics, r=0.389 (2.6–3×) — adaptive strategy (free segments skip beam — efficiency) — </w:t>
      </w:r>
      <w:r>
        <w:rPr>
          <w:rFonts w:ascii="Times New Roman" w:hAnsi="Times New Roman" w:eastAsia="宋体"/>
          <w:b/>
          <w:i w:val="0"/>
          <w:sz w:val="21"/>
        </w:rPr>
        <w:t>intent state is predictable (segment-level r≈0.68 — lag structure)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prediction-driven resource allocation = quality-cost optimum.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5.3 Causal-Control Loop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dim48/dim10 perturbations change reference/topic organization of generated text — </w:t>
      </w:r>
      <w:r>
        <w:rPr>
          <w:rFonts w:ascii="Times New Roman" w:hAnsi="Times New Roman" w:eastAsia="宋体"/>
          <w:b/>
          <w:i w:val="0"/>
          <w:sz w:val="21"/>
        </w:rPr>
        <w:t>dimensions are not merely correlated but causally intervenable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providing "knobs" for the engine's steering executor.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6. Intent Dynamics Engine: The Inference Chain from Phenomena to Architecture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6.1 Derivation of the Five Laws (phenomenon → law)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Law 1 (Subconscious before surface control)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Phenomenon: human clause jump d=+2.16 — human thought fluctuates </w:t>
      </w:r>
      <w:r>
        <w:rPr>
          <w:rFonts w:ascii="Times New Roman" w:hAnsi="Times New Roman" w:eastAsia="宋体"/>
          <w:b/>
          <w:i w:val="0"/>
          <w:sz w:val="21"/>
        </w:rPr>
        <w:t>freely</w:t>
      </w:r>
      <w:r>
        <w:rPr>
          <w:rFonts w:ascii="Times New Roman" w:hAnsi="Times New Roman" w:eastAsia="宋体"/>
          <w:b w:val="0"/>
          <w:i w:val="0"/>
          <w:sz w:val="21"/>
        </w:rPr>
        <w:t xml:space="preserve"> around the core, not glued to it. Derivation: if intent were a per-sentence hard constraint (existing "core-clinging" interventions), fluctuation would be suppressed — making AI flatter and more mechanical (opposite of the goal) — </w:t>
      </w:r>
      <w:r>
        <w:rPr>
          <w:rFonts w:ascii="Times New Roman" w:hAnsi="Times New Roman" w:eastAsia="宋体"/>
          <w:b/>
          <w:i w:val="0"/>
          <w:sz w:val="21"/>
        </w:rPr>
        <w:t>root intent must exist as a background field — surface intent flows freely — pull-back only when deviating beyond a safety boundary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Law 2 (Flow features are more fundamental than static features)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Phenomenon: clause-level jump-significant dimensions 56/64 vs static human-AI 39/64; turn steepness d=+2.09. Derivation: single-point projections tell whether "this clause clings"; flow rhythm/turn depth/coupling dynamics tell "how thought progresses" — </w:t>
      </w:r>
      <w:r>
        <w:rPr>
          <w:rFonts w:ascii="Times New Roman" w:hAnsi="Times New Roman" w:eastAsia="宋体"/>
          <w:b/>
          <w:i w:val="0"/>
          <w:sz w:val="21"/>
        </w:rPr>
        <w:t>the higher-information discriminative and target signals live in flow features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engine's objective should be trajectory-morphology-based, not point-based.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Law 3 (Dimension polarity must be treated separately)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Phenomenon: 64 dims are non-uniform — human waves on human-high-activation dims (dim10/34/46 etc.), AI fluctuation on AI-high-activation dims (dim22/26/43). Derivation: intervention cannot be one-size-fits-all — </w:t>
      </w:r>
      <w:r>
        <w:rPr>
          <w:rFonts w:ascii="Times New Roman" w:hAnsi="Times New Roman" w:eastAsia="宋体"/>
          <w:b/>
          <w:i w:val="0"/>
          <w:sz w:val="21"/>
        </w:rPr>
        <w:t>positive (human-organization) group should encourage wave-like undulation (wide fluctuation band); negative (AI-feature) group should suppress mechanical swinging (narrow band)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Law 4 (Interpretability and discriminative power are inversely related)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Phenomenon: explained d=0.32 vs unexplained-11 d=0.53. Derivation: the discriminator's deep signals are the unexplainable dimensions — </w:t>
      </w:r>
      <w:r>
        <w:rPr>
          <w:rFonts w:ascii="Times New Roman" w:hAnsi="Times New Roman" w:eastAsia="宋体"/>
          <w:b/>
          <w:i w:val="0"/>
          <w:sz w:val="21"/>
        </w:rPr>
        <w:t>the core coordinates of intent state lie on deep dimensions — the engine's state representation should use all 64 dims (or the 11-dim core subspace), not only explainable ones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explainable dims provide the "translation layer," deep dims the "discriminative power."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Law 5 (Information-flow freedom is a new axis)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Phenomenon: TE AI 0.019 vs human 0.012 — AI's topic→reference transitions are mechanically determined. Derivation: </w:t>
      </w:r>
      <w:r>
        <w:rPr>
          <w:rFonts w:ascii="Times New Roman" w:hAnsi="Times New Roman" w:eastAsia="宋体"/>
          <w:b/>
          <w:i w:val="0"/>
          <w:sz w:val="21"/>
        </w:rPr>
        <w:t>human freedom vs AI mechanism is an axis independent of "core-clinging"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engine must not only "cling to the core" (projection) but also "flow freely" (low-determinism flow) — the target distribution should include an information-flow-freedom constraint.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6.2 Three-Layer Architecture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Layer 1: Root Intent Field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root intent = fixed vector R in the 64-dim (or 11-dim core subspace) space — the gravity-field minimum — close = comfortable, far = high potential — </w:t>
      </w:r>
      <w:r>
        <w:rPr>
          <w:rFonts w:ascii="Times New Roman" w:hAnsi="Times New Roman" w:eastAsia="宋体"/>
          <w:b/>
          <w:i w:val="0"/>
          <w:sz w:val="21"/>
        </w:rPr>
        <w:t>correction triggered only when potential exceeds a threshold</w:t>
      </w:r>
      <w:r>
        <w:rPr>
          <w:rFonts w:ascii="Times New Roman" w:hAnsi="Times New Roman" w:eastAsia="宋体"/>
          <w:b w:val="0"/>
          <w:i w:val="0"/>
          <w:sz w:val="21"/>
        </w:rPr>
        <w:t xml:space="preserve"> (Law 1) — verified components: document-core/external-core anchors (document-core d 2.04–2.09; vt_ext 49% / vt_oracle 55% — the field's anchor is verified).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Layer 2: Intent Trajectory Planner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learns human fluctuation patterns (§3.2–3.6 target distributions: allowed fluctuation range / target jump / target coupling / target Hurst) — input: current intent state + history → output: next-clause target-state distribution — </w:t>
      </w:r>
      <w:r>
        <w:rPr>
          <w:rFonts w:ascii="Times New Roman" w:hAnsi="Times New Roman" w:eastAsia="宋体"/>
          <w:b/>
          <w:i w:val="0"/>
          <w:sz w:val="21"/>
        </w:rPr>
        <w:t>wide band for positive dims, narrow for negative dims</w:t>
      </w:r>
      <w:r>
        <w:rPr>
          <w:rFonts w:ascii="Times New Roman" w:hAnsi="Times New Roman" w:eastAsia="宋体"/>
          <w:b w:val="0"/>
          <w:i w:val="0"/>
          <w:sz w:val="21"/>
        </w:rPr>
        <w:t xml:space="preserve"> (Law 3) — verified components: Kalman gating (predict-assign — r=0.389 — intent state predictable). </w:t>
      </w:r>
      <w:r>
        <w:rPr>
          <w:rFonts w:ascii="Times New Roman" w:hAnsi="Times New Roman" w:eastAsia="宋体"/>
          <w:b/>
          <w:i w:val="0"/>
          <w:sz w:val="21"/>
        </w:rPr>
        <w:t>Fluctuation-pattern learning is COMPLETE (v0.77-1 — `stage3/engine_planner_bands.py` — fully offline)</w:t>
      </w:r>
      <w:r>
        <w:rPr>
          <w:rFonts w:ascii="Times New Roman" w:hAnsi="Times New Roman" w:eastAsia="宋体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Target distribution (per-document — human p25–p75 band)</w:t>
            </w:r>
          </w:p>
        </w:tc>
        <w:tc>
          <w:tcPr>
            <w:tcW w:type="dxa" w:w="3402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Jump dim10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0.296–0.324 (AI 0.257 — strong constraint)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Turn steepness/depth dim10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0.445–0.486 / 0.446–0.494 (AI 0.388)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Jump dim48 / turn steepness dim48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0.353–0.382 / 0.523–0.572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Hurst dim10 (long-range memory)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0.594–0.696 (AI 0.568)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Coupling 10×48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0.468–0.558 (AI 0.432)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 10→48 (free flow — lower-bound constraint)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≤0.019 (AI 0.023 mechanical)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Wave-band polarity verification (11/11 confirmed)</w:t>
      </w:r>
      <w:r>
        <w:rPr>
          <w:rFonts w:ascii="Times New Roman" w:hAnsi="Times New Roman" w:eastAsia="宋体"/>
          <w:b w:val="0"/>
          <w:i w:val="0"/>
          <w:sz w:val="21"/>
        </w:rPr>
        <w:t xml:space="preserve">: human-organization group (dim10/11/34/46/48/59) segment-trajectory width ratios (human std / AI std) all </w:t>
      </w:r>
      <w:r>
        <w:rPr>
          <w:rFonts w:ascii="Times New Roman" w:hAnsi="Times New Roman" w:eastAsia="宋体"/>
          <w:b/>
          <w:i w:val="0"/>
          <w:sz w:val="21"/>
        </w:rPr>
        <w:t>&gt;1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[1.41, 1.11, 1.23, 1.20, 1.05, 1.15] — median </w:t>
      </w:r>
      <w:r>
        <w:rPr>
          <w:rFonts w:ascii="Times New Roman" w:hAnsi="Times New Roman" w:eastAsia="宋体"/>
          <w:b/>
          <w:i w:val="0"/>
          <w:sz w:val="21"/>
        </w:rPr>
        <w:t>1.17</w:t>
      </w:r>
      <w:r>
        <w:rPr>
          <w:rFonts w:ascii="Times New Roman" w:hAnsi="Times New Roman" w:eastAsia="宋体"/>
          <w:b w:val="0"/>
          <w:i w:val="0"/>
          <w:sz w:val="21"/>
        </w:rPr>
        <w:t xml:space="preserve">; AI-feature group (dim22/26/43/52/5) all </w:t>
      </w:r>
      <w:r>
        <w:rPr>
          <w:rFonts w:ascii="Times New Roman" w:hAnsi="Times New Roman" w:eastAsia="宋体"/>
          <w:b/>
          <w:i w:val="0"/>
          <w:sz w:val="21"/>
        </w:rPr>
        <w:t>&lt;1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[0.73, 0.60, 0.61, 0.55, 0.74] — median </w:t>
      </w:r>
      <w:r>
        <w:rPr>
          <w:rFonts w:ascii="Times New Roman" w:hAnsi="Times New Roman" w:eastAsia="宋体"/>
          <w:b/>
          <w:i w:val="0"/>
          <w:sz w:val="21"/>
        </w:rPr>
        <w:t>0.61</w:t>
      </w:r>
      <w:r>
        <w:rPr>
          <w:rFonts w:ascii="Times New Roman" w:hAnsi="Times New Roman" w:eastAsia="宋体"/>
          <w:b w:val="0"/>
          <w:i w:val="0"/>
          <w:sz w:val="21"/>
        </w:rPr>
        <w:t xml:space="preserve"> (humans stay in a stable narrow band on these dims — swinging is AI's mechanical behavior). Overall 64 dims: 31/64 humans wider (directional, n.s.) — but the 11 target dims are 100% polarity-consistent — </w:t>
      </w:r>
      <w:r>
        <w:rPr>
          <w:rFonts w:ascii="Times New Roman" w:hAnsi="Times New Roman" w:eastAsia="宋体"/>
          <w:b/>
          <w:i w:val="0"/>
          <w:sz w:val="21"/>
        </w:rPr>
        <w:t>wave-band polarity is a real dimension property</w:t>
      </w:r>
      <w:r>
        <w:rPr>
          <w:rFonts w:ascii="Times New Roman" w:hAnsi="Times New Roman" w:eastAsia="宋体"/>
          <w:b w:val="0"/>
          <w:i w:val="0"/>
          <w:sz w:val="21"/>
        </w:rPr>
        <w:t>. → Planner target: positive dims widen to ≈1.17× AI level; negative dims tighten to ≈0.61× AI level.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Layer 3: Intent Steering Executor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target state → real-time LLM sampling guidance — options: magnetic guidance (logits bias) / intent mask (token subset) / virtual-token injection — </w:t>
      </w:r>
      <w:r>
        <w:rPr>
          <w:rFonts w:ascii="Times New Roman" w:hAnsi="Times New Roman" w:eastAsia="宋体"/>
          <w:b/>
          <w:i w:val="0"/>
          <w:sz w:val="21"/>
        </w:rPr>
        <w:t>gating: enabled only on coupling drop / abnormal jump / trajectory deviation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(Law 1 — "when to inject" &gt; "what to inject") — verified components: vt channel (injection 117%/103% — +16 points over logits), Kalman gating (no-beam 46%).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6.3 Essential Difference from the Existing Paradigm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Dimension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Traditional autoregressive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Intent Dynamics Engine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Driver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Local probability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Root-intent field + local probability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State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 persistent intent state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Measurable intent-state vector (64-dim fingerprint)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Trajectory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Flat or random drift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Human-like waves and loops (target-distribution constrained)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Intervention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Field-boundary trigger + trajectory planning + gated execution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Interpretability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Black box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Dimension atlas + polarity grouping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Cost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Full-vocabulary compute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Optional intent mask (output-layer load reduction)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6.4 Implementation Path (from verified components to end-to-end)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Fluctuation-pattern learning</w:t>
      </w:r>
      <w:r>
        <w:rPr>
          <w:rFonts w:ascii="Times New Roman" w:hAnsi="Times New Roman" w:eastAsia="宋体"/>
          <w:b w:val="0"/>
          <w:i w:val="0"/>
          <w:sz w:val="20"/>
        </w:rPr>
        <w:t xml:space="preserve"> (planner core — ✅ COMPLETE v0.77-1): five-metric target distributions (jump/turn/Hurst/TE/coupling — human p25–p75 bands) + 64-dim wave-band polarity verification (positive 1.17× wide / negative 0.61× narrow — 11/11) — output `planner_targets.json` — see §6.2 target table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Field end-to-end</w:t>
      </w:r>
      <w:r>
        <w:rPr>
          <w:rFonts w:ascii="Times New Roman" w:hAnsi="Times New Roman" w:eastAsia="宋体"/>
          <w:b w:val="0"/>
          <w:i w:val="0"/>
          <w:sz w:val="20"/>
        </w:rPr>
        <w:t>: root intent (document/external core) → deviation detection (trajectory–field distance, clause-level) → above-threshold triggers vt-channel pull-back — "free fluctuation + field pull-back" generation loop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Polarity steering</w:t>
      </w:r>
      <w:r>
        <w:rPr>
          <w:rFonts w:ascii="Times New Roman" w:hAnsi="Times New Roman" w:eastAsia="宋体"/>
          <w:b w:val="0"/>
          <w:i w:val="0"/>
          <w:sz w:val="20"/>
        </w:rPr>
        <w:t>: positive dims encourage waves (wide target band); negative dims suppress swinging (narrow band) — implemented via the dim_perturb channel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Training-time</w:t>
      </w:r>
      <w:r>
        <w:rPr>
          <w:rFonts w:ascii="Times New Roman" w:hAnsi="Times New Roman" w:eastAsia="宋体"/>
          <w:b w:val="0"/>
          <w:i w:val="0"/>
          <w:sz w:val="20"/>
        </w:rPr>
        <w:t>: dim48/dim10 as loss terms (φ jointly optimized with LM — eliminating OOD injection)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Verification</w:t>
      </w:r>
      <w:r>
        <w:rPr>
          <w:rFonts w:ascii="Times New Roman" w:hAnsi="Times New Roman" w:eastAsia="宋体"/>
          <w:b w:val="0"/>
          <w:i w:val="0"/>
          <w:sz w:val="20"/>
        </w:rPr>
        <w:t>: end-to-end generation → five flow metrics (jump/turn/Hurst/TE/coupling) should approach the human portrait — the engine's acceptance criterion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6.6.10 Math-Operation Collapse Vectors across Abstraction Levels (v0.88 — longitudinal collapse — shared content pool — placeholder-Δg criterion — REJECTED)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Question (user — directional correction)</w:t>
      </w:r>
      <w:r>
        <w:rPr>
          <w:rFonts w:ascii="Times New Roman" w:hAnsi="Times New Roman" w:eastAsia="宋体"/>
          <w:b w:val="0"/>
          <w:i w:val="0"/>
          <w:sz w:val="21"/>
        </w:rPr>
        <w:t xml:space="preserve">: v0.85 compared four operations at a single language level and only measured operator-word surface differences. Real mathematization is *longitudinal*: for each operation, the collapse direction C = n(F_L4) − n(F_L1) from L1 (language entities) → L2 (action language) → L3 (symbols) → L4 (algebra) might be the geometric signature of the operation. </w:t>
      </w:r>
      <w:r>
        <w:rPr>
          <w:rFonts w:ascii="Times New Roman" w:hAnsi="Times New Roman" w:eastAsia="宋体"/>
          <w:b/>
          <w:i w:val="0"/>
          <w:sz w:val="21"/>
        </w:rPr>
        <w:t>Telescoping identity</w:t>
      </w:r>
      <w:r>
        <w:rPr>
          <w:rFonts w:ascii="Times New Roman" w:hAnsi="Times New Roman" w:eastAsia="宋体"/>
          <w:b w:val="0"/>
          <w:i w:val="0"/>
          <w:sz w:val="21"/>
        </w:rPr>
        <w:t>: C = sum of level-wise displacements — middle levels contribute only to diagnostics (pre-registered declaration).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Design</w:t>
      </w:r>
      <w:r>
        <w:rPr>
          <w:rFonts w:ascii="Times New Roman" w:hAnsi="Times New Roman" w:eastAsia="宋体"/>
          <w:b w:val="0"/>
          <w:i w:val="0"/>
          <w:sz w:val="21"/>
        </w:rPr>
        <w:t xml:space="preserve"> (criteria pre-registered — 5 review points absorbed): 4 ops × 12 ladders × 4 levels; </w:t>
      </w:r>
      <w:r>
        <w:rPr>
          <w:rFonts w:ascii="Times New Roman" w:hAnsi="Times New Roman" w:eastAsia="宋体"/>
          <w:b/>
          <w:i w:val="0"/>
          <w:sz w:val="21"/>
        </w:rPr>
        <w:t>shared content pool</w:t>
      </w:r>
      <w:r>
        <w:rPr>
          <w:rFonts w:ascii="Times New Roman" w:hAnsi="Times New Roman" w:eastAsia="宋体"/>
          <w:b w:val="0"/>
          <w:i w:val="0"/>
          <w:sz w:val="21"/>
        </w:rPr>
        <w:t xml:space="preserve"> (the same (A,B,object,variable-group) across all four ops — A,B value distributions pointwise identical; C values appear only in L2/L3 and telescope-cancel — the v0.85 numeric-range confound is structurally eliminated); placeholder arm = same texts with only operator slots swapped (P0 pre-check switched to random pinyin — sil 0.224→0.066); </w:t>
      </w:r>
      <w:r>
        <w:rPr>
          <w:rFonts w:ascii="Times New Roman" w:hAnsi="Times New Roman" w:eastAsia="宋体"/>
          <w:b/>
          <w:i w:val="0"/>
          <w:sz w:val="21"/>
        </w:rPr>
        <w:t>both arms residualized against the same real-arm common direction Ĉ</w:t>
      </w:r>
      <w:r>
        <w:rPr>
          <w:rFonts w:ascii="Times New Roman" w:hAnsi="Times New Roman" w:eastAsia="宋体"/>
          <w:b w:val="0"/>
          <w:i w:val="0"/>
          <w:sz w:val="21"/>
        </w:rPr>
        <w:t xml:space="preserve"> (Δg same-baseline — the shared "narrative→algebra" jump, κ=0.534, removed); fresh seed 20260816.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Results (honest)</w:t>
      </w:r>
      <w:r>
        <w:rPr>
          <w:rFonts w:ascii="Times New Roman" w:hAnsi="Times New Roman" w:eastAsia="宋体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Real arm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Placeholder arm (same Ĉ)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Criterion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residual-space within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0.092 (≈ random baseline 0.10)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0.279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M-C1 ✗ (needs ≥0.5)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0.147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0.221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M-C2 ✗ (just under 0.15)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Δg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−0.074 (CI [−0.124, −0.022] — significantly negative)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M-C2 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label permutation 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separation exists but template-carried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cross-op shuffle 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0.952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M-C1 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level-wise Δg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d12 +0.015 / </w:t>
            </w:r>
            <w:r>
              <w:rPr>
                <w:rFonts w:ascii="Times New Roman" w:hAnsi="Times New Roman" w:eastAsia="宋体"/>
                <w:b/>
                <w:i w:val="0"/>
                <w:sz w:val="16"/>
              </w:rPr>
              <w:t>d23 (Chinese word→symbol) +0.105</w:t>
            </w: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 xml:space="preserve"> / d34 −0.036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d23 marginal positive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M-C3 alignment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division·D_shared 0.296 (CI [0.227,0.342]); all flagged dims in HUMAN_ORG (dim11/34)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report-only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512-d support arm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 0.201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Δg −0.104 (perm p=0.000)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report-only (same pattern)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Conclusion (REJECTED — converged wording)</w:t>
      </w:r>
      <w:r>
        <w:rPr>
          <w:rFonts w:ascii="Times New Roman" w:hAnsi="Times New Roman" w:eastAsia="宋体"/>
          <w:b w:val="0"/>
          <w:i w:val="0"/>
          <w:sz w:val="21"/>
        </w:rPr>
        <w:t xml:space="preserve">: The collapse direction is </w:t>
      </w:r>
      <w:r>
        <w:rPr>
          <w:rFonts w:ascii="Times New Roman" w:hAnsi="Times New Roman" w:eastAsia="宋体"/>
          <w:b/>
          <w:i w:val="0"/>
          <w:sz w:val="21"/>
        </w:rPr>
        <w:t>not</w:t>
      </w:r>
      <w:r>
        <w:rPr>
          <w:rFonts w:ascii="Times New Roman" w:hAnsi="Times New Roman" w:eastAsia="宋体"/>
          <w:b w:val="0"/>
          <w:i w:val="0"/>
          <w:sz w:val="21"/>
        </w:rPr>
        <w:t xml:space="preserve"> confirmed as operation-specific: ① residual-space within = 0.092 ≈ random baseline — after removing the common jump, op-specific residual directions are unstable across ladders (M-C1 fails badly); ② </w:t>
      </w:r>
      <w:r>
        <w:rPr>
          <w:rFonts w:ascii="Times New Roman" w:hAnsi="Times New Roman" w:eastAsia="宋体"/>
          <w:b/>
          <w:i w:val="0"/>
          <w:sz w:val="21"/>
        </w:rPr>
        <w:t>Δg significantly negative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the placeholder arm separates *more* — real operator words/symbols add no increment and destabilize the directions; ③ op separation exists (label permutation p=0.000) but is fully explained by the L1 entity-layer templates (shared by both arms, op-specific by construction) — </w:t>
      </w:r>
      <w:r>
        <w:rPr>
          <w:rFonts w:ascii="Times New Roman" w:hAnsi="Times New Roman" w:eastAsia="宋体"/>
          <w:b/>
          <w:i w:val="0"/>
          <w:sz w:val="21"/>
        </w:rPr>
        <w:t>the "abstraction process adds operation-specific geometry" hypothesis is not supported in this space</w:t>
      </w:r>
      <w:r>
        <w:rPr>
          <w:rFonts w:ascii="Times New Roman" w:hAnsi="Times New Roman" w:eastAsia="宋体"/>
          <w:b w:val="0"/>
          <w:i w:val="0"/>
          <w:sz w:val="21"/>
        </w:rPr>
        <w:t>; ④ narrow positives (do not change the verdict, report-only): d23 symbol-transition Δg=+0.105 (marginal), division direction aligned with D_shared, all flagged dims in HUMAN_ORG; ⑤ the structure (or its absence) lives in bge semantics — the 512-d arm shows the same pattern, the discriminator does not transform it. Methodological assets: shared content pool / same-Ĉ residualization / cross-op shuffle null / level-wise Δg / unbiased bootstrap.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6.6.11 Correctness Discriminability of Arithmetic Claims in Text-Surface Representations (v0.89 — semantic-layer sideline — parity-matched injection — per-pair LOO — REJECTED — architectural separation supported)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Question (user — architectural separation)</w:t>
      </w:r>
      <w:r>
        <w:rPr>
          <w:rFonts w:ascii="Times New Roman" w:hAnsi="Times New Roman" w:eastAsia="宋体"/>
          <w:b w:val="0"/>
          <w:i w:val="0"/>
          <w:sz w:val="21"/>
        </w:rPr>
        <w:t xml:space="preserve">: language (BGE) and mathematical-logic encoders are claimed to be structurally different classes (inductive biases: function composition / operator action / formal transformation vs lexical co-occurrence / topic / reference) and should be separated. Step ① of the user's four-step route: concatenate BGE semantic features + lightweight math-structure features → train a "math correctness discriminator." This experiment measures the </w:t>
      </w:r>
      <w:r>
        <w:rPr>
          <w:rFonts w:ascii="Times New Roman" w:hAnsi="Times New Roman" w:eastAsia="宋体"/>
          <w:b/>
          <w:i w:val="0"/>
          <w:sz w:val="21"/>
        </w:rPr>
        <w:t>upper bound of correctness discriminability in text-surface representations</w:t>
      </w:r>
      <w:r>
        <w:rPr>
          <w:rFonts w:ascii="Times New Roman" w:hAnsi="Times New Roman" w:eastAsia="宋体"/>
          <w:b w:val="0"/>
          <w:i w:val="0"/>
          <w:sz w:val="21"/>
        </w:rPr>
        <w:t xml:space="preserve"> (bge semantics / style fingerprints / hand-written structure) — two-way pre-registration (FAIL expected → supports separation; PASS → route ② CodeBERT).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Design</w:t>
      </w:r>
      <w:r>
        <w:rPr>
          <w:rFonts w:ascii="Times New Roman" w:hAnsi="Times New Roman" w:eastAsia="宋体"/>
          <w:b w:val="0"/>
          <w:i w:val="0"/>
          <w:sz w:val="21"/>
        </w:rPr>
        <w:t xml:space="preserve"> (criteria pre-registered — 4 review points frozen): 96 pairs (3 groups × 32: transcription 4 ops × 8 / word problems 4 ops × 8 / assertion-form equations 2 types × 16 — derivation clauses removed to kill the "internal consistency ⇒ correctness" isomorphism cue; vertical-arithmetic group excluded: stated-unit consistency cue ≈90%); </w:t>
      </w:r>
      <w:r>
        <w:rPr>
          <w:rFonts w:ascii="Times New Roman" w:hAnsi="Times New Roman" w:eastAsia="宋体"/>
          <w:b/>
          <w:i w:val="0"/>
          <w:sz w:val="21"/>
        </w:rPr>
        <w:t>five-constraint error injection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e≠c, |e−c|∈[1,max(2,c//10)], </w:t>
      </w:r>
      <w:r>
        <w:rPr>
          <w:rFonts w:ascii="Times New Roman" w:hAnsi="Times New Roman" w:eastAsia="宋体"/>
          <w:b/>
          <w:i w:val="0"/>
          <w:sz w:val="21"/>
        </w:rPr>
        <w:t>same digit count</w:t>
      </w:r>
      <w:r>
        <w:rPr>
          <w:rFonts w:ascii="Times New Roman" w:hAnsi="Times New Roman" w:eastAsia="宋体"/>
          <w:b w:val="0"/>
          <w:i w:val="0"/>
          <w:sz w:val="21"/>
        </w:rPr>
        <w:t xml:space="preserve">, </w:t>
      </w:r>
      <w:r>
        <w:rPr>
          <w:rFonts w:ascii="Times New Roman" w:hAnsi="Times New Roman" w:eastAsia="宋体"/>
          <w:b/>
          <w:i w:val="0"/>
          <w:sz w:val="21"/>
        </w:rPr>
        <w:t>same parity</w:t>
      </w:r>
      <w:r>
        <w:rPr>
          <w:rFonts w:ascii="Times New Roman" w:hAnsi="Times New Roman" w:eastAsia="宋体"/>
          <w:b w:val="0"/>
          <w:i w:val="0"/>
          <w:sz w:val="21"/>
        </w:rPr>
        <w:t xml:space="preserve"> (without it, operand-determined result parity yields a 75% cue — pure surface rule, zero arithmetic — the most severe false-PASS hole), </w:t>
      </w:r>
      <w:r>
        <w:rPr>
          <w:rFonts w:ascii="Times New Roman" w:hAnsi="Times New Roman" w:eastAsia="宋体"/>
          <w:b/>
          <w:i w:val="0"/>
          <w:sz w:val="21"/>
        </w:rPr>
        <w:t>same size-bin</w:t>
      </w:r>
      <w:r>
        <w:rPr>
          <w:rFonts w:ascii="Times New Roman" w:hAnsi="Times New Roman" w:eastAsia="宋体"/>
          <w:b w:val="0"/>
          <w:i w:val="0"/>
          <w:sz w:val="21"/>
        </w:rPr>
        <w:t xml:space="preserve"> (cross-bin leakage); direction balance 16/16; per-pair single-token-difference hard assertion (a real trap was caught: the equation template's R=x+b textual binding made two digits differ — rebuilt with the true value fixed so wrong texts need real arithmetic to detect); </w:t>
      </w:r>
      <w:r>
        <w:rPr>
          <w:rFonts w:ascii="Times New Roman" w:hAnsi="Times New Roman" w:eastAsia="宋体"/>
          <w:b/>
          <w:i w:val="0"/>
          <w:sz w:val="21"/>
        </w:rPr>
        <w:t>per-pair LOO</w:t>
      </w:r>
      <w:r>
        <w:rPr>
          <w:rFonts w:ascii="Times New Roman" w:hAnsi="Times New Roman" w:eastAsia="宋体"/>
          <w:b w:val="0"/>
          <w:i w:val="0"/>
          <w:sz w:val="21"/>
        </w:rPr>
        <w:t xml:space="preserve"> (pair identity never leaks); LR primary estimator (nested C selection for the observed acc — fixed C=1.0 for the permutation null — parameter-sensitivity double check Δ=0.0625 honestly reported); 1000 label permutations p=(1+#{≥obs})/1001; M-M3 correct-value-pool reassignment as a conditional gate (only fires on PASS).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Results (honest)</w:t>
      </w:r>
      <w:r>
        <w:rPr>
          <w:rFonts w:ascii="Times New Roman" w:hAnsi="Times New Roman" w:eastAsia="宋体"/>
          <w:b w:val="0"/>
          <w:i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Metric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Value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Criterion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M-M1 (F_all per-pair LOO)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acc=0.4167 (&lt; 0.60 gate); permutation p=0.6913; CI [0.323, 0.521]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16"/>
              </w:rPr>
              <w:t>FAIL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M-M2 feature decomposition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bge 0.401 / fp 0.510 / struct 0.500 / all 0.417 — Δf = −0.094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all ≈ chance (p ≥ 0.64)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M-M3 value-pool control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skipped (M-M1 FAIL — pre-registered conditional gate not fired)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gate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M-M4 within-pair direction κ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bge 0.046 / fp 0.060 (random baseline 0.016)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report-only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MLP / KNN-1 robustness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MLP 0.29–0.51 (all ≈ chance); KNN 0.16 (below chance — within-pair similarity structural)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report-only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F_fp degeneracy check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std&lt;0.05 fraction 0.250 (non-degenerate)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report-only</w:t>
            </w:r>
          </w:p>
        </w:tc>
      </w:tr>
    </w:tbl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Conclusion (REJECTED — converged wording)</w:t>
      </w:r>
      <w:r>
        <w:rPr>
          <w:rFonts w:ascii="Times New Roman" w:hAnsi="Times New Roman" w:eastAsia="宋体"/>
          <w:b w:val="0"/>
          <w:i w:val="0"/>
          <w:sz w:val="21"/>
        </w:rPr>
        <w:t xml:space="preserve">: Under per-pair splitting, bge semantic embeddings, style fingerprints, and hand-written surface structure show </w:t>
      </w:r>
      <w:r>
        <w:rPr>
          <w:rFonts w:ascii="Times New Roman" w:hAnsi="Times New Roman" w:eastAsia="宋体"/>
          <w:b/>
          <w:i w:val="0"/>
          <w:sz w:val="21"/>
        </w:rPr>
        <w:t>no readable correctness signal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arithmetic claims (acc ≤ 0.60, permutation non-significant — power range θ ≤ 0.65, not "absolutely no signal") — text-surface representations do not carry the result–operand relation — correctness judgment requires </w:t>
      </w:r>
      <w:r>
        <w:rPr>
          <w:rFonts w:ascii="Times New Roman" w:hAnsi="Times New Roman" w:eastAsia="宋体"/>
          <w:b/>
          <w:i w:val="0"/>
          <w:sz w:val="21"/>
        </w:rPr>
        <w:t>dedicated structural representations or symbolic computation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</w:t>
      </w:r>
      <w:r>
        <w:rPr>
          <w:rFonts w:ascii="Times New Roman" w:hAnsi="Times New Roman" w:eastAsia="宋体"/>
          <w:b/>
          <w:i w:val="0"/>
          <w:sz w:val="21"/>
        </w:rPr>
        <w:t>the architectural-separation claim receives reverse support</w:t>
      </w:r>
      <w:r>
        <w:rPr>
          <w:rFonts w:ascii="Times New Roman" w:hAnsi="Times New Roman" w:eastAsia="宋体"/>
          <w:b w:val="0"/>
          <w:i w:val="0"/>
          <w:sz w:val="21"/>
        </w:rPr>
        <w:t>: together with v0.88's significantly negative Δg, the language space carries neither operation geometry (v0.88) nor operation correctness (v0.89). The user's route ② (CodeBERT second encoder) and route ③ (dedicated correctness discriminator over symbol-structure data) are empirically motivated as the next steps.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7. Boundaries and Decoupling (Engine Positioning)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The engine is confined to the </w:t>
      </w:r>
      <w:r>
        <w:rPr>
          <w:rFonts w:ascii="Times New Roman" w:hAnsi="Times New Roman" w:eastAsia="宋体"/>
          <w:b/>
          <w:i w:val="0"/>
          <w:sz w:val="21"/>
        </w:rPr>
        <w:t>organizational layer</w:t>
      </w:r>
      <w:r>
        <w:rPr>
          <w:rFonts w:ascii="Times New Roman" w:hAnsi="Times New Roman" w:eastAsia="宋体"/>
          <w:b w:val="0"/>
          <w:i w:val="0"/>
          <w:sz w:val="21"/>
        </w:rPr>
        <w:t xml:space="preserve"> (focus/undulation/cohesion/memory — flow metrics). Three decoupling findings: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Reasoning zero transfer</w:t>
      </w:r>
      <w:r>
        <w:rPr>
          <w:rFonts w:ascii="Times New Roman" w:hAnsi="Times New Roman" w:eastAsia="宋体"/>
          <w:b w:val="0"/>
          <w:i w:val="0"/>
          <w:sz w:val="20"/>
        </w:rPr>
        <w:t xml:space="preserve"> (v0.70 + v0.73-5): intent anchoring / strongest intervention forms give zero reasoning-accuracy gain (none 39% vs vt 31% — organizational optimization does not convert to semantic correctness — "organized ≠ correct")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Long-range semantics zero difference</w:t>
      </w:r>
      <w:r>
        <w:rPr>
          <w:rFonts w:ascii="Times New Roman" w:hAnsi="Times New Roman" w:eastAsia="宋体"/>
          <w:b w:val="0"/>
          <w:i w:val="0"/>
          <w:sz w:val="20"/>
        </w:rPr>
        <w:t xml:space="preserve"> (v0.71): 0.94+ both high — "AI digression" is not semantic forgetting but organizational-memory fracture (Hurst 0.46)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Semantic layer needs training time</w:t>
      </w:r>
      <w:r>
        <w:rPr>
          <w:rFonts w:ascii="Times New Roman" w:hAnsi="Times New Roman" w:eastAsia="宋体"/>
          <w:b w:val="0"/>
          <w:i w:val="0"/>
          <w:sz w:val="20"/>
        </w:rPr>
        <w:t>: the engine's organizational guidance does not touch semantics — semantic ability (reasoning/facts) still depends on model capacity and training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Boundary statement</w:t>
      </w:r>
      <w:r>
        <w:rPr>
          <w:rFonts w:ascii="Times New Roman" w:hAnsi="Times New Roman" w:eastAsia="宋体"/>
          <w:b w:val="0"/>
          <w:i w:val="0"/>
          <w:sz w:val="21"/>
        </w:rPr>
        <w:t>: the engine does not claim to "improve reasoning" — it claims to "make generation trajectories exhibit human-like organizational dynamics" (waves/memory/coupling/free flow) — semantic correctness is the model's responsibility; intent dynamics is the organization's responsibility.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8. Conclusion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This paper advances from "static resemblance" to "dynamic thought-flow":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Intent flow is capturable</w:t>
      </w:r>
      <w:r>
        <w:rPr>
          <w:rFonts w:ascii="Times New Roman" w:hAnsi="Times New Roman" w:eastAsia="宋体"/>
          <w:b w:val="0"/>
          <w:i w:val="0"/>
          <w:sz w:val="20"/>
        </w:rPr>
        <w:t xml:space="preserve"> (§3): all five clause-level metrics capture systematic human–AI differences — humans = breathing waves (free fluctuation/deep turns/long memory/free flow/bonded coupling), AI = flat lines (no waves/shallow/goldfish/mechanical/disconnected);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Intent state is dissectable</w:t>
      </w:r>
      <w:r>
        <w:rPr>
          <w:rFonts w:ascii="Times New Roman" w:hAnsi="Times New Roman" w:eastAsia="宋体"/>
          <w:b w:val="0"/>
          <w:i w:val="0"/>
          <w:sz w:val="20"/>
        </w:rPr>
        <w:t xml:space="preserve"> (§4): 64-dim atlas — unexplained-11 = deep discriminative-signal proper (interpretability × discrimination inverse) — dim48 = reference chain (triple-evidenced) — dim10 = topic organization — polarity grouping;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Intent is intervenable</w:t>
      </w:r>
      <w:r>
        <w:rPr>
          <w:rFonts w:ascii="Times New Roman" w:hAnsi="Times New Roman" w:eastAsia="宋体"/>
          <w:b w:val="0"/>
          <w:i w:val="0"/>
          <w:sz w:val="20"/>
        </w:rPr>
        <w:t xml:space="preserve"> (§5): spectrum to 117%/103% — minimal-intervention principle — causal control (dim48/dim10 knobs);</w:t>
      </w:r>
    </w:p>
    <w:p>
      <w:pPr>
        <w:spacing w:after="60" w:line="300" w:lineRule="auto"/>
      </w:pPr>
      <w:r>
        <w:rPr>
          <w:rFonts w:ascii="Times New Roman" w:hAnsi="Times New Roman" w:eastAsia="宋体"/>
          <w:b/>
          <w:i w:val="0"/>
          <w:sz w:val="20"/>
        </w:rPr>
        <w:t>Intent is conceivable</w:t>
      </w:r>
      <w:r>
        <w:rPr>
          <w:rFonts w:ascii="Times New Roman" w:hAnsi="Times New Roman" w:eastAsia="宋体"/>
          <w:b w:val="0"/>
          <w:i w:val="0"/>
          <w:sz w:val="20"/>
        </w:rPr>
        <w:t xml:space="preserve"> (§6): five laws derived from phenomena — three-layer architecture — explicit implementation path (fluctuation learning → field end-to-end → polarity steering → training-time regularization → five-metric acceptance).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Final proposition</w:t>
      </w:r>
      <w:r>
        <w:rPr>
          <w:rFonts w:ascii="Times New Roman" w:hAnsi="Times New Roman" w:eastAsia="宋体"/>
          <w:b w:val="0"/>
          <w:i w:val="0"/>
          <w:sz w:val="21"/>
        </w:rPr>
        <w:t xml:space="preserve">: the essential human–AI writing difference lies not in vocabulary but in the </w:t>
      </w:r>
      <w:r>
        <w:rPr>
          <w:rFonts w:ascii="Times New Roman" w:hAnsi="Times New Roman" w:eastAsia="宋体"/>
          <w:b/>
          <w:i w:val="0"/>
          <w:sz w:val="21"/>
        </w:rPr>
        <w:t>organization of intent state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— humans fluctuate freely in a root-intent gravity field (memorable loops, deep turns, free flow); AI glides flat without a field. The Intent Dynamics Engine aims to move AI from "passive prediction" to "</w:t>
      </w:r>
      <w:r>
        <w:rPr>
          <w:rFonts w:ascii="Times New Roman" w:hAnsi="Times New Roman" w:eastAsia="宋体"/>
          <w:b/>
          <w:i w:val="0"/>
          <w:sz w:val="21"/>
        </w:rPr>
        <w:t>proactive thinking around its original intent</w:t>
      </w:r>
      <w:r>
        <w:rPr>
          <w:rFonts w:ascii="Times New Roman" w:hAnsi="Times New Roman" w:eastAsia="宋体"/>
          <w:b w:val="0"/>
          <w:i w:val="0"/>
          <w:sz w:val="21"/>
        </w:rPr>
        <w:t>" — AI's first possession of an internal "why."</w:t>
      </w:r>
    </w:p>
    <w:p>
      <w:pPr>
        <w:keepNext/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Appendix: Reproduction Guide (per-conclusion paths)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Environment</w:t>
      </w:r>
      <w:r>
        <w:rPr>
          <w:rFonts w:ascii="Times New Roman" w:hAnsi="Times New Roman" w:eastAsia="宋体"/>
          <w:b w:val="0"/>
          <w:i w:val="0"/>
          <w:sz w:val="21"/>
        </w:rPr>
        <w:t>: Python 3.13 + torch/transformers/sentence-transformers/scipy/jieba/sklearn — offline analysis pure CPU (minutes) — generation needs GPU (MX570 2GB verified) — local models Qwen2.5-0.5B / bge-small-zh (HF_HUB_OFFLINE=1 cache). Repository: IntentDynamics (GitHub-ready — scripts/data/models/papers bundled).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Bundled assets (no regeneration needed)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Asset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Path</w:t>
            </w:r>
          </w:p>
        </w:tc>
        <w:tc>
          <w:tcPr>
            <w:tcW w:type="dxa" w:w="3024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Validation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Clause fingerprint matrix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data/dim_analysis/fp_matrix.npz (26,734×64 + h1 256)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three regression validations PASS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Clause metadata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data/dim_analysis/rows.json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row-aligned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Discriminator weights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data/para_discriminator_v2.pt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fingerprint pipeline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Mapping MLP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data/intent_prior_model/mlp_checkpoint.pt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vt injection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Intervention spectrum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data/training_intervention/manifest.json + texts/ (201 runs full texts)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reproduces paper numbers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Probe corpus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data/independent_test/ (dim_probe/language_mechanism/manifest)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11-dim list reproduction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Conclusion→command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Paper conclusion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Script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Command</w:t>
            </w:r>
          </w:p>
        </w:tc>
        <w:tc>
          <w:tcPr>
            <w:tcW w:type="dxa" w:w="2268"/>
            <w:shd w:val="clear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7"/>
              </w:rPr>
              <w:t>Output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§3.2 waves vs flat (d=+2.16)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stage3/dim_flow_sent.py`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flow_sent_analysis.json (dim10_jump)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§3.3 turn steepness (d=+2.09)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turn10_peak_steep_mean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§3.4 Hurst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stage3/dim_flow.py` (corpus-optional)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flow_analysis.json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§3.5 transfer entropy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dim_flow_sent.py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te_10_to_48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§3.6 coupling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dim_flow.py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same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coupling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§4.1 dim48/dim10 causal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dim_intervene.py (GPU)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stage3/dim_intervene.py`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intervene_manifest.json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§4.2 inverse relation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dim_64_full.py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stage3/dim_64_full.py`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dim64_full.json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§5.1 spectrum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gen_theme_guidance.py (GPU)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`--conditions vt_ext,vt_seed_beam,vt_gate_beam --seeds 0,1`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manifest append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11-dim list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dim_activity.py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`python stage3/dim_activity.py`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activity.json</w:t>
            </w:r>
          </w:p>
        </w:tc>
      </w:tr>
    </w:tbl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Full pipeline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stage3/dim_activity.py          # activity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stage3/dim_probe_deep.py        # probe + traceback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stage3/dim_cross_validate.py    # dual-model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stage3/dim_64_full.py           # 64-dim panorama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stage3/dim_flow.py              # segment + Hurst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stage3/dim_flow_sent.py         # clause + TE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stage3/dim_flow_word.py         # word + 11-dim panorama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stage3/gen_theme_guidance.py --conditions vt_ext --seeds 0,1   # GPU</w:t>
      </w:r>
    </w:p>
    <w:p>
      <w:pPr>
        <w:spacing w:after="0"/>
      </w:pPr>
      <w:r>
        <w:rPr>
          <w:rFonts w:ascii="Consolas" w:hAnsi="Consolas" w:eastAsia="宋体"/>
          <w:b w:val="0"/>
          <w:i w:val="0"/>
          <w:color w:val="333333"/>
          <w:sz w:val="17"/>
        </w:rPr>
        <w:t>python stage3/md_to_docx.py "论文/意图动力学：从意图流转捕捉到模拟智能的架构构想.md"</w:t>
      </w:r>
    </w:p>
    <w:p>
      <w:pPr>
        <w:keepNext/>
        <w:spacing w:before="160" w:after="100"/>
      </w:pPr>
      <w:r>
        <w:rPr>
          <w:rFonts w:ascii="Times New Roman" w:hAnsi="Times New Roman" w:eastAsia="黑体"/>
          <w:b/>
          <w:i w:val="0"/>
          <w:sz w:val="25"/>
        </w:rPr>
        <w:t>Reproduction verification (2026-08-14 — all PASSED)</w:t>
      </w:r>
    </w:p>
    <w:p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dim_activity (11-dim list ✓) → dim_64_full (dim59 d=+0.65 ✓) → dim_flow_sent (d=+2.16 / TE 0.0124 vs 0.0194 ✓) → dim_probe_deep (dim48: 21 sig-pairs/8-8 ✓) → gen_theme_guidance smoke (vt_ext 0.9602 ✓) → md_to_docx (✓) — </w:t>
      </w:r>
      <w:r>
        <w:rPr>
          <w:rFonts w:ascii="Times New Roman" w:hAnsi="Times New Roman" w:eastAsia="宋体"/>
          <w:b/>
          <w:i w:val="0"/>
          <w:sz w:val="21"/>
        </w:rPr>
        <w:t>all numbers match the paper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