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连续谱特征优先级排序（v0.84——部分成立——F1/F3 验证优先）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任务（用户方案）</w:t>
      </w:r>
      <w:r>
        <w:rPr>
          <w:rFonts w:ascii="Times New Roman" w:hAnsi="Times New Roman" w:eastAsia="宋体"/>
          <w:b w:val="0"/>
          <w:i w:val="0"/>
          <w:sz w:val="21"/>
        </w:rPr>
        <w:t>：9 数学特征系统比较（F1 α 分布/F2 ε 分布/F3 ratio_unit/F4 速度自相关/F5 分布拟合/F6 谱斜率/F7 DFA-Hurst/F8 频段能量/F9 谱熵）——找"可测量、可干预、可训练"特征——四性综合分（0.4 区分度+0.3 干预+0.2 嵌入+0.1 训练）——判据 S-F1..F3 预注册先写后跑。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裁定（部分成立）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>（强候选 {F1 d=+1.94, F3 d=-3.18, F7 dfa d=-1.13}——验证 F1/F3 第一优先级）；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（F4 lag1 d=-0.31——"思维惯性"弱——但 </w:t>
      </w:r>
      <w:r>
        <w:rPr>
          <w:rFonts w:ascii="Times New Roman" w:hAnsi="Times New Roman" w:eastAsia="宋体"/>
          <w:b/>
          <w:i w:val="0"/>
          <w:sz w:val="21"/>
        </w:rPr>
        <w:t>lag2 d=+1.02 节奏性信号</w:t>
      </w:r>
      <w:r>
        <w:rPr>
          <w:rFonts w:ascii="Times New Roman" w:hAnsi="Times New Roman" w:eastAsia="宋体"/>
          <w:b w:val="0"/>
          <w:i w:val="0"/>
          <w:sz w:val="21"/>
        </w:rPr>
        <w:t>）；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>（top-3={F3,F1,F2}）。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优先级排序（指导后续实验）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ratio_unit（0.90）</w:t>
      </w:r>
      <w:r>
        <w:rPr>
          <w:rFonts w:ascii="Times New Roman" w:hAnsi="Times New Roman" w:eastAsia="宋体"/>
          <w:b w:val="0"/>
          <w:i w:val="0"/>
          <w:sz w:val="20"/>
        </w:rPr>
        <w:t>——推进集中度——最强 d 但独立集缩水（v0.80 方向保留）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分布（0.76）</w:t>
      </w:r>
      <w:r>
        <w:rPr>
          <w:rFonts w:ascii="Times New Roman" w:hAnsi="Times New Roman" w:eastAsia="宋体"/>
          <w:b w:val="0"/>
          <w:i w:val="0"/>
          <w:sz w:val="20"/>
        </w:rPr>
        <w:t>——沿轴推进量——稳定强候选（与跳跃度同源）——</w:t>
      </w:r>
      <w:r>
        <w:rPr>
          <w:rFonts w:ascii="Times New Roman" w:hAnsi="Times New Roman" w:eastAsia="宋体"/>
          <w:b/>
          <w:i w:val="0"/>
          <w:sz w:val="20"/>
        </w:rPr>
        <w:t>F1_mean_signed d=+0.80（人类正向推进更强——方向偏好是超越幅度的信号）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分布（0.52）</w:t>
      </w:r>
      <w:r>
        <w:rPr>
          <w:rFonts w:ascii="Times New Roman" w:hAnsi="Times New Roman" w:eastAsia="宋体"/>
          <w:b w:val="0"/>
          <w:i w:val="0"/>
          <w:sz w:val="20"/>
        </w:rPr>
        <w:t>——垂直分量无判别力（d=-0.11——ratio_unit 判别力来自平行分量）——只作干预约束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自相关（0.41）</w:t>
      </w:r>
      <w:r>
        <w:rPr>
          <w:rFonts w:ascii="Times New Roman" w:hAnsi="Times New Roman" w:eastAsia="宋体"/>
          <w:b w:val="0"/>
          <w:i w:val="0"/>
          <w:sz w:val="20"/>
        </w:rPr>
        <w:t>——lag2 d=+1.02 节奏性候选（待独立验证）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DFA/Hurst（0.32）</w:t>
      </w:r>
      <w:r>
        <w:rPr>
          <w:rFonts w:ascii="Times New Roman" w:hAnsi="Times New Roman" w:eastAsia="宋体"/>
          <w:b w:val="0"/>
          <w:i w:val="0"/>
          <w:sz w:val="20"/>
        </w:rPr>
        <w:t>——d=-1.13 但标度指数存疑（短序列偏差——α_D=0.03 极低）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频域全灭</w:t>
      </w:r>
      <w:r>
        <w:rPr>
          <w:rFonts w:ascii="Times New Roman" w:hAnsi="Times New Roman" w:eastAsia="宋体"/>
          <w:b w:val="0"/>
          <w:i w:val="0"/>
          <w:sz w:val="20"/>
        </w:rPr>
        <w:t>（F6/F8/F9 d≈0——验证"频域不工程化"）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</w:t>
      </w:r>
      <w:r>
        <w:rPr>
          <w:rFonts w:ascii="Times New Roman" w:hAnsi="Times New Roman" w:eastAsia="宋体"/>
          <w:b w:val="0"/>
          <w:i w:val="0"/>
          <w:sz w:val="21"/>
        </w:rPr>
        <w:t>：干预实证用 201 既有 runs 离线重算（vt_gate_beam 主对照——零新生成）；BH-FDR 多重比较修正；频段写死预注册；F1 方向符号子特征（评审吸收）。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数学运算几何预实验（v0.85——数字值域隐藏特征 → 区间映射修复后最低门槛通过）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问题（用户）</w:t>
      </w:r>
      <w:r>
        <w:rPr>
          <w:rFonts w:ascii="Times New Roman" w:hAnsi="Times New Roman" w:eastAsia="宋体"/>
          <w:b w:val="0"/>
          <w:i w:val="0"/>
          <w:sz w:val="21"/>
        </w:rPr>
        <w:t>：数学运算符号/数字组合在意图空间是否有可区分的几何结构？——4 类算式（加/减/乘/除各 24 条——seed 2026）——结构化转写——bge→指纹——</w:t>
      </w:r>
      <w:r>
        <w:rPr>
          <w:rFonts w:ascii="Times New Roman" w:hAnsi="Times New Roman" w:eastAsia="宋体"/>
          <w:b/>
          <w:i w:val="0"/>
          <w:sz w:val="21"/>
        </w:rPr>
        <w:t>占位词基线对照</w:t>
      </w:r>
      <w:r>
        <w:rPr>
          <w:rFonts w:ascii="Times New Roman" w:hAnsi="Times New Roman" w:eastAsia="宋体"/>
          <w:b w:val="0"/>
          <w:i w:val="0"/>
          <w:sz w:val="21"/>
        </w:rPr>
        <w:t>（词汇分类陷阱控制）。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第一轮（原始数字）</w:t>
      </w:r>
      <w:r>
        <w:rPr>
          <w:rFonts w:ascii="Times New Roman" w:hAnsi="Times New Roman" w:eastAsia="宋体"/>
          <w:b w:val="0"/>
          <w:i w:val="0"/>
          <w:sz w:val="21"/>
        </w:rPr>
        <w:t>：四则运算文本高度可分（LDA acc 0.990）——</w:t>
      </w:r>
      <w:r>
        <w:rPr>
          <w:rFonts w:ascii="Times New Roman" w:hAnsi="Times New Roman" w:eastAsia="宋体"/>
          <w:b/>
          <w:i w:val="0"/>
          <w:sz w:val="21"/>
        </w:rPr>
        <w:t>但占位词基线也可分（0.927）——Δacc=+0.06 未过线</w:t>
      </w:r>
      <w:r>
        <w:rPr>
          <w:rFonts w:ascii="Times New Roman" w:hAnsi="Times New Roman" w:eastAsia="宋体"/>
          <w:b w:val="0"/>
          <w:i w:val="0"/>
          <w:sz w:val="21"/>
        </w:rPr>
        <w:t>——</w:t>
      </w:r>
      <w:r>
        <w:rPr>
          <w:rFonts w:ascii="Times New Roman" w:hAnsi="Times New Roman" w:eastAsia="宋体"/>
          <w:b/>
          <w:i w:val="0"/>
          <w:sz w:val="21"/>
        </w:rPr>
        <w:t>四类可分性主要由 C 值域分布驱动</w:t>
      </w:r>
      <w:r>
        <w:rPr>
          <w:rFonts w:ascii="Times New Roman" w:hAnsi="Times New Roman" w:eastAsia="宋体"/>
          <w:b w:val="0"/>
          <w:i w:val="0"/>
          <w:sz w:val="21"/>
        </w:rPr>
        <w:t>（加 [40,165]/减 [2,78]/乘 [110,8366]/除 [1,32]——BGE 数值敏感——数字表面特征）——运算符语义增量未获证据。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第二轮（区间映射修复——数字→小/中/大 3 档——消除值域差异保留类内多样性）——决定性反转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真词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占位词基线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silhouette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0.551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0.188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+0.363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LDA acc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0.000（饱和）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置换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p&lt;0.001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区间映射 M-A1 PASS</w:t>
      </w:r>
      <w:r>
        <w:rPr>
          <w:rFonts w:ascii="Times New Roman" w:hAnsi="Times New Roman" w:eastAsia="宋体"/>
          <w:b w:val="0"/>
          <w:i w:val="0"/>
          <w:sz w:val="21"/>
        </w:rPr>
        <w:t>（sil=0.551&gt;0.25 ∧ Δsil=+0.363&gt;0.10 ∧ 置换显著）——</w:t>
      </w:r>
      <w:r>
        <w:rPr>
          <w:rFonts w:ascii="Times New Roman" w:hAnsi="Times New Roman" w:eastAsia="宋体"/>
          <w:b/>
          <w:i w:val="0"/>
          <w:sz w:val="21"/>
        </w:rPr>
        <w:t>用户条件精确满足："数字掩码后真词四类仍能分离且超过占位词基线——运算词语义确实有独立几何结构"</w:t>
      </w:r>
      <w:r>
        <w:rPr>
          <w:rFonts w:ascii="Times New Roman" w:hAnsi="Times New Roman" w:eastAsia="宋体"/>
          <w:b w:val="0"/>
          <w:i w:val="0"/>
          <w:sz w:val="21"/>
        </w:rPr>
        <w:t>。机制：数字值域差异是强表面特征（淹没了运算符语义贡献）——区间映射剥离表面特征后——</w:t>
      </w:r>
      <w:r>
        <w:rPr>
          <w:rFonts w:ascii="Times New Roman" w:hAnsi="Times New Roman" w:eastAsia="宋体"/>
          <w:b/>
          <w:i w:val="0"/>
          <w:sz w:val="21"/>
        </w:rPr>
        <w:t>运算词语义的独立分离清晰显现（sil Δ=+0.363）——最低门槛通过——正式"数学逻辑意图"分析值得启动</w:t>
      </w:r>
      <w:r>
        <w:rPr>
          <w:rFonts w:ascii="Times New Roman" w:hAnsi="Times New Roman" w:eastAsia="宋体"/>
          <w:b w:val="0"/>
          <w:i w:val="0"/>
          <w:sz w:val="21"/>
        </w:rPr>
        <w:t>（真实推导轨迹/高级数学复合需后续验证）。方法学价值：</w:t>
      </w:r>
      <w:r>
        <w:rPr>
          <w:rFonts w:ascii="Times New Roman" w:hAnsi="Times New Roman" w:eastAsia="宋体"/>
          <w:b/>
          <w:i w:val="0"/>
          <w:sz w:val="21"/>
        </w:rPr>
        <w:t>数字掩码/区间映射=符号文本分类实验中消除数值表面特征的标准修复</w:t>
      </w:r>
      <w:r>
        <w:rPr>
          <w:rFonts w:ascii="Times New Roman" w:hAnsi="Times New Roman" w:eastAsia="宋体"/>
          <w:b w:val="0"/>
          <w:i w:val="0"/>
          <w:sz w:val="21"/>
        </w:rPr>
        <w:t>；全掩码使类内零方差（模板退化——sil=1.0 数学必然——需区间映射保留类内多样性）。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6.6.8 主线 F1/F3 beam 选优干预（v0.85-6——F1 方向生效——F3 未生效）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任务（用户主线）</w:t>
      </w:r>
      <w:r>
        <w:rPr>
          <w:rFonts w:ascii="Times New Roman" w:hAnsi="Times New Roman" w:eastAsia="宋体"/>
          <w:b w:val="0"/>
          <w:i w:val="0"/>
          <w:sz w:val="21"/>
        </w:rPr>
        <w:t>：把 F1（沿轴推进量）/F3（ratio_unit）加入 beam 选优——小规模干预对比（beam5_f1f3 vs beam5——6 配对——打分 = sent_proj + 0.3·(s_f1+s_f3)）。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结果（诚实）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方向生效</w:t>
      </w:r>
      <w:r>
        <w:rPr>
          <w:rFonts w:ascii="Times New Roman" w:hAnsi="Times New Roman" w:eastAsia="宋体"/>
          <w:b w:val="0"/>
          <w:i w:val="0"/>
          <w:sz w:val="20"/>
        </w:rPr>
        <w:t xml:space="preserve">：沿轴推进量 1.267 → </w:t>
      </w:r>
      <w:r>
        <w:rPr>
          <w:rFonts w:ascii="Times New Roman" w:hAnsi="Times New Roman" w:eastAsia="宋体"/>
          <w:b/>
          <w:i w:val="0"/>
          <w:sz w:val="20"/>
        </w:rPr>
        <w:t>1.307（+3.2%——生成文本沿轴推进增强）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sent_proj 不退化</w:t>
      </w:r>
      <w:r>
        <w:rPr>
          <w:rFonts w:ascii="Times New Roman" w:hAnsi="Times New Roman" w:eastAsia="宋体"/>
          <w:b w:val="0"/>
          <w:i w:val="0"/>
          <w:sz w:val="20"/>
        </w:rPr>
        <w:t>（0.893 → 0.883——-0.01 线内勉强）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未生效</w:t>
      </w:r>
      <w:r>
        <w:rPr>
          <w:rFonts w:ascii="Times New Roman" w:hAnsi="Times New Roman" w:eastAsia="宋体"/>
          <w:b w:val="0"/>
          <w:i w:val="0"/>
          <w:sz w:val="20"/>
        </w:rPr>
        <w:t>（ratio_unit 微升——候选间与 F1 正相关或操作空间不足——</w:t>
      </w:r>
      <w:r>
        <w:rPr>
          <w:rFonts w:ascii="Times New Roman" w:hAnsi="Times New Roman" w:eastAsia="宋体"/>
          <w:b/>
          <w:i w:val="0"/>
          <w:sz w:val="20"/>
        </w:rPr>
        <w:t>F3 不作 beam 打分特征</w:t>
      </w:r>
      <w:r>
        <w:rPr>
          <w:rFonts w:ascii="Times New Roman" w:hAnsi="Times New Roman" w:eastAsia="宋体"/>
          <w:b w:val="0"/>
          <w:i w:val="0"/>
          <w:sz w:val="20"/>
        </w:rPr>
        <w:t>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实现教训：短文本段 F1 尺度偏移（0.4-1.1 vs 人类 1.47——归一化需短文本专属参考）——候选无句号分割异常（split_subclauses 修复）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结论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F1 可作 beam 打分特征（温和——推理期干预层）——F3 无操作空间</w:t>
      </w:r>
      <w:r>
        <w:rPr>
          <w:rFonts w:ascii="Times New Roman" w:hAnsi="Times New Roman" w:eastAsia="宋体"/>
          <w:b w:val="0"/>
          <w:i w:val="0"/>
          <w:sz w:val="21"/>
        </w:rPr>
        <w:t>——推理期 beam 选优在组织层部分饱和（sent_proj 已捕获大部分）——F1 融合提供小增量——</w:t>
      </w:r>
      <w:r>
        <w:rPr>
          <w:rFonts w:ascii="Times New Roman" w:hAnsi="Times New Roman" w:eastAsia="宋体"/>
          <w:b/>
          <w:i w:val="0"/>
          <w:sz w:val="21"/>
        </w:rPr>
        <w:t>训练期损失（F1 分布匹配）仍是改变组织层的主路径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6.6.9 数学支线加固（v0.85-7——区间映射稳健/真实文本 1/3/轨迹数据缺口）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区间映射稳健性</w:t>
      </w:r>
      <w:r>
        <w:rPr>
          <w:rFonts w:ascii="Times New Roman" w:hAnsi="Times New Roman" w:eastAsia="宋体"/>
          <w:b w:val="0"/>
          <w:i w:val="0"/>
          <w:sz w:val="20"/>
        </w:rPr>
        <w:t>：切点/档位 4 法全 PASS（Δsil +0.16~+0.29）——"运算符语义独立结构"在离散化口径稳健——归一化小数因 vmax 覆盖不足 FAIL（乘法 C 值域远超——设计缺陷非反证）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真实推导文本</w:t>
      </w:r>
      <w:r>
        <w:rPr>
          <w:rFonts w:ascii="Times New Roman" w:hAnsi="Times New Roman" w:eastAsia="宋体"/>
          <w:b w:val="0"/>
          <w:i w:val="0"/>
          <w:sz w:val="20"/>
        </w:rPr>
        <w:t>：1/3 PASS——竖式（运算词动词性语义）有额外结构——应用题/方程差异由数字组合模式驱动（占位词替换后同样可分）——</w:t>
      </w:r>
      <w:r>
        <w:rPr>
          <w:rFonts w:ascii="Times New Roman" w:hAnsi="Times New Roman" w:eastAsia="宋体"/>
          <w:b/>
          <w:i w:val="0"/>
          <w:sz w:val="20"/>
        </w:rPr>
        <w:t>模板算式 PASS 未在真实文本普遍保持——正式数学意图分析证据强度有限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轨迹特征数据缺口</w:t>
      </w:r>
      <w:r>
        <w:rPr>
          <w:rFonts w:ascii="Times New Roman" w:hAnsi="Times New Roman" w:eastAsia="宋体"/>
          <w:b w:val="0"/>
          <w:i w:val="0"/>
          <w:sz w:val="20"/>
        </w:rPr>
        <w:t>：单数学文本太短（&lt;15 差分）——跳跃密度/α/ratio_unit 不可算——需长数学推导语料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