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Intent-Switch Geometric Clustering (v0.83 — four-type conception empirically tested — NEGATED — continuity weak structure retained)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Conception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intent switching has universal geometric types (expand/turn/return/layer — pure form, genre-independent). </w:t>
      </w:r>
      <w:r>
        <w:rPr>
          <w:rFonts w:ascii="Times New Roman" w:hAnsi="Times New Roman" w:eastAsia="宋体"/>
          <w:b/>
          <w:i w:val="0"/>
          <w:sz w:val="21"/>
        </w:rPr>
        <w:t>Empirical test (1626 jump points — 8 geometric features — per-doc 60/40 split — KMeans+GMM+stability — prior rules — criteria S-C1..C3 preregistered) — overall: NEGATED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: silhouette=0.214 (&lt;0.30 — weak-structure band) — but stability cos=0.987 + GMM ARI=0.811 — </w:t>
      </w:r>
      <w:r>
        <w:rPr>
          <w:rFonts w:ascii="Times New Roman" w:hAnsi="Times New Roman" w:eastAsia="宋体"/>
          <w:b/>
          <w:i w:val="0"/>
          <w:sz w:val="20"/>
        </w:rPr>
        <w:t>"switch geometry has stable continuous structure but no discrete types"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four types are a cognitive conception, not a data-clusterable fact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: four-type rule residual 25% (turn type only ~6%)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: no human/AI four-type distribution difference (χ² p=0.42 — all type proportion gaps &lt;0.04 — "humans turn more / AI expands more" does not hold)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Methodological contributions (retained)</w:t>
      </w:r>
      <w:r>
        <w:rPr>
          <w:rFonts w:ascii="Times New Roman" w:hAnsi="Times New Roman" w:eastAsia="宋体"/>
          <w:b w:val="0"/>
          <w:i w:val="0"/>
          <w:sz w:val="21"/>
        </w:rPr>
        <w:t>: ①</w:t>
      </w:r>
      <w:r>
        <w:rPr>
          <w:rFonts w:ascii="Times New Roman" w:hAnsi="Times New Roman" w:eastAsia="宋体"/>
          <w:b/>
          <w:i w:val="0"/>
          <w:sz w:val="21"/>
        </w:rPr>
        <w:t>64-dim full-space direction angles suffer high-dim degeneracy</w:t>
      </w:r>
      <w:r>
        <w:rPr>
          <w:rFonts w:ascii="Times New Roman" w:hAnsi="Times New Roman" w:eastAsia="宋体"/>
          <w:b w:val="0"/>
          <w:i w:val="0"/>
          <w:sz w:val="21"/>
        </w:rPr>
        <w:t xml:space="preserve"> (random vectors near-orthogonal — all switch angles ~90°) — direction/return dimensions MUST be measured in the </w:t>
      </w:r>
      <w:r>
        <w:rPr>
          <w:rFonts w:ascii="Times New Roman" w:hAnsi="Times New Roman" w:eastAsia="宋体"/>
          <w:b/>
          <w:i w:val="0"/>
          <w:sz w:val="21"/>
        </w:rPr>
        <w:t>(D,E2) low-dim manifold projection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(after fix θ_switch 18–93° has discrimination) — the low-dim-projection principle for all future angular analyses; ②</w:t>
      </w:r>
      <w:r>
        <w:rPr>
          <w:rFonts w:ascii="Times New Roman" w:hAnsi="Times New Roman" w:eastAsia="宋体"/>
          <w:b/>
          <w:i w:val="0"/>
          <w:sz w:val="21"/>
        </w:rPr>
        <w:t>document-order split trap</w:t>
      </w:r>
      <w:r>
        <w:rPr>
          <w:rFonts w:ascii="Times New Roman" w:hAnsi="Times New Roman" w:eastAsia="宋体"/>
          <w:b w:val="0"/>
          <w:i w:val="0"/>
          <w:sz w:val="21"/>
        </w:rPr>
        <w:t xml:space="preserve"> (sequential split → evaluation set all-AI — per-doc split fix); ③</w:t>
      </w:r>
      <w:r>
        <w:rPr>
          <w:rFonts w:ascii="Times New Roman" w:hAnsi="Times New Roman" w:eastAsia="宋体"/>
          <w:b/>
          <w:i w:val="0"/>
          <w:sz w:val="21"/>
        </w:rPr>
        <w:t>turn type (large-angle no-return) is rare (~6%)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switch-type distribution itself carries information (most switches are small-angle or return — "thoughts turn less than imagined").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Spectrum-Feature Priority Ranking (v0.84 — partially upheld — F1/F3 verified as priority)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Task (user design)</w:t>
      </w:r>
      <w:r>
        <w:rPr>
          <w:rFonts w:ascii="Times New Roman" w:hAnsi="Times New Roman" w:eastAsia="宋体"/>
          <w:b w:val="0"/>
          <w:i w:val="0"/>
          <w:sz w:val="21"/>
        </w:rPr>
        <w:t>: systematic comparison of 9 mathematical features (F1 α distribution / F2 ε distribution / F3 ratio_unit / F4 velocity autocorrelation / F5 distribution fit / F6 spectral slope / F7 DFA-Hurst / F8 band energy / F9 spectral entropy) — find features that are measurable/intervenable/embeddable/trainable — four-axis composite (0.4 discrimination + 0.3 intervention + 0.2 embedding + 0.1 training) — criteria S-F1..F3 preregistered.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(partially upheld)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(strong candidates {F1 d=+1.94, F3 d=−3.18, F7 dfa d=−1.13} — F1/F3 priority verified); 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 (F4 lag1 d=−0.31 — "thinking inertia" weak — but </w:t>
      </w:r>
      <w:r>
        <w:rPr>
          <w:rFonts w:ascii="Times New Roman" w:hAnsi="Times New Roman" w:eastAsia="宋体"/>
          <w:b/>
          <w:i w:val="0"/>
          <w:sz w:val="21"/>
        </w:rPr>
        <w:t>lag2 d=+1.02 rhythmicity signal</w:t>
      </w:r>
      <w:r>
        <w:rPr>
          <w:rFonts w:ascii="Times New Roman" w:hAnsi="Times New Roman" w:eastAsia="宋体"/>
          <w:b w:val="0"/>
          <w:i w:val="0"/>
          <w:sz w:val="21"/>
        </w:rPr>
        <w:t xml:space="preserve">); 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(top-3={F3,F1,F2}).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Priority ranking (guides subsequent experiments)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 (0.90)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propulsion concentration — strongest d but shrinks on the independent set (v0.80 direction retained)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distribution (0.76)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along-axis propulsion — stable strong candidate (same source as jump) — </w:t>
      </w:r>
      <w:r>
        <w:rPr>
          <w:rFonts w:ascii="Times New Roman" w:hAnsi="Times New Roman" w:eastAsia="宋体"/>
          <w:b/>
          <w:i w:val="0"/>
          <w:sz w:val="20"/>
        </w:rPr>
        <w:t>F1_mean_signed d=+0.80 (humans advance forward more — direction preference is a signal beyond magnitude)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distribution (0.52)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perpendicular component has NO discrimination (d=−0.11 — ratio_unit's power comes from the parallel component) — constraint only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autocorrelation (0.41)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lag2 d=+1.02 rhythmicity candidate (pending independent validation)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 (0.32)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d=−1.13 but scaling exponent questionable (short-series bias — α_D=0.03 implausibly low)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Frequency domain null</w:t>
      </w:r>
      <w:r>
        <w:rPr>
          <w:rFonts w:ascii="Times New Roman" w:hAnsi="Times New Roman" w:eastAsia="宋体"/>
          <w:b w:val="0"/>
          <w:i w:val="0"/>
          <w:sz w:val="20"/>
        </w:rPr>
        <w:t xml:space="preserve"> (F6/F8/F9 d≈0 — validates "do not engineer frequency features")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</w:t>
      </w:r>
      <w:r>
        <w:rPr>
          <w:rFonts w:ascii="Times New Roman" w:hAnsi="Times New Roman" w:eastAsia="宋体"/>
          <w:b w:val="0"/>
          <w:i w:val="0"/>
          <w:sz w:val="21"/>
        </w:rPr>
        <w:t>: intervention evidence from 201 existing runs offline (vt_gate_beam primary contrast — zero new generation); BH-FDR multiple-comparison correction; preregistered fixed bands; F1 direction-sign subfeatures (review absorbed).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Math-Operation Geometry Pre-test (v0.85 — minimum threshold not met — digit-range hidden-feature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Question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do math-operation symbol/digit combinations have distinguishable geometric structure in intent space? — 4 operation classes (add/sub/mul/div × 24 — seed 2026) — structured transcription — bge→fingerprint — </w:t>
      </w:r>
      <w:r>
        <w:rPr>
          <w:rFonts w:ascii="Times New Roman" w:hAnsi="Times New Roman" w:eastAsia="宋体"/>
          <w:b/>
          <w:i w:val="0"/>
          <w:sz w:val="21"/>
        </w:rPr>
        <w:t>placeholder-word baseline control</w:t>
      </w:r>
      <w:r>
        <w:rPr>
          <w:rFonts w:ascii="Times New Roman" w:hAnsi="Times New Roman" w:eastAsia="宋体"/>
          <w:b w:val="0"/>
          <w:i w:val="0"/>
          <w:sz w:val="21"/>
        </w:rPr>
        <w:t xml:space="preserve"> (lexical classification trap).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Round 1 (raw digits)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operation texts highly separable (LDA acc 0.990) — </w:t>
      </w:r>
      <w:r>
        <w:rPr>
          <w:rFonts w:ascii="Times New Roman" w:hAnsi="Times New Roman" w:eastAsia="宋体"/>
          <w:b/>
          <w:i w:val="0"/>
          <w:sz w:val="21"/>
        </w:rPr>
        <w:t>but the placeholder baseline also separable (0.927) — Δacc=+0.06 fails the line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</w:t>
      </w:r>
      <w:r>
        <w:rPr>
          <w:rFonts w:ascii="Times New Roman" w:hAnsi="Times New Roman" w:eastAsia="宋体"/>
          <w:b/>
          <w:i w:val="0"/>
          <w:sz w:val="21"/>
        </w:rPr>
        <w:t>separability driven mainly by C-range distribution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(add [40,165]/sub [2,78]/mul [110,8366]/div [1,32] — BGE numeric sensitivity — digit surface features) — operator-semantics increment not evidenced.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Round 2 (bin-mapping fix — digits→small/medium/large 3 bins — removes range differences, preserves within-class diversity) — decisive reversal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true words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placeholder baseline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 (saturated)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permutation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Binned M-A1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(sil=0.551&gt;0.25 ∧ Δsil=+0.363&gt;0.10 ∧ permutation significant) — </w:t>
      </w:r>
      <w:r>
        <w:rPr>
          <w:rFonts w:ascii="Times New Roman" w:hAnsi="Times New Roman" w:eastAsia="宋体"/>
          <w:b/>
          <w:i w:val="0"/>
          <w:sz w:val="21"/>
        </w:rPr>
        <w:t>the user's condition is exactly met: "after digit masking, the true-word four classes still separate AND exceed the placeholder baseline — operator semantics does have independent geometric structure"</w:t>
      </w:r>
      <w:r>
        <w:rPr>
          <w:rFonts w:ascii="Times New Roman" w:hAnsi="Times New Roman" w:eastAsia="宋体"/>
          <w:b w:val="0"/>
          <w:i w:val="0"/>
          <w:sz w:val="21"/>
        </w:rPr>
        <w:t xml:space="preserve">. Mechanism: digit-range differences are a strong surface feature (masking the operator-semantics contribution) — bin-mapping strips the surface feature — </w:t>
      </w:r>
      <w:r>
        <w:rPr>
          <w:rFonts w:ascii="Times New Roman" w:hAnsi="Times New Roman" w:eastAsia="宋体"/>
          <w:b/>
          <w:i w:val="0"/>
          <w:sz w:val="21"/>
        </w:rPr>
        <w:t>the operator semantics' independent separation emerges clearly (sil Δ=+0.363) — minimum threshold passed — the formal "math-logical intent" analysis is worth launching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(real derivation trajectories / higher-math composition need subsequent validation). Methodological value: </w:t>
      </w:r>
      <w:r>
        <w:rPr>
          <w:rFonts w:ascii="Times New Roman" w:hAnsi="Times New Roman" w:eastAsia="宋体"/>
          <w:b/>
          <w:i w:val="0"/>
          <w:sz w:val="21"/>
        </w:rPr>
        <w:t>digit bin-mapping = the standard fix for removing numeric surface features in symbolic-text classification experiments</w:t>
      </w:r>
      <w:r>
        <w:rPr>
          <w:rFonts w:ascii="Times New Roman" w:hAnsi="Times New Roman" w:eastAsia="宋体"/>
          <w:b w:val="0"/>
          <w:i w:val="0"/>
          <w:sz w:val="21"/>
        </w:rPr>
        <w:t>; full masking collapses within-class variance (template degeneration — sil=1.0 mathematically forced — bin-mapping preserves within-class diversity).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6.6.8 Mainline: F1/F3 beam-selection intervention (v0.85-6 — F1 direction effective — F3 not)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Task (user mainline)</w:t>
      </w:r>
      <w:r>
        <w:rPr>
          <w:rFonts w:ascii="Times New Roman" w:hAnsi="Times New Roman" w:eastAsia="宋体"/>
          <w:b w:val="0"/>
          <w:i w:val="0"/>
          <w:sz w:val="21"/>
        </w:rPr>
        <w:t>: add F1 (along-axis propulsion) / F3 (ratio_unit) to beam selection — small intervention comparison (beam5_f1f3 vs beam5 — 6 pairs — score = sent_proj + 0.3·(s_f1+s_f3)).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Result (honest)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direction effective</w:t>
      </w:r>
      <w:r>
        <w:rPr>
          <w:rFonts w:ascii="Times New Roman" w:hAnsi="Times New Roman" w:eastAsia="宋体"/>
          <w:b w:val="0"/>
          <w:i w:val="0"/>
          <w:sz w:val="20"/>
        </w:rPr>
        <w:t xml:space="preserve">: along-axis propulsion 1.267 → </w:t>
      </w:r>
      <w:r>
        <w:rPr>
          <w:rFonts w:ascii="Times New Roman" w:hAnsi="Times New Roman" w:eastAsia="宋体"/>
          <w:b/>
          <w:i w:val="0"/>
          <w:sz w:val="20"/>
        </w:rPr>
        <w:t>1.307 (+3.2% — generated text advances more along the axis)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sent_proj not degraded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(0.893 → 0.883 — within −0.01 line, marginally)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not effective</w:t>
      </w:r>
      <w:r>
        <w:rPr>
          <w:rFonts w:ascii="Times New Roman" w:hAnsi="Times New Roman" w:eastAsia="宋体"/>
          <w:b w:val="0"/>
          <w:i w:val="0"/>
          <w:sz w:val="20"/>
        </w:rPr>
        <w:t xml:space="preserve"> (ratio_unit slightly up — candidates positively correlated with F1 or insufficient operating room — </w:t>
      </w:r>
      <w:r>
        <w:rPr>
          <w:rFonts w:ascii="Times New Roman" w:hAnsi="Times New Roman" w:eastAsia="宋体"/>
          <w:b/>
          <w:i w:val="0"/>
          <w:sz w:val="20"/>
        </w:rPr>
        <w:t>F3 not a beam-scoring feature</w:t>
      </w:r>
      <w:r>
        <w:rPr>
          <w:rFonts w:ascii="Times New Roman" w:hAnsi="Times New Roman" w:eastAsia="宋体"/>
          <w:b w:val="0"/>
          <w:i w:val="0"/>
          <w:sz w:val="20"/>
        </w:rPr>
        <w:t>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Implementation lessons: short-segment F1 scale shift (0.4–1.1 vs human 1.47 — normalization needs short-text reference); candidate clause-split exception (split_subclauses fix)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Conclusion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F1 usable as a beam-scoring feature (mild — inference-time layer) — F3 has no operating room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inference-time beam selection is partially saturated at the organizational layer (sent_proj captures most) — F1 fusion gives small increment — </w:t>
      </w:r>
      <w:r>
        <w:rPr>
          <w:rFonts w:ascii="Times New Roman" w:hAnsi="Times New Roman" w:eastAsia="宋体"/>
          <w:b/>
          <w:i w:val="0"/>
          <w:sz w:val="21"/>
        </w:rPr>
        <w:t>training-time loss (F1 distribution matching) remains the main path for changing the organizational layer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6.6.9 Math side-line consolidation (v0.85-7 — bin-mapping robust / real texts 1/3 / trajectory data gap)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Bin-mapping robustness</w:t>
      </w:r>
      <w:r>
        <w:rPr>
          <w:rFonts w:ascii="Times New Roman" w:hAnsi="Times New Roman" w:eastAsia="宋体"/>
          <w:b w:val="0"/>
          <w:i w:val="0"/>
          <w:sz w:val="20"/>
        </w:rPr>
        <w:t>: 4 cut/binning variants all PASS (Δsil +0.16~+0.29) — "operator-semantics independent structure" robust under discretization — normalized-decimal FAIL due to vmax under-coverage (multiplication C-range exceeds — design flaw, not counter-evidence)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Real derivation texts</w:t>
      </w:r>
      <w:r>
        <w:rPr>
          <w:rFonts w:ascii="Times New Roman" w:hAnsi="Times New Roman" w:eastAsia="宋体"/>
          <w:b w:val="0"/>
          <w:i w:val="0"/>
          <w:sz w:val="20"/>
        </w:rPr>
        <w:t xml:space="preserve">: 1/3 PASS — vertical arithmetic (verb-like operator semantics) has extra structure — application problems/equations differ by digit-combination patterns (placeholder replacement equally separable) — </w:t>
      </w:r>
      <w:r>
        <w:rPr>
          <w:rFonts w:ascii="Times New Roman" w:hAnsi="Times New Roman" w:eastAsia="宋体"/>
          <w:b/>
          <w:i w:val="0"/>
          <w:sz w:val="20"/>
        </w:rPr>
        <w:t>template-arithmetic PASS does not generalize to real texts — formal math-intent analysis evidence limited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Trajectory-feature data gap</w:t>
      </w:r>
      <w:r>
        <w:rPr>
          <w:rFonts w:ascii="Times New Roman" w:hAnsi="Times New Roman" w:eastAsia="宋体"/>
          <w:b w:val="0"/>
          <w:i w:val="0"/>
          <w:sz w:val="20"/>
        </w:rPr>
        <w:t>: single math texts too short (&lt;15 diffs) — jump density/α/ratio_unit incalculable — needs long math-derivation corpus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