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Independent test-set validation (v0.80 — NEGATED — directional evidence retained)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on the independent test set (32 pairs baihua/shiping × human/ai/qwen three sides — frozen D, no fitting leakage) the ratio_unit effect shrinks to </w:t>
      </w:r>
      <w:r>
        <w:rPr>
          <w:rFonts w:ascii="Times New Roman" w:hAnsi="Times New Roman" w:eastAsia="宋体"/>
          <w:b/>
          <w:i w:val="0"/>
          <w:sz w:val="21"/>
        </w:rPr>
        <w:t>d=−0.49</w:t>
      </w:r>
      <w:r>
        <w:rPr>
          <w:rFonts w:ascii="Times New Roman" w:hAnsi="Times New Roman" w:eastAsia="宋体"/>
          <w:b w:val="0"/>
          <w:i w:val="0"/>
          <w:sz w:val="21"/>
        </w:rPr>
        <w:t xml:space="preserve"> (1/6.5 of bilingual −3.18 — paired Wilcoxon p=0.073 marginal) — </w:t>
      </w:r>
      <w:r>
        <w:rPr>
          <w:rFonts w:ascii="Times New Roman" w:hAnsi="Times New Roman" w:eastAsia="宋体"/>
          <w:b/>
          <w:i w:val="0"/>
          <w:sz w:val="21"/>
        </w:rPr>
        <w:t>not admitted as a formal discriminator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(user criterion d&gt;1.5 unmet). Baihua-domain d=−1.07 (same direction, insufficient strength) + shiping d=+0.07 (officialese convergence — consistent with the shiping seven-dim failure precedent). </w:t>
      </w:r>
      <w:r>
        <w:rPr>
          <w:rFonts w:ascii="Times New Roman" w:hAnsi="Times New Roman" w:eastAsia="宋体"/>
          <w:b/>
          <w:i w:val="0"/>
          <w:sz w:val="21"/>
        </w:rPr>
        <w:t>Incremental value retained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low redundancy with sent_proj (pooled 0.049 / within-human 0.595) + intervention-space independence (Δ-corr +0.021 — injection does not alter propulsion concentration). </w:t>
      </w:r>
      <w:r>
        <w:rPr>
          <w:rFonts w:ascii="Times New Roman" w:hAnsi="Times New Roman" w:eastAsia="宋体"/>
          <w:b/>
          <w:i w:val="0"/>
          <w:sz w:val="21"/>
        </w:rPr>
        <w:t>Axis stable across corpora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(cos |0.99| — discriminator-space inherent structure confirmed). Shrinkage mechanism: independent-set human short texts (5–19 diffs) noise contracting toward the isotropic anchor — direction real, strength insufficient.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