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意图流转轨迹（人类波浪 vs AI 平坦——段级）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句元级意图轨迹（人类陡峭 vs AI 平缓）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转移熵对比（AI 机械流动更高）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思想流形（人类密集集中 vs AI 分散延伸）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十一维流动热力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十一维流动热力图（人类波动 vs AI 均匀）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 维人机差异全景（橙=未解释 11 维——集中在强判别区）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定位声明：现有干预基于结构/表达层——不是意图流转层（重要区分）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必须澄清的层次关系</w:t>
      </w:r>
      <w:r>
        <w:rPr>
          <w:rFonts w:ascii="Times New Roman" w:hAnsi="Times New Roman" w:eastAsia="宋体"/>
          <w:b w:val="0"/>
          <w:i w:val="0"/>
          <w:sz w:val="21"/>
        </w:rPr>
        <w:t>（本研究三个时期的成果）：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层次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时期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指标/机制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结构/表达层干预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v0.68-v0.73（先）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投影（贴核心）/主题词保持/logits 偏置/beam 选优/虚拟 token 注入——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全部基于判别器的静态投影与词级结构指标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已实现（本节）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测量/监测层（意图流转）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v0.74（后）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跳跃/转折陡度/Hurst/转移熵/耦合——捕捉人类 vs AI 的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流动差异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（§3）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已实现（测量）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意图流干预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构想（未来）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轨迹规划器把波浪模式（§3 目标分布）用作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生成目标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未实现（§6 引擎）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明确说明</w:t>
      </w:r>
      <w:r>
        <w:rPr>
          <w:rFonts w:ascii="Times New Roman" w:hAnsi="Times New Roman" w:eastAsia="宋体"/>
          <w:b w:val="0"/>
          <w:i w:val="0"/>
          <w:sz w:val="21"/>
        </w:rPr>
        <w:t>：§5 的干预谱系（概率层→logits→beam→种子→虚拟 token→Kalman 门控）</w:t>
      </w:r>
      <w:r>
        <w:rPr>
          <w:rFonts w:ascii="Times New Roman" w:hAnsi="Times New Roman" w:eastAsia="宋体"/>
          <w:b/>
          <w:i w:val="0"/>
          <w:sz w:val="21"/>
        </w:rPr>
        <w:t>全部基于结构/表达层指标</w:t>
      </w:r>
      <w:r>
        <w:rPr>
          <w:rFonts w:ascii="Times New Roman" w:hAnsi="Times New Roman" w:eastAsia="宋体"/>
          <w:b w:val="0"/>
          <w:i w:val="0"/>
          <w:sz w:val="21"/>
        </w:rPr>
        <w:t>——干预目标是"生成文本贴核心"（静态投影一致性 sent_proj）——</w:t>
      </w:r>
      <w:r>
        <w:rPr>
          <w:rFonts w:ascii="Times New Roman" w:hAnsi="Times New Roman" w:eastAsia="宋体"/>
          <w:b/>
          <w:i w:val="0"/>
          <w:sz w:val="21"/>
        </w:rPr>
        <w:t>这些实验（v0.68-v0.73）早于意图流转测量（v0.74）——完全没有使用 §3 的流转指标（跳跃/转折/Hurst/TE/耦合）</w:t>
      </w:r>
      <w:r>
        <w:rPr>
          <w:rFonts w:ascii="Times New Roman" w:hAnsi="Times New Roman" w:eastAsia="宋体"/>
          <w:b w:val="0"/>
          <w:i w:val="0"/>
          <w:sz w:val="21"/>
        </w:rPr>
        <w:t>。意图流转指标在本研究中承担的是</w:t>
      </w:r>
      <w:r>
        <w:rPr>
          <w:rFonts w:ascii="Times New Roman" w:hAnsi="Times New Roman" w:eastAsia="宋体"/>
          <w:b/>
          <w:i w:val="0"/>
          <w:sz w:val="21"/>
        </w:rPr>
        <w:t>测量与监测角色</w:t>
      </w:r>
      <w:r>
        <w:rPr>
          <w:rFonts w:ascii="Times New Roman" w:hAnsi="Times New Roman" w:eastAsia="宋体"/>
          <w:b w:val="0"/>
          <w:i w:val="0"/>
          <w:sz w:val="21"/>
        </w:rPr>
        <w:t>（揭示人机差异）——把流动指标用作</w:t>
      </w:r>
      <w:r>
        <w:rPr>
          <w:rFonts w:ascii="Times New Roman" w:hAnsi="Times New Roman" w:eastAsia="宋体"/>
          <w:b/>
          <w:i w:val="0"/>
          <w:sz w:val="21"/>
        </w:rPr>
        <w:t>干预目标</w:t>
      </w:r>
      <w:r>
        <w:rPr>
          <w:rFonts w:ascii="Times New Roman" w:hAnsi="Times New Roman" w:eastAsia="宋体"/>
          <w:b w:val="0"/>
          <w:i w:val="0"/>
          <w:sz w:val="21"/>
        </w:rPr>
        <w:t>（如"生成轨迹的转折陡度接近人类"）是意图动力学引擎（§6）的构想——</w:t>
      </w:r>
      <w:r>
        <w:rPr>
          <w:rFonts w:ascii="Times New Roman" w:hAnsi="Times New Roman" w:eastAsia="宋体"/>
          <w:b/>
          <w:i w:val="0"/>
          <w:sz w:val="21"/>
        </w:rPr>
        <w:t>尚未实现</w:t>
      </w:r>
      <w:r>
        <w:rPr>
          <w:rFonts w:ascii="Times New Roman" w:hAnsi="Times New Roman" w:eastAsia="宋体"/>
          <w:b w:val="0"/>
          <w:i w:val="0"/>
          <w:sz w:val="21"/>
        </w:rPr>
        <w:t>。因此：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§5 的"117%/103% oracle"证明的是</w:t>
      </w:r>
      <w:r>
        <w:rPr>
          <w:rFonts w:ascii="Times New Roman" w:hAnsi="Times New Roman" w:eastAsia="宋体"/>
          <w:b/>
          <w:i w:val="0"/>
          <w:sz w:val="20"/>
        </w:rPr>
        <w:t>结构/表达层干预</w:t>
      </w:r>
      <w:r>
        <w:rPr>
          <w:rFonts w:ascii="Times New Roman" w:hAnsi="Times New Roman" w:eastAsia="宋体"/>
          <w:b w:val="0"/>
          <w:i w:val="0"/>
          <w:sz w:val="20"/>
        </w:rPr>
        <w:t>的谱系上限（贴核心的静态组织）——不是流动层；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§3 的流动指标是</w:t>
      </w:r>
      <w:r>
        <w:rPr>
          <w:rFonts w:ascii="Times New Roman" w:hAnsi="Times New Roman" w:eastAsia="宋体"/>
          <w:b/>
          <w:i w:val="0"/>
          <w:sz w:val="20"/>
        </w:rPr>
        <w:t>观测证据</w:t>
      </w:r>
      <w:r>
        <w:rPr>
          <w:rFonts w:ascii="Times New Roman" w:hAnsi="Times New Roman" w:eastAsia="宋体"/>
          <w:b w:val="0"/>
          <w:i w:val="0"/>
          <w:sz w:val="20"/>
        </w:rPr>
        <w:t>（人类波浪 vs AI 平坦）——不是现有干预的目标函数；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流动层干预的落地路径</w:t>
      </w:r>
      <w:r>
        <w:rPr>
          <w:rFonts w:ascii="Times New Roman" w:hAnsi="Times New Roman" w:eastAsia="宋体"/>
          <w:b w:val="0"/>
          <w:i w:val="0"/>
          <w:sz w:val="20"/>
        </w:rPr>
        <w:t>（用波浪模式做目标分布）在 §6.4 实现路径中——验收标准=端到端生成五指标接近人类画像（届时才能说"意图流干预已实现"）。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（定律三）——实测组件：卡尔曼门控（预测-分配——r=0.389——意图状态可预测）。</w:t>
      </w:r>
      <w:r>
        <w:rPr>
          <w:rFonts w:ascii="Times New Roman" w:hAnsi="Times New Roman" w:eastAsia="宋体"/>
          <w:b/>
          <w:i w:val="0"/>
          <w:sz w:val="21"/>
        </w:rPr>
        <w:t>波动模式学习已完成（v0.77-1——`stage3/engine_planner_bands.py`——纯离线）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目标分布（每篇一个值——人类 p25-p75 带）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数值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0.296-0.324（AI 0.257——强约束）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转折陡度/深度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0.445-0.486 / 0.446-0.494（AI 0.388）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dim48 / 转折陡度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0.353-0.382 / 0.523-0.572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dim10（长程记忆）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0.594-0.696（AI 0.568）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0.468-0.558（AI 0.432）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10→48（自由流动——下界约束）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≤0.019（AI 0.023 机械）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波动带极性验证（11/11 全中）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：人类组织组（dim10/11/34/46/48/59）段轨迹波动宽度比（人类 std/AI std）全部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——[1.41, 1.11, 1.23, 1.20, 1.05, 1.15]——中位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；AI 特征组（dim22/26/43/52/5）全部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——[0.73, 0.60, 0.61, 0.55, 0.74]——中位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>（人类在这些维度窄带稳定——摆动是 AI 机械行为）。64 维总体 31/64 人类更宽（方向不显著）——但目标 11 维极性 100% 一致——</w:t>
      </w:r>
      <w:r>
        <w:rPr>
          <w:rFonts w:ascii="Times New Roman" w:hAnsi="Times New Roman" w:eastAsia="宋体"/>
          <w:b/>
          <w:i w:val="0"/>
          <w:sz w:val="21"/>
        </w:rPr>
        <w:t>波动带极性是真实维度属性</w:t>
      </w:r>
      <w:r>
        <w:rPr>
          <w:rFonts w:ascii="Times New Roman" w:hAnsi="Times New Roman" w:eastAsia="宋体"/>
          <w:b w:val="0"/>
          <w:i w:val="0"/>
          <w:sz w:val="21"/>
        </w:rPr>
        <w:t>。→ 规划器目标：正极性维度波动带宽≈1.17×AI 水平、负极性维度收紧至≈0.61×AI 水平。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（轨迹规划器核心——✅ 已完成 v0.77-1）：五指标目标分布（跳跃/转折/Hurst/TE/耦合——人类 p25-p75 带）+ 64 维波动带极性验证（正极性 1.17×宽带/负极性 0.61×窄带——11/11 全中）——产出 `planner_targets.json`——见 §6.2 目标分布表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（——✅ 已实施 v0.78——</w:t>
      </w:r>
      <w:r>
        <w:rPr>
          <w:rFonts w:ascii="Times New Roman" w:hAnsi="Times New Roman" w:eastAsia="宋体"/>
          <w:b/>
          <w:i w:val="0"/>
          <w:sz w:val="20"/>
        </w:rPr>
        <w:t>结论：推理期注入无法重塑根意图——表层层可塑——边界实证校正</w:t>
      </w:r>
      <w:r>
        <w:rPr>
          <w:rFonts w:ascii="Times New Roman" w:hAnsi="Times New Roman" w:eastAsia="宋体"/>
          <w:b w:val="0"/>
          <w:i w:val="0"/>
          <w:sz w:val="20"/>
        </w:rPr>
        <w:t xml:space="preserve">）：根意图 R（构造性锚——prompt 核心起点）→ 句元级偏离检测（投影 e=0.90−F·R——门控分级 0.05/0.02 复用）→ 超阈值触发 vt 通道回拉（维度加权定向 v_pull=norm(W⊙R)——只加重偏离贡献大的维度）→ </w:t>
      </w:r>
      <w:r>
        <w:rPr>
          <w:rFonts w:ascii="Times New Roman" w:hAnsi="Times New Roman" w:eastAsia="宋体"/>
          <w:b/>
          <w:i w:val="0"/>
          <w:sz w:val="20"/>
        </w:rPr>
        <w:t>表→根更新</w:t>
      </w:r>
      <w:r>
        <w:rPr>
          <w:rFonts w:ascii="Times New Roman" w:hAnsi="Times New Roman" w:eastAsia="宋体"/>
          <w:b w:val="0"/>
          <w:i w:val="0"/>
          <w:sz w:val="20"/>
        </w:rPr>
        <w:t>（慢 EWMA R←norm((1−α)R+αF̄)——滑动窗口 3 句元降噪——根意图×表面意图双向交互）——24 runs 实证（vt_field 自治环/vt_field_persist 内化检验/vt_field_frozen 冻结对照/vt_field_full 持续注入）：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传导 FAIL</w:t>
      </w:r>
      <w:r>
        <w:rPr>
          <w:rFonts w:ascii="Times New Roman" w:hAnsi="Times New Roman" w:eastAsia="宋体"/>
          <w:b w:val="0"/>
          <w:i w:val="0"/>
          <w:sz w:val="20"/>
        </w:rPr>
        <w:t>（ΔR_T=-0.019，p=0.345——R 未被拉向 T=人类核心）——α 校准 0.02/0.05/0.1 完全一致（α 不敏感）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机制诊断</w:t>
      </w:r>
      <w:r>
        <w:rPr>
          <w:rFonts w:ascii="Times New Roman" w:hAnsi="Times New Roman" w:eastAsia="宋体"/>
          <w:b w:val="0"/>
          <w:i w:val="0"/>
          <w:sz w:val="20"/>
        </w:rPr>
        <w:t>：根意图 R 是</w:t>
      </w:r>
      <w:r>
        <w:rPr>
          <w:rFonts w:ascii="Times New Roman" w:hAnsi="Times New Roman" w:eastAsia="宋体"/>
          <w:b/>
          <w:i w:val="0"/>
          <w:sz w:val="20"/>
        </w:rPr>
        <w:t>轨迹的忠实在线估计器而非控制器</w:t>
      </w:r>
      <w:r>
        <w:rPr>
          <w:rFonts w:ascii="Times New Roman" w:hAnsi="Times New Roman" w:eastAsia="宋体"/>
          <w:b w:val="0"/>
          <w:i w:val="0"/>
          <w:sz w:val="20"/>
        </w:rPr>
        <w:t>——R 跟随实际表层 F 而非注入指令 T（F 只贴 T 0.37-0.98——prompt 依赖）——注入目标与生成实现存在鸿沟（单 token 注入压力 &lt; 0.5B 模型先验）——测量天花板（R0 与 T 余弦 0.90-0.98）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表层层真实效果</w:t>
      </w:r>
      <w:r>
        <w:rPr>
          <w:rFonts w:ascii="Times New Roman" w:hAnsi="Times New Roman" w:eastAsia="宋体"/>
          <w:b w:val="0"/>
          <w:i w:val="0"/>
          <w:sz w:val="20"/>
        </w:rPr>
        <w:t xml:space="preserve">：vt_field_frozen/full 的 dim10_hurst 0.63-0.65 </w:t>
      </w:r>
      <w:r>
        <w:rPr>
          <w:rFonts w:ascii="Times New Roman" w:hAnsi="Times New Roman" w:eastAsia="宋体"/>
          <w:b/>
          <w:i w:val="0"/>
          <w:sz w:val="20"/>
        </w:rPr>
        <w:t>命中人类带</w:t>
      </w:r>
      <w:r>
        <w:rPr>
          <w:rFonts w:ascii="Times New Roman" w:hAnsi="Times New Roman" w:eastAsia="宋体"/>
          <w:b w:val="0"/>
          <w:i w:val="0"/>
          <w:sz w:val="20"/>
        </w:rPr>
        <w:t>（0.60-0.70）——人类核心注入提升表层文本长程记忆性——表层可塑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实证校正</w:t>
      </w:r>
      <w:r>
        <w:rPr>
          <w:rFonts w:ascii="Times New Roman" w:hAnsi="Times New Roman" w:eastAsia="宋体"/>
          <w:b w:val="0"/>
          <w:i w:val="0"/>
          <w:sz w:val="20"/>
        </w:rPr>
        <w:t>：表层层干预（可塑——201 runs 谱系+Hurst 命中）与根意图层干预（推理期不可达——需训练期）的边界——离线证据同样 FAIL（段首单 token 注入无轨迹方向传导——sent_proj 提升≠轨迹方向传导）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（——v0.78 负结果后的</w:t>
      </w:r>
      <w:r>
        <w:rPr>
          <w:rFonts w:ascii="Times New Roman" w:hAnsi="Times New Roman" w:eastAsia="宋体"/>
          <w:b/>
          <w:i w:val="0"/>
          <w:sz w:val="20"/>
        </w:rPr>
        <w:t>正路</w:t>
      </w:r>
      <w:r>
        <w:rPr>
          <w:rFonts w:ascii="Times New Roman" w:hAnsi="Times New Roman" w:eastAsia="宋体"/>
          <w:b w:val="0"/>
          <w:i w:val="0"/>
          <w:sz w:val="20"/>
        </w:rPr>
        <w:t>）：dim48/dim10 作损失项（φ 与 LM 联合优化——消除 OOD 注入问题）——推理期注入无法改变生成轨迹本身——训练期正则直接塑形轨迹——依据：R 跟随 F 的忠实性（表层轨迹即根意图的观测）——改变轨迹=改变根意图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意图主轴猜想验证（v0.79——二分否定——连续谱修正——离线）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猜想</w:t>
      </w:r>
      <w:r>
        <w:rPr>
          <w:rFonts w:ascii="Times New Roman" w:hAnsi="Times New Roman" w:eastAsia="宋体"/>
          <w:b w:val="0"/>
          <w:i w:val="0"/>
          <w:sz w:val="21"/>
        </w:rPr>
        <w:t>：人类跳跃度 d=+2.16 可能不是随机跳变——高维空间存在"意图主轴" D——人类沿轴推进（有方向的变）——AI 无方向各向同性漂移（"有方向的推进 vs 无方向的扩散"）。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裁定（判据 C1-C8 预注册——总判定：否定）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两组都有强主轴</w:t>
      </w:r>
      <w:r>
        <w:rPr>
          <w:rFonts w:ascii="Times New Roman" w:hAnsi="Times New Roman" w:eastAsia="宋体"/>
          <w:b w:val="0"/>
          <w:i w:val="0"/>
          <w:sz w:val="20"/>
        </w:rPr>
        <w:t xml:space="preserve">：差分池 PC1 解释方差 人类 0.663 / AI 0.596（各向同性代理基线 0.018——36× 超基线）——且组轴同向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>——主轴=判别器空间的固有结构（fp 空间主导方向）——"人类有轴 AI 无轴"二分不成立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真实差异是连续谱</w:t>
      </w:r>
      <w:r>
        <w:rPr>
          <w:rFonts w:ascii="Times New Roman" w:hAnsi="Times New Roman" w:eastAsia="宋体"/>
          <w:b w:val="0"/>
          <w:i w:val="0"/>
          <w:sz w:val="20"/>
        </w:rPr>
        <w:t>：方向一致性 align_cos（幅值无关——mean|û·D|）人类 0.632 vs AI 0.581（d=+2.56）；</w:t>
      </w:r>
      <w:r>
        <w:rPr>
          <w:rFonts w:ascii="Times New Roman" w:hAnsi="Times New Roman" w:eastAsia="宋体"/>
          <w:b/>
          <w:i w:val="0"/>
          <w:sz w:val="20"/>
        </w:rPr>
        <w:t>推进集中度 ratio_unit=j_perp/j_par 人类 0.086 vs AI 0.105（d=-3.18——比跳跃度更强的判别指标）</w:t>
      </w:r>
      <w:r>
        <w:rPr>
          <w:rFonts w:ascii="Times New Roman" w:hAnsi="Times New Roman" w:eastAsia="宋体"/>
          <w:b w:val="0"/>
          <w:i w:val="0"/>
          <w:sz w:val="20"/>
        </w:rPr>
        <w:t>——"</w:t>
      </w:r>
      <w:r>
        <w:rPr>
          <w:rFonts w:ascii="Times New Roman" w:hAnsi="Times New Roman" w:eastAsia="宋体"/>
          <w:b/>
          <w:i w:val="0"/>
          <w:sz w:val="20"/>
        </w:rPr>
        <w:t>人类沿轴推进更扁，AI 更圆弥散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记忆不在差分轴上</w:t>
      </w:r>
      <w:r>
        <w:rPr>
          <w:rFonts w:ascii="Times New Roman" w:hAnsi="Times New Roman" w:eastAsia="宋体"/>
          <w:b w:val="0"/>
          <w:i w:val="0"/>
          <w:sz w:val="20"/>
        </w:rPr>
        <w:t>：H(α)人−H(ε)人=-0.04（α 序列 Hurst 0.13-0.17——RS 下偏）——长程记忆（Hurst 0.62）是激活值状态结构，非差分方向结构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新判别信号</w:t>
      </w:r>
      <w:r>
        <w:rPr>
          <w:rFonts w:ascii="Times New Roman" w:hAnsi="Times New Roman" w:eastAsia="宋体"/>
          <w:b w:val="0"/>
          <w:i w:val="0"/>
          <w:sz w:val="20"/>
        </w:rPr>
        <w:t>：组间平均漂移方向相反（cos(μ_h,μ_a)=-0.29）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探索性一致性命中：人类内 Spearman(align_cos, j_par)=+0.745（p=0.013——旧"跳跃"=轴推进的组内证据）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对引擎的启示</w:t>
      </w:r>
      <w:r>
        <w:rPr>
          <w:rFonts w:ascii="Times New Roman" w:hAnsi="Times New Roman" w:eastAsia="宋体"/>
          <w:b w:val="0"/>
          <w:i w:val="0"/>
          <w:sz w:val="21"/>
        </w:rPr>
        <w:t>：主轴 D 是共享结构——规划器的轴坐标目标（align_cos/ratio_unit 人类带）应针对</w:t>
      </w:r>
      <w:r>
        <w:rPr>
          <w:rFonts w:ascii="Times New Roman" w:hAnsi="Times New Roman" w:eastAsia="宋体"/>
          <w:b/>
          <w:i w:val="0"/>
          <w:sz w:val="21"/>
        </w:rPr>
        <w:t>推进组织方式</w:t>
      </w:r>
      <w:r>
        <w:rPr>
          <w:rFonts w:ascii="Times New Roman" w:hAnsi="Times New Roman" w:eastAsia="宋体"/>
          <w:b w:val="0"/>
          <w:i w:val="0"/>
          <w:sz w:val="21"/>
        </w:rPr>
        <w:t>（集中度/漂移方向）而非轴的存在性——"推进集中度"是新候选判别特征（d=-3.18 &gt; 跳跃度 d=+2.16）——待正式纳入判别体系需独立测试集验证。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独立集验证（v0.80——否定——方向证据保留）</w:t>
      </w:r>
      <w:r>
        <w:rPr>
          <w:rFonts w:ascii="Times New Roman" w:hAnsi="Times New Roman" w:eastAsia="宋体"/>
          <w:b w:val="0"/>
          <w:i w:val="0"/>
          <w:sz w:val="21"/>
        </w:rPr>
        <w:t>：独立测试集（32 对白话/时评 × human/ai/qwen 三侧——冻结 D 无拟合泄漏）上 ratio_unit 效应量</w:t>
      </w:r>
      <w:r>
        <w:rPr>
          <w:rFonts w:ascii="Times New Roman" w:hAnsi="Times New Roman" w:eastAsia="宋体"/>
          <w:b/>
          <w:i w:val="0"/>
          <w:sz w:val="21"/>
        </w:rPr>
        <w:t>缩水至 d=-0.49</w:t>
      </w:r>
      <w:r>
        <w:rPr>
          <w:rFonts w:ascii="Times New Roman" w:hAnsi="Times New Roman" w:eastAsia="宋体"/>
          <w:b w:val="0"/>
          <w:i w:val="0"/>
          <w:sz w:val="21"/>
        </w:rPr>
        <w:t>（bilingual -3.18 的 6.5 分之一——配对 Wilcoxon p=0.073 边缘）——</w:t>
      </w:r>
      <w:r>
        <w:rPr>
          <w:rFonts w:ascii="Times New Roman" w:hAnsi="Times New Roman" w:eastAsia="宋体"/>
          <w:b/>
          <w:i w:val="0"/>
          <w:sz w:val="21"/>
        </w:rPr>
        <w:t>不作为正式判别指标</w:t>
      </w:r>
      <w:r>
        <w:rPr>
          <w:rFonts w:ascii="Times New Roman" w:hAnsi="Times New Roman" w:eastAsia="宋体"/>
          <w:b w:val="0"/>
          <w:i w:val="0"/>
          <w:sz w:val="21"/>
        </w:rPr>
        <w:t>（用户判据 d&gt;1.5 未满足）。白话域 d=-1.07（方向一致强度不足）+ 时评域 d=+0.07（官方体趋同——与 shiping 七维失效先例一致）。</w:t>
      </w:r>
      <w:r>
        <w:rPr>
          <w:rFonts w:ascii="Times New Roman" w:hAnsi="Times New Roman" w:eastAsia="宋体"/>
          <w:b/>
          <w:i w:val="0"/>
          <w:sz w:val="21"/>
        </w:rPr>
        <w:t>增量价值保留</w:t>
      </w:r>
      <w:r>
        <w:rPr>
          <w:rFonts w:ascii="Times New Roman" w:hAnsi="Times New Roman" w:eastAsia="宋体"/>
          <w:b w:val="0"/>
          <w:i w:val="0"/>
          <w:sz w:val="21"/>
        </w:rPr>
        <w:t>：与 sent_proj 低冗余（池化 0.049/人类内 0.595）+ 干预空间独立（Δ 相关 +0.021——注入不改变推进集中度）。</w:t>
      </w:r>
      <w:r>
        <w:rPr>
          <w:rFonts w:ascii="Times New Roman" w:hAnsi="Times New Roman" w:eastAsia="宋体"/>
          <w:b/>
          <w:i w:val="0"/>
          <w:sz w:val="21"/>
        </w:rPr>
        <w:t>主轴跨语料稳定</w:t>
      </w:r>
      <w:r>
        <w:rPr>
          <w:rFonts w:ascii="Times New Roman" w:hAnsi="Times New Roman" w:eastAsia="宋体"/>
          <w:b w:val="0"/>
          <w:i w:val="0"/>
          <w:sz w:val="21"/>
        </w:rPr>
        <w:t>（cos|0.99|——判别器空间固有结构确认）。缩水机制：独立集人类短文本（5-19 差分）噪声向各向同性锚收缩——</w:t>
      </w:r>
      <w:r>
        <w:rPr>
          <w:rFonts w:ascii="Times New Roman" w:hAnsi="Times New Roman" w:eastAsia="宋体"/>
          <w:b/>
          <w:i w:val="0"/>
          <w:sz w:val="21"/>
        </w:rPr>
        <w:t>方向真实强度不足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跳跃点事件级分析（v0.81——"淹没假说"否定——跳跃机制确认）</w:t>
      </w:r>
      <w:r>
        <w:rPr>
          <w:rFonts w:ascii="Times New Roman" w:hAnsi="Times New Roman" w:eastAsia="宋体"/>
          <w:b w:val="0"/>
          <w:i w:val="0"/>
          <w:sz w:val="21"/>
        </w:rPr>
        <w:t>：假说"ratio_unit 判别力被非跳跃句元淹没、集中在跳跃点上"——bilingual 事件级检验（p90 同阈 946/704 跳跃窗 ±2 差分窗口——2×2 矩阵——簇 CI）：</w:t>
      </w:r>
      <w:r>
        <w:rPr>
          <w:rFonts w:ascii="Times New Roman" w:hAnsi="Times New Roman" w:eastAsia="宋体"/>
          <w:b/>
          <w:i w:val="0"/>
          <w:sz w:val="21"/>
        </w:rPr>
        <w:t>跳跃窗 d=-0.53 vs 非跳跃窗 d=-0.48——几乎相同——差异全局弥漫非跳跃点特异（淹没假说不成立）</w:t>
      </w:r>
      <w:r>
        <w:rPr>
          <w:rFonts w:ascii="Times New Roman" w:hAnsi="Times New Roman" w:eastAsia="宋体"/>
          <w:b w:val="0"/>
          <w:i w:val="0"/>
          <w:sz w:val="21"/>
        </w:rPr>
        <w:t>。"跳跃窗 ratio_unit 更低"是</w:t>
      </w:r>
      <w:r>
        <w:rPr>
          <w:rFonts w:ascii="Times New Roman" w:hAnsi="Times New Roman" w:eastAsia="宋体"/>
          <w:b/>
          <w:i w:val="0"/>
          <w:sz w:val="21"/>
        </w:rPr>
        <w:t>两类共有的机制</w:t>
      </w:r>
      <w:r>
        <w:rPr>
          <w:rFonts w:ascii="Times New Roman" w:hAnsi="Times New Roman" w:eastAsia="宋体"/>
          <w:b w:val="0"/>
          <w:i w:val="0"/>
          <w:sz w:val="21"/>
        </w:rPr>
        <w:t>（人类 d=+5.28 / AI d=+3.89——AI 更强）——</w:t>
      </w:r>
      <w:r>
        <w:rPr>
          <w:rFonts w:ascii="Times New Roman" w:hAnsi="Times New Roman" w:eastAsia="宋体"/>
          <w:b/>
          <w:i w:val="0"/>
          <w:sz w:val="21"/>
        </w:rPr>
        <w:t>跳跃=沿轴脉冲是共有结构</w:t>
      </w:r>
      <w:r>
        <w:rPr>
          <w:rFonts w:ascii="Times New Roman" w:hAnsi="Times New Roman" w:eastAsia="宋体"/>
          <w:b w:val="0"/>
          <w:i w:val="0"/>
          <w:sz w:val="21"/>
        </w:rPr>
        <w:t>（α 对齐轨迹两组同形——中心沿轴投影 0.91/0.89 先增后减——dim10+48 双 p75 共现跳跃处 0.54 vs 0.05——主题+指代协同大推进——组织层机制确认）。</w:t>
      </w:r>
      <w:r>
        <w:rPr>
          <w:rFonts w:ascii="Times New Roman" w:hAnsi="Times New Roman" w:eastAsia="宋体"/>
          <w:b/>
          <w:i w:val="0"/>
          <w:sz w:val="21"/>
        </w:rPr>
        <w:t>人类/AI 差异在跳跃发生的密度与幅度</w:t>
      </w:r>
      <w:r>
        <w:rPr>
          <w:rFonts w:ascii="Times New Roman" w:hAnsi="Times New Roman" w:eastAsia="宋体"/>
          <w:b w:val="0"/>
          <w:i w:val="0"/>
          <w:sz w:val="21"/>
        </w:rPr>
        <w:t>（密度 d=+1.85——人类 12.1 vs AI 7.7/100 句元——聚集性 gap 5 vs 9）而非跳跃纯度——D_excl 护栏通过（cos 0.999——无循环论证）。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6.6.5 意图切换几何聚类（v0.83——四型构想实证检验——否定——连续性弱结构）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构想（用户）</w:t>
      </w:r>
      <w:r>
        <w:rPr>
          <w:rFonts w:ascii="Times New Roman" w:hAnsi="Times New Roman" w:eastAsia="宋体"/>
          <w:b w:val="0"/>
          <w:i w:val="0"/>
          <w:sz w:val="21"/>
        </w:rPr>
        <w:t>：意图切换存在通用几何类型（展开/转向/回摆/分层——纯形式不依赖文体）。</w:t>
      </w:r>
      <w:r>
        <w:rPr>
          <w:rFonts w:ascii="Times New Roman" w:hAnsi="Times New Roman" w:eastAsia="宋体"/>
          <w:b/>
          <w:i w:val="0"/>
          <w:sz w:val="21"/>
        </w:rPr>
        <w:t>实证检验（1626 跳跃点——8 几何特征——per-doc 60/40 切分——KMeans+GMM+稳定性——先验规则——判据 S-C1..C3 预注册）——总判定：否定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S-C1 FAIL</w:t>
      </w:r>
      <w:r>
        <w:rPr>
          <w:rFonts w:ascii="Times New Roman" w:hAnsi="Times New Roman" w:eastAsia="宋体"/>
          <w:b w:val="0"/>
          <w:i w:val="0"/>
          <w:sz w:val="20"/>
        </w:rPr>
        <w:t>：silhouette=0.214（&lt;0.30——弱结构区间）——但稳定性 cos=0.987 + GMM ARI=0.811——</w:t>
      </w:r>
      <w:r>
        <w:rPr>
          <w:rFonts w:ascii="Times New Roman" w:hAnsi="Times New Roman" w:eastAsia="宋体"/>
          <w:b/>
          <w:i w:val="0"/>
          <w:sz w:val="20"/>
        </w:rPr>
        <w:t>"切换几何有稳定的连续性模式但无离散类型"</w:t>
      </w:r>
      <w:r>
        <w:rPr>
          <w:rFonts w:ascii="Times New Roman" w:hAnsi="Times New Roman" w:eastAsia="宋体"/>
          <w:b w:val="0"/>
          <w:i w:val="0"/>
          <w:sz w:val="20"/>
        </w:rPr>
        <w:t>——四型是认知构想非数据可聚类事实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S-C2 FAIL</w:t>
      </w:r>
      <w:r>
        <w:rPr>
          <w:rFonts w:ascii="Times New Roman" w:hAnsi="Times New Roman" w:eastAsia="宋体"/>
          <w:b w:val="0"/>
          <w:i w:val="0"/>
          <w:sz w:val="20"/>
        </w:rPr>
        <w:t>：四型规则残差 25%（转向型仅 6%）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S-C3 FAIL</w:t>
      </w:r>
      <w:r>
        <w:rPr>
          <w:rFonts w:ascii="Times New Roman" w:hAnsi="Times New Roman" w:eastAsia="宋体"/>
          <w:b w:val="0"/>
          <w:i w:val="0"/>
          <w:sz w:val="20"/>
        </w:rPr>
        <w:t>：人类/AI 四型分布无差异（卡方 p=0.42——所有类型占比差 &lt;0.04——"人类更常转向型/AI 更常展开型"不成立）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方法学贡献（保留）</w:t>
      </w:r>
      <w:r>
        <w:rPr>
          <w:rFonts w:ascii="Times New Roman" w:hAnsi="Times New Roman" w:eastAsia="宋体"/>
          <w:b w:val="0"/>
          <w:i w:val="0"/>
          <w:sz w:val="21"/>
        </w:rPr>
        <w:t>：①</w:t>
      </w:r>
      <w:r>
        <w:rPr>
          <w:rFonts w:ascii="Times New Roman" w:hAnsi="Times New Roman" w:eastAsia="宋体"/>
          <w:b/>
          <w:i w:val="0"/>
          <w:sz w:val="21"/>
        </w:rPr>
        <w:t>64 维全空间方向角高维退化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（随机向量近正交——所有切换角 ~90°）——方向/回摆维度必须在 </w:t>
      </w:r>
      <w:r>
        <w:rPr>
          <w:rFonts w:ascii="Times New Roman" w:hAnsi="Times New Roman" w:eastAsia="宋体"/>
          <w:b/>
          <w:i w:val="0"/>
          <w:sz w:val="21"/>
        </w:rPr>
        <w:t>(D,E2) 低维流形投影</w:t>
      </w:r>
      <w:r>
        <w:rPr>
          <w:rFonts w:ascii="Times New Roman" w:hAnsi="Times New Roman" w:eastAsia="宋体"/>
          <w:b w:val="0"/>
          <w:i w:val="0"/>
          <w:sz w:val="21"/>
        </w:rPr>
        <w:t>上测量（修复后 θ_switch 18-93° 有区分度）——未来一切角度类分析的低维投影原则；②</w:t>
      </w:r>
      <w:r>
        <w:rPr>
          <w:rFonts w:ascii="Times New Roman" w:hAnsi="Times New Roman" w:eastAsia="宋体"/>
          <w:b/>
          <w:i w:val="0"/>
          <w:sz w:val="21"/>
        </w:rPr>
        <w:t>文档顺序切分陷阱</w:t>
      </w:r>
      <w:r>
        <w:rPr>
          <w:rFonts w:ascii="Times New Roman" w:hAnsi="Times New Roman" w:eastAsia="宋体"/>
          <w:b w:val="0"/>
          <w:i w:val="0"/>
          <w:sz w:val="21"/>
        </w:rPr>
        <w:t>（顺序切分→评估集全 AI——per-doc 切分修复）；③</w:t>
      </w:r>
      <w:r>
        <w:rPr>
          <w:rFonts w:ascii="Times New Roman" w:hAnsi="Times New Roman" w:eastAsia="宋体"/>
          <w:b/>
          <w:i w:val="0"/>
          <w:sz w:val="21"/>
        </w:rPr>
        <w:t>转向型（大角度一去不回）罕见（~6%）</w:t>
      </w:r>
      <w:r>
        <w:rPr>
          <w:rFonts w:ascii="Times New Roman" w:hAnsi="Times New Roman" w:eastAsia="宋体"/>
          <w:b w:val="0"/>
          <w:i w:val="0"/>
          <w:sz w:val="21"/>
        </w:rPr>
        <w:t>——切换类型分布本身有信息（大多数切换是小角度或回摆——"思想的转向比想象中少"）。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 跳跃机制与可控变量（v0.82——为什么 AI 跳跃更少）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确定性审查</w:t>
      </w:r>
      <w:r>
        <w:rPr>
          <w:rFonts w:ascii="Times New Roman" w:hAnsi="Times New Roman" w:eastAsia="宋体"/>
          <w:b w:val="0"/>
          <w:i w:val="0"/>
          <w:sz w:val="21"/>
        </w:rPr>
        <w:t>：跳跃点检测确定性正确——段边界无混淆（跳跃 80%+ 在段内）、句元长度无偏置（ρ≈0）、</w:t>
      </w:r>
      <w:r>
        <w:rPr>
          <w:rFonts w:ascii="Times New Roman" w:hAnsi="Times New Roman" w:eastAsia="宋体"/>
          <w:b/>
          <w:i w:val="0"/>
          <w:sz w:val="21"/>
        </w:rPr>
        <w:t>跳跃主导维=[11,13,17,36,42,55...]（人类/AI 相同——与主轴 top 维重合——跳跃=沿主轴推进确认）</w:t>
      </w:r>
      <w:r>
        <w:rPr>
          <w:rFonts w:ascii="Times New Roman" w:hAnsi="Times New Roman" w:eastAsia="宋体"/>
          <w:b w:val="0"/>
          <w:i w:val="0"/>
          <w:sz w:val="21"/>
        </w:rPr>
        <w:t>、模型因素小（DS 7.4 vs Qwen 8.1/100 句元——"AI 跳跃少"是生成范式普遍特性）、语义验证=真实内容转折（人物引入/对话切换/场景转场）。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可控变量（机制链闭环）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beam 束搜索：降跳跃 39%</w:t>
      </w:r>
      <w:r>
        <w:rPr>
          <w:rFonts w:ascii="Times New Roman" w:hAnsi="Times New Roman" w:eastAsia="宋体"/>
          <w:b w:val="0"/>
          <w:i w:val="0"/>
          <w:sz w:val="20"/>
        </w:rPr>
        <w:t>（9.88→6.04/100 句元——确定性选优平滑轨迹）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vt 虚拟 token 注入：增跳跃 37%</w:t>
      </w:r>
      <w:r>
        <w:rPr>
          <w:rFonts w:ascii="Times New Roman" w:hAnsi="Times New Roman" w:eastAsia="宋体"/>
          <w:b w:val="0"/>
          <w:i w:val="0"/>
          <w:sz w:val="20"/>
        </w:rPr>
        <w:t>（9.88→13.51）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温度：无显著单调效应</w:t>
      </w:r>
      <w:r>
        <w:rPr>
          <w:rFonts w:ascii="Times New Roman" w:hAnsi="Times New Roman" w:eastAsia="宋体"/>
          <w:b w:val="0"/>
          <w:i w:val="0"/>
          <w:sz w:val="20"/>
        </w:rPr>
        <w:t>（8 runs 扫描 0.6-1.5——Spearman p=0.77——非单调——弱/不确定）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语言组织</w:t>
      </w:r>
      <w:r>
        <w:rPr>
          <w:rFonts w:ascii="Times New Roman" w:hAnsi="Times New Roman" w:eastAsia="宋体"/>
          <w:b w:val="0"/>
          <w:i w:val="0"/>
          <w:sz w:val="20"/>
        </w:rPr>
        <w:t>：AI 句短（9.9 vs 12.1）、代词少（指代链弱）、连接词近半——但</w:t>
      </w:r>
      <w:r>
        <w:rPr>
          <w:rFonts w:ascii="Times New Roman" w:hAnsi="Times New Roman" w:eastAsia="宋体"/>
          <w:b/>
          <w:i w:val="0"/>
          <w:sz w:val="20"/>
        </w:rPr>
        <w:t>词汇多样性更高（0.972 vs 0.963）却跳跃更少——"静态词汇多样性 vs 动态轨迹推进"分离</w:t>
      </w:r>
      <w:r>
        <w:rPr>
          <w:rFonts w:ascii="Times New Roman" w:hAnsi="Times New Roman" w:eastAsia="宋体"/>
          <w:b w:val="0"/>
          <w:i w:val="0"/>
          <w:sz w:val="20"/>
        </w:rPr>
        <w:t>——AI 的花哨在词汇层（静态），推进缺失在轨迹层（动态）——char_diversity 与跳跃密度 ρ=+0.33（p&lt;0.001）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机制解释</w:t>
      </w:r>
      <w:r>
        <w:rPr>
          <w:rFonts w:ascii="Times New Roman" w:hAnsi="Times New Roman" w:eastAsia="宋体"/>
          <w:b w:val="0"/>
          <w:i w:val="0"/>
          <w:sz w:val="20"/>
        </w:rPr>
        <w:t>："AI 跳跃更少"=采样确定性（beam 类策略）+ 语言组织弱化（句短/指代弱/连接词少）→ 轨迹推进缺失——可控变量集中在</w:t>
      </w:r>
      <w:r>
        <w:rPr>
          <w:rFonts w:ascii="Times New Roman" w:hAnsi="Times New Roman" w:eastAsia="宋体"/>
          <w:b/>
          <w:i w:val="0"/>
          <w:sz w:val="20"/>
        </w:rPr>
        <w:t>解码策略层（推理期——beam/vt 注入）与损失项（训练期——待办 3）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附录：复现指南（每个结论的可复现路径）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环境：Python 3.13 + torch/transformers/sentence-transformers/scipy/jieba/sklearn——离线分析纯 CPU（分钟级）——生成实验需 GPU（MX570 2GB 实测）——本地模型：Qwen2.5-0.5B/bge-small-zh（HF_HUB_OFFLINE=1 缓存）——仓库：IntentDynamics（GitHub 就绪——含全部脚本/数据/模型/论文）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数据与模型（内置——无需重新生成）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资产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路径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验证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逐句元指纹矩阵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data/dim_analysis/fp_matrix.npz（26,734×64 + h1 256 维）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三项回归验证 PASS（篇级 30/30/6dims 3618/3618/disc 603/603）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句元元数据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与矩阵行对齐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判别器权重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指纹管线加载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映射层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注入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干预谱系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texts/（201 runs 全文）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复现论文数字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独立集探针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data/independent_test/（dim_probe/language_mechanism/manifest）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维清单复现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结论→复现命令映射（逐节）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论文结论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命令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产出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波浪 vs 平坦（d=+2.16）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flow_sent_analysis.json（dim10_jump 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转折陡度（d=+2.09）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 金鱼记忆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stage3/dim_flow.py`（需素材 archives/天行健——缺失时跳过）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flow_analysis.json（同题材组）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转移熵（0.012 vs 0.019）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耦合（0.52 vs 0.43）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因果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intervene_manifest.json（lm_pron_density）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解释性反比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dim64_full.json（explained 分组）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干预谱系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追加（oracle 计算见分析脚本）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§5.2 Kalman 修复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fix 逻辑在 kalman_pid.py + gen_theme_guidance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离线重放见 data/dim_analysis/kalman_fix.json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 0.147→0.389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activity.json（s_active）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完整流水线（端到端重跑）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1. 维度分析（离线——几分钟）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活性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探针+上层追溯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双模型一致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2. 意图流转（离线）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段级+Hurst（素材缺失自动跳过补算）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句元级+转移熵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词级+11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3. 生成干预（GPU）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4. 论文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复现验证记录（2026-08-14——已实测通过）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dim_activity（11 维清单 ✓）→ dim_64_full（dim59 d=+0.65 ✓）→ dim_flow_sent（d=+2.16/TE 0.0124 vs 0.0194 ✓）→ dim_probe_deep（dim48 追溯 21 对/8-8 ✓）→ gen_theme_guidance 冒烟（vt_ext 0.9602 ✓）→ md_to_docx（✓）——</w:t>
      </w:r>
      <w:r>
        <w:rPr>
          <w:rFonts w:ascii="Times New Roman" w:hAnsi="Times New Roman" w:eastAsia="宋体"/>
          <w:b/>
          <w:i w:val="0"/>
          <w:sz w:val="21"/>
        </w:rPr>
        <w:t>全部数字与论文一致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