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Intent Dynamics: From Flow-of-Thought Capture to Simulated Intelligence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Geometric measurement and dynamical modeling of human–AI thought differences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Author: Baitao Wang | August 2026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Current flagship result (v0.75)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— complete empirical chain: measurement (flow-of-thought capture) → dissection (64-dimension atlas) → intervention (inference-time spectrum) → </w:t>
      </w:r>
      <w:r>
        <w:rPr>
          <w:rFonts w:ascii="Times New Roman" w:hAnsi="Times New Roman" w:eastAsia="宋体"/>
          <w:b/>
          <w:i/>
          <w:color w:val="444444"/>
          <w:sz w:val="19"/>
        </w:rPr>
        <w:t>conception (Intent Dynamics Engine)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. Full empirical archive: *Multi-level Semantic Fingerprint System* (historical comprehensive version, in Chinese).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【Machine Intent Dynamics — positioning】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The multi-level semantic fingerprint system built in this study embodies the prototype of "Machine Intent Dynamics." For the first time, it transforms "root intent" from an abstract cognitive concept into a computable geometric gravity field, and reveals the dynamical features (waves, turns, coupling) that distinguish human thought-flow from AI's probabilistic gliding. Although current validation is limited to small models and the textual domain, this framework provides an empirical path beyond the autoregressive paradigm: using an explicit intent-state space to guide models from "local-probability token continuation" toward "goal-driven reasoning around a core intent." If validated at larger parameter scales and in multimodal settings, this mechanism could lay the cognitive and engineering foundation for a new generation of AI architectures with intrinsic self-drive, interpretable thought trajectories, and extremely low inference energy.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Abstract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Autoregressive models have a single driver — local probability maximization — and no persistent state of "why write this sentence." Starting from engineering practice, this study builds a </w:t>
      </w:r>
      <w:r>
        <w:rPr>
          <w:rFonts w:ascii="Times New Roman" w:hAnsi="Times New Roman" w:eastAsia="宋体"/>
          <w:b/>
          <w:i w:val="0"/>
          <w:sz w:val="21"/>
        </w:rPr>
        <w:t>geometric representation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from the discriminator's middle-layer 64-dimensional fingerprint, and captures systematic differences between human and AI thought-flow at clause granularity: </w:t>
      </w:r>
      <w:r>
        <w:rPr>
          <w:rFonts w:ascii="Times New Roman" w:hAnsi="Times New Roman" w:eastAsia="宋体"/>
          <w:b/>
          <w:i w:val="0"/>
          <w:sz w:val="21"/>
        </w:rPr>
        <w:t>Humans = breathing waves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(inter-clause dimensional jump d=+2.16, turn peak/valley steepness d=+2.09, long-range memory Hurst 0.62, topic–reference coupling 0.52, low-determinism information flow), </w:t>
      </w:r>
      <w:r>
        <w:rPr>
          <w:rFonts w:ascii="Times New Roman" w:hAnsi="Times New Roman" w:eastAsia="宋体"/>
          <w:b/>
          <w:i w:val="0"/>
          <w:sz w:val="21"/>
        </w:rPr>
        <w:t>AI = flat lines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(small jumps, shallow turns, goldfish memory Hurst 0.46, mechanical dictionary-like flow, higher transfer entropy). The 64-dimension dissection further shows that the deep signals learned by the discriminator (the unexplained-11 dimensions) are precisely the strongest human–AI difference group (median d=0.53 vs 0.32 for explained dimensions) — among them dim48 is triple-evidenced (composite traceback + dual-model agreement + causal control of reference density −0.42) as the </w:t>
      </w:r>
      <w:r>
        <w:rPr>
          <w:rFonts w:ascii="Times New Roman" w:hAnsi="Times New Roman" w:eastAsia="宋体"/>
          <w:b/>
          <w:i w:val="0"/>
          <w:sz w:val="21"/>
        </w:rPr>
        <w:t>reference-chain/cohesion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, and dim10 as the </w:t>
      </w:r>
      <w:r>
        <w:rPr>
          <w:rFonts w:ascii="Times New Roman" w:hAnsi="Times New Roman" w:eastAsia="宋体"/>
          <w:b/>
          <w:i w:val="0"/>
          <w:sz w:val="21"/>
        </w:rPr>
        <w:t>topic-organization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. The inference-time intervention spectrum (201 runs / 22 conditions) proves intent state is intervenable (peak 117% oracle; recommended form vt_gate_beam 103% with 67% cost reduction — virtual-token channel + Kalman gating — minimal-intervention principle). </w:t>
      </w:r>
      <w:r>
        <w:rPr>
          <w:rFonts w:ascii="Times New Roman" w:hAnsi="Times New Roman" w:eastAsia="宋体"/>
          <w:b/>
          <w:i w:val="0"/>
          <w:sz w:val="21"/>
        </w:rPr>
        <w:t>From these phenomena, this paper derives the three-layer 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(Root Intent Field / Intent Trajectory Planner / Intent Steering Executor) — five empirical laws — moving from "predicting the next word" to "free thinking around a root intent":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Introduction: From "Resembling Humans" to "How Thought Flows"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Origin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This research began with an engineering pain point in a narrative-writing system: AI-generated text remained machine-identifiable even after prompt engineering and local lexical substitution. The first-generation research (v0.60–v0.66) answered: </w:t>
      </w:r>
      <w:r>
        <w:rPr>
          <w:rFonts w:ascii="Times New Roman" w:hAnsi="Times New Roman" w:eastAsia="宋体"/>
          <w:b/>
          <w:i w:val="0"/>
          <w:sz w:val="21"/>
        </w:rPr>
        <w:t>the difference lies in the organization of local clauses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organize language around an intent core (clause projection 0.96 vs AI 0.79–0.84), AI is local-optimum stitching. This is static "resemblance."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v0.74 flow-of-thought capture advanced the question: </w:t>
      </w:r>
      <w:r>
        <w:rPr>
          <w:rFonts w:ascii="Times New Roman" w:hAnsi="Times New Roman" w:eastAsia="宋体"/>
          <w:b/>
          <w:i w:val="0"/>
          <w:sz w:val="21"/>
        </w:rPr>
        <w:t>the deepest human–AI difference is not "whether a moment resembles" but "how thought flows"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 thought trajectories are waves fluctuating freely around a core (with undulation, memory, loops); AI trajectories are flat lines (no undulation, goldfish memory, mechanical flow). This paper's core contribution turns "intent" from philosophical metaphor into a </w:t>
      </w:r>
      <w:r>
        <w:rPr>
          <w:rFonts w:ascii="Times New Roman" w:hAnsi="Times New Roman" w:eastAsia="宋体"/>
          <w:b/>
          <w:i w:val="0"/>
          <w:sz w:val="21"/>
        </w:rPr>
        <w:t>measurable dynamical system</w:t>
      </w:r>
      <w:r>
        <w:rPr>
          <w:rFonts w:ascii="Times New Roman" w:hAnsi="Times New Roman" w:eastAsia="宋体"/>
          <w:b w:val="0"/>
          <w:i w:val="0"/>
          <w:sz w:val="21"/>
        </w:rPr>
        <w:t>, and derives an architecture from the measurements.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Structure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Capture tools → §3 </w:t>
      </w:r>
      <w:r>
        <w:rPr>
          <w:rFonts w:ascii="Times New Roman" w:hAnsi="Times New Roman" w:eastAsia="宋体"/>
          <w:b/>
          <w:i w:val="0"/>
          <w:sz w:val="21"/>
        </w:rPr>
        <w:t>Flow-of-thought capture (core)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§4 Intent-state dissection → §5 Intent intervenability → §6 </w:t>
      </w:r>
      <w:r>
        <w:rPr>
          <w:rFonts w:ascii="Times New Roman" w:hAnsi="Times New Roman" w:eastAsia="宋体"/>
          <w:b/>
          <w:i w:val="0"/>
          <w:sz w:val="21"/>
        </w:rPr>
        <w:t>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§7 Boundaries &amp; decoupling → §8 Conclusion.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Capture Tools: Geometric Representation of Intent State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Discriminator and Fingerprint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ParaDiscNN (bge-small-zh-v1.5 encoding → 512→256→64→1 MLP, trained to discriminate AI/human paragraphs). The middle-layer 64-dim activation (net[0:3]+relu+net[3]+relu — skipping LN(64)) is the </w:t>
      </w:r>
      <w:r>
        <w:rPr>
          <w:rFonts w:ascii="Times New Roman" w:hAnsi="Times New Roman" w:eastAsia="宋体"/>
          <w:b/>
          <w:i w:val="0"/>
          <w:sz w:val="21"/>
        </w:rPr>
        <w:t>style fingerprint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 — W₁=net[0].weight (256×512) — 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Geometric property (v0.66): discriminative power comes from </w:t>
      </w:r>
      <w:r>
        <w:rPr>
          <w:rFonts w:ascii="Times New Roman" w:hAnsi="Times New Roman" w:eastAsia="宋体"/>
          <w:b/>
          <w:i w:val="0"/>
          <w:sz w:val="21"/>
        </w:rPr>
        <w:t>projection onto the core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(in-segment mean fingerprint direction — human 0.972 vs AI 0.807), not pairwise cosine (AUC 0.55 meaningless) — "the fingerprint points at the shaping core."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Trajectory Metric System (v0.74 — the capture toolbox)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Slice text at a granularity (segment/clause/word) → extract per-slice dimensional activations → connect into a trajectory — </w:t>
      </w:r>
      <w:r>
        <w:rPr>
          <w:rFonts w:ascii="Times New Roman" w:hAnsi="Times New Roman" w:eastAsia="宋体"/>
          <w:b/>
          <w:i w:val="0"/>
          <w:sz w:val="21"/>
        </w:rPr>
        <w:t>this line is the intent-flow trajectory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Definition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Thought property captured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mean \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Δactivation\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type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peak/valley steepness/depth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 opening/closing sharpness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R/S analysis (long-range autocorrelation)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Memory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(does earlier text influence later? looping ability)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Transfer entropy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symbolic conditional entropy (X past→Y future)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Information-flow freedom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(mechanical vs free)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sliding-window dimX×dimY correlation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Inter-dimension tension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(topic–reference bonded?)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Dimension activation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per-dim value/variance/sign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Coordinates of intent state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Why clause-level is the best observation granularity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(v0.74-4): word-level trajectories have the weakest discriminative power (dim10 jump human 0.309 vs AI 0.295 — word fingerprints are highly continuous); segment-level loses undulation (dim10 jump d=+1.24); </w:t>
      </w:r>
      <w:r>
        <w:rPr>
          <w:rFonts w:ascii="Times New Roman" w:hAnsi="Times New Roman" w:eastAsia="宋体"/>
          <w:b/>
          <w:i w:val="0"/>
          <w:sz w:val="21"/>
        </w:rPr>
        <w:t>clause-level (509–1029 points per human text) carries full undulation with the strongest discrimination (d=+2.16)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Flow-of-Thought Capture: Human vs AI Thought-Dynamics Portrait (Core)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Data and Procedure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Corpus</w:t>
      </w:r>
      <w:r>
        <w:rPr>
          <w:rFonts w:ascii="Times New Roman" w:hAnsi="Times New Roman" w:eastAsia="宋体"/>
          <w:b w:val="0"/>
          <w:i w:val="0"/>
          <w:sz w:val="20"/>
        </w:rPr>
        <w:t>: bilingual zh 30 texts (10 human, 96–160 segments / 509–1029 clauses each — Dragon Clan/Zhu Xian/Tianxingjian continuous segments; 20 AI, 23–98 segments — DS/Qwen continuous generation) + same-theme ultra-long (Tianxingjian ch.1–6, 899 segments human vs archives, 146 segments AI imitation)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Fingerprint matrix</w:t>
      </w:r>
      <w:r>
        <w:rPr>
          <w:rFonts w:ascii="Times New Roman" w:hAnsi="Times New Roman" w:eastAsia="宋体"/>
          <w:b w:val="0"/>
          <w:i w:val="0"/>
          <w:sz w:val="20"/>
        </w:rPr>
        <w:t xml:space="preserve">: 26,734 clauses × 64-dim fingerprints archived (fp_matrix.npz — </w:t>
      </w:r>
      <w:r>
        <w:rPr>
          <w:rFonts w:ascii="Times New Roman" w:hAnsi="Times New Roman" w:eastAsia="宋体"/>
          <w:b/>
          <w:i w:val="0"/>
          <w:sz w:val="20"/>
        </w:rPr>
        <w:t>three regression validations ALL PASS</w:t>
      </w:r>
      <w:r>
        <w:rPr>
          <w:rFonts w:ascii="Times New Roman" w:hAnsi="Times New Roman" w:eastAsia="宋体"/>
          <w:b w:val="0"/>
          <w:i w:val="0"/>
          <w:sz w:val="20"/>
        </w:rPr>
        <w:t>: document-level sent_proj 30/30 Δ≤0.0005; 6 dims 3618/3618 Δ≤0.0001; disc 603/603 — fingerprints verified authentic)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Analysis</w:t>
      </w:r>
      <w:r>
        <w:rPr>
          <w:rFonts w:ascii="Times New Roman" w:hAnsi="Times New Roman" w:eastAsia="宋体"/>
          <w:b w:val="0"/>
          <w:i w:val="0"/>
          <w:sz w:val="20"/>
        </w:rPr>
        <w:t>: per-text clause-level dim10 (topic)/dim48 (reference) activations → trajectory → five metrics (jump/turn/Hurst/TE/coupling) → human vs AI group tests (Mann-Whitney U + Cohen's d)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Finding 1: Humans are Waves, AI is a Flat Line (Jump)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(segment-level 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thought trajectories </w:t>
      </w:r>
      <w:r>
        <w:rPr>
          <w:rFonts w:ascii="Times New Roman" w:hAnsi="Times New Roman" w:eastAsia="宋体"/>
          <w:b/>
          <w:i w:val="0"/>
          <w:sz w:val="21"/>
        </w:rPr>
        <w:t>fluctuate 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 — dim10 (topic) rises when opening a new topic, holds during development, falls during transitions — forming waves. AI trajectories are significantly flatter (d=+2.16) — </w:t>
      </w:r>
      <w:r>
        <w:rPr>
          <w:rFonts w:ascii="Times New Roman" w:hAnsi="Times New Roman" w:eastAsia="宋体"/>
          <w:b/>
          <w:i w:val="0"/>
          <w:sz w:val="21"/>
        </w:rPr>
        <w:t>AI is not "randomly jagged" but "wave-less"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lacking topic opening/closing structure. </w:t>
      </w:r>
      <w:r>
        <w:rPr>
          <w:rFonts w:ascii="Times New Roman" w:hAnsi="Times New Roman" w:eastAsia="宋体"/>
          <w:b/>
          <w:i w:val="0"/>
          <w:sz w:val="21"/>
        </w:rPr>
        <w:t>For humans, undulation is the breathing of thought; for AI, flatness is the standstill of thought.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Intent flow trajectory (human waves vs AI flat)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Clause-level intent trajectory (human steep vs AI flat)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Finding 2: Deeper Human Turns, Shallow AI Turns (Turn Type)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(turn "type" not "count"):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(Control: turn </w:t>
      </w:r>
      <w:r>
        <w:rPr>
          <w:rFonts w:ascii="Times New Roman" w:hAnsi="Times New Roman" w:eastAsia="宋体"/>
          <w:b/>
          <w:i w:val="0"/>
          <w:sz w:val="21"/>
        </w:rPr>
        <w:t>count</w:t>
      </w:r>
      <w:r>
        <w:rPr>
          <w:rFonts w:ascii="Times New Roman" w:hAnsi="Times New Roman" w:eastAsia="宋体"/>
          <w:b w:val="0"/>
          <w:i w:val="0"/>
          <w:sz w:val="21"/>
        </w:rPr>
        <w:t xml:space="preserve"> / break </w:t>
      </w:r>
      <w:r>
        <w:rPr>
          <w:rFonts w:ascii="Times New Roman" w:hAnsi="Times New Roman" w:eastAsia="宋体"/>
          <w:b/>
          <w:i w:val="0"/>
          <w:sz w:val="21"/>
        </w:rPr>
        <w:t>density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show no difference — 0.175 vs 0.170 — "count" metrics are ineffective; "type" metrics are effective.)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turn </w:t>
      </w:r>
      <w:r>
        <w:rPr>
          <w:rFonts w:ascii="Times New Roman" w:hAnsi="Times New Roman" w:eastAsia="宋体"/>
          <w:b/>
          <w:i w:val="0"/>
          <w:sz w:val="21"/>
        </w:rPr>
        <w:t>steepness/depth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(not count) separates humans and AI — human topic opening/closing is distinct (sharp peaks/valleys — the "cadence" of thought), AI turns are shallow (smooth gliding). </w:t>
      </w:r>
      <w:r>
        <w:rPr>
          <w:rFonts w:ascii="Times New Roman" w:hAnsi="Times New Roman" w:eastAsia="宋体"/>
          <w:b/>
          <w:i w:val="0"/>
          <w:sz w:val="21"/>
        </w:rPr>
        <w:t>Counts equal, amplitudes differ sharply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both have similar numbers of turns, but human turns are "meaningful pivots," AI turns are "directionless slides."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Finding 3: Human Long-Range Memory, AI Goldfish Memory (Hurst)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(same-theme ultra-long trajectories):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Trajectory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Segments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Tianxingjian ch.1–6 (human)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(&gt;0.5 — long-range memory)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 (AI imitation)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(&lt;0.5 — anti-persistent / near random walk)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has </w:t>
      </w:r>
      <w:r>
        <w:rPr>
          <w:rFonts w:ascii="Times New Roman" w:hAnsi="Times New Roman" w:eastAsia="宋体"/>
          <w:b/>
          <w:i w:val="0"/>
          <w:sz w:val="21"/>
        </w:rPr>
        <w:t>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earlier content influences later organization across distance (loops, echoes, foreshadowing — Hurst&gt;0.5) — the ability for "the original intent to periodically resurface." AI's dim10 Hurst below 0.5 (anti-persistent) — </w:t>
      </w:r>
      <w:r>
        <w:rPr>
          <w:rFonts w:ascii="Times New Roman" w:hAnsi="Times New Roman" w:eastAsia="宋体"/>
          <w:b/>
          <w:i w:val="0"/>
          <w:sz w:val="21"/>
        </w:rPr>
        <w:t>inter-segment topic-memory breaks — goldfish 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AI cannot "remember its original intent." This is the dynamical explanation of "AI long-text digression" (not semantic forgetting — organizational-memory fracture; consistent with long-range semantic retention 0.94+ showing no difference: </w:t>
      </w:r>
      <w:r>
        <w:rPr>
          <w:rFonts w:ascii="Times New Roman" w:hAnsi="Times New Roman" w:eastAsia="宋体"/>
          <w:b/>
          <w:i w:val="0"/>
          <w:sz w:val="21"/>
        </w:rPr>
        <w:t>semantics remembered, organization forgotten</w:t>
      </w:r>
      <w:r>
        <w:rPr>
          <w:rFonts w:ascii="Times New Roman" w:hAnsi="Times New Roman" w:eastAsia="宋体"/>
          <w:b w:val="0"/>
          <w:i w:val="0"/>
          <w:sz w:val="21"/>
        </w:rPr>
        <w:t>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Finding 4: AI's Information Flow is Mechanical, Human's is Free (Transfer Entropy)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Direction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 (marginal)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transfer entropy measures the predictability gain of Y's future given X's past — </w:t>
      </w:r>
      <w:r>
        <w:rPr>
          <w:rFonts w:ascii="Times New Roman" w:hAnsi="Times New Roman" w:eastAsia="宋体"/>
          <w:b/>
          <w:i w:val="0"/>
          <w:sz w:val="21"/>
        </w:rPr>
        <w:t>AI's higher topic→reference flow = more mechanically determined "topic-word→reference-pronoun" transitions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(dictionary-like association: a topic word is predictably followed by a reference — predictable) — </w:t>
      </w:r>
      <w:r>
        <w:rPr>
          <w:rFonts w:ascii="Times New Roman" w:hAnsi="Times New Roman" w:eastAsia="宋体"/>
          <w:b/>
          <w:i w:val="0"/>
          <w:sz w:val="21"/>
        </w:rPr>
        <w:t>human's lower flow = more complex, less predictable topic–reference relations (free organization)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an information-theoretic quantification of "human freedom vs AI mechanism."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Transfer entropy (AI mechanical flow higher)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Finding 5: Human Topic–Reference "Bonded," AI "Disconnected" (Coupling)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(3-segment sliding window dim10×dim48 correlation): human coupling mean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 xml:space="preserve"> (p=0.118 — directional).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in human writing, reference chains naturally follow topics (mention topic → "this/it/that" follows — co-fluctuation) — </w:t>
      </w:r>
      <w:r>
        <w:rPr>
          <w:rFonts w:ascii="Times New Roman" w:hAnsi="Times New Roman" w:eastAsia="宋体"/>
          <w:b/>
          <w:i w:val="0"/>
          <w:sz w:val="21"/>
        </w:rPr>
        <w:t>high coupling</w:t>
      </w:r>
      <w:r>
        <w:rPr>
          <w:rFonts w:ascii="Times New Roman" w:hAnsi="Times New Roman" w:eastAsia="宋体"/>
          <w:b w:val="0"/>
          <w:i w:val="0"/>
          <w:sz w:val="21"/>
        </w:rPr>
        <w:t xml:space="preserve">. AI's lower coupling — a segment may repeat topic words (dim10 surging) while using no references (dim48 low) — </w:t>
      </w:r>
      <w:r>
        <w:rPr>
          <w:rFonts w:ascii="Times New Roman" w:hAnsi="Times New Roman" w:eastAsia="宋体"/>
          <w:b/>
          <w:i w:val="0"/>
          <w:sz w:val="21"/>
        </w:rPr>
        <w:t>the mathematical explanation of "circular repetition"</w:t>
      </w:r>
      <w:r>
        <w:rPr>
          <w:rFonts w:ascii="Times New Roman" w:hAnsi="Times New Roman" w:eastAsia="宋体"/>
          <w:b w:val="0"/>
          <w:i w:val="0"/>
          <w:sz w:val="21"/>
        </w:rPr>
        <w:t>: dictionary repetition replaces logical reference — the two threads of thought (topic and cohesion) are "disconnected" in AI.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Synthesis: Human vs AI Thought-Dynamics Portrait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Undulation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Waves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(jump d=+2.16)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Flat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(no waves)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Deep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(steepness d=+2.09)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Shallow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Memory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Long-range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0.62)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Goldfish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0.46)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Information flow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Free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(low TE)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Mechanical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(high TE)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Bonded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(+0.52)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Disconnected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(+0.43)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In one sentence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is </w:t>
      </w:r>
      <w:r>
        <w:rPr>
          <w:rFonts w:ascii="Times New Roman" w:hAnsi="Times New Roman" w:eastAsia="宋体"/>
          <w:b/>
          <w:i w:val="0"/>
          <w:sz w:val="21"/>
        </w:rPr>
        <w:t>free fluctuation within a root-intent gravity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(memorable loops, deep turns, free flow); AI writing is </w:t>
      </w:r>
      <w:r>
        <w:rPr>
          <w:rFonts w:ascii="Times New Roman" w:hAnsi="Times New Roman" w:eastAsia="宋体"/>
          <w:b/>
          <w:i w:val="0"/>
          <w:sz w:val="21"/>
        </w:rPr>
        <w:t>field-less flat gliding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 undulation, no memory, mechanical flow) — </w:t>
      </w:r>
      <w:r>
        <w:rPr>
          <w:rFonts w:ascii="Times New Roman" w:hAnsi="Times New Roman" w:eastAsia="宋体"/>
          <w:b/>
          <w:i w:val="0"/>
          <w:sz w:val="21"/>
        </w:rPr>
        <w:t>"thought with a gravity field" vs "thought without a field"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observational basis of the Intent Dynamics Engine.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Thought manifold (human concentrated vs AI dispersed)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Intent-State Dissection: 64-Dimension Atlas (v0.74)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Dimension Function Localization (Causal Intervention — 144 runs)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Dimension perturbation (replace μ_h / scale 1.5 / 0.5 / noise control) → virtual-token channel injection → language-feature changes in generated text: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Perturbation effect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Function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 density −0.42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/ conjunction −0.20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reference-chain/cohesion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topic density +0.12~+0.23 / reference density +0.13~+0.15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topic-organization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significant (+0.021 p=0.04)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projection-adjustment candidate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weak directional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discriminative signal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(Note: sent_proj-level effects are weak — 2/18 significant — attenuated by the MLP 64→896 mapping — </w:t>
      </w:r>
      <w:r>
        <w:rPr>
          <w:rFonts w:ascii="Times New Roman" w:hAnsi="Times New Roman" w:eastAsia="宋体"/>
          <w:b/>
          <w:i w:val="0"/>
          <w:sz w:val="21"/>
        </w:rPr>
        <w:t>dimension control must be measured at the language-feature level</w:t>
      </w:r>
      <w:r>
        <w:rPr>
          <w:rFonts w:ascii="Times New Roman" w:hAnsi="Times New Roman" w:eastAsia="宋体"/>
          <w:b w:val="0"/>
          <w:i w:val="0"/>
          <w:sz w:val="21"/>
        </w:rPr>
        <w:t>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Interpretability × Discrimination Inverse Relation (64-Dimension Panorama)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Group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Median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human-AI 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Significant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Explained (42 — surface features)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Other unexplained (11)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Unexplained-11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</w:t>
      </w:r>
      <w:r>
        <w:rPr>
          <w:rFonts w:ascii="Times New Roman" w:hAnsi="Times New Roman" w:eastAsia="宋体"/>
          <w:b/>
          <w:i w:val="0"/>
          <w:sz w:val="21"/>
        </w:rPr>
        <w:t>the deep signals the discriminator learned are precisely the dimensions not linearly explainable by surface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unexplained-11 = discriminative-signal proper (top-10 strongest includes 5 unexplained: dim58 +0.69/dim55 +0.67/dim59 +0.65/dim34/dim46) — </w:t>
      </w:r>
      <w:r>
        <w:rPr>
          <w:rFonts w:ascii="Times New Roman" w:hAnsi="Times New Roman" w:eastAsia="宋体"/>
          <w:b/>
          <w:i w:val="0"/>
          <w:sz w:val="21"/>
        </w:rPr>
        <w:t>"unexplainable" ≠ "useless" — it is the most concentrated discriminative information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core coordinates of intent state lie on these deep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64-dim human-AI difference panorama (orange=unexplained-11)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Polarity Grouping (basis of Law 3)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Unexplained-11 splits into two groups (consistent with internal correlation 38/55): </w:t>
      </w:r>
      <w:r>
        <w:rPr>
          <w:rFonts w:ascii="Times New Roman" w:hAnsi="Times New Roman" w:eastAsia="宋体"/>
          <w:b/>
          <w:i w:val="0"/>
          <w:sz w:val="21"/>
        </w:rPr>
        <w:t>Human-organization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(dim10/11/34/46/48/59 — positive human-AI d + positive jump — human-high-activation + human-waves) vs </w:t>
      </w:r>
      <w:r>
        <w:rPr>
          <w:rFonts w:ascii="Times New Roman" w:hAnsi="Times New Roman" w:eastAsia="宋体"/>
          <w:b/>
          <w:i w:val="0"/>
          <w:sz w:val="21"/>
        </w:rPr>
        <w:t>AI-feature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(dim22/26/43/52/5 — negative + negative — AI-high-activation + AI-fluctuation) — </w:t>
      </w:r>
      <w:r>
        <w:rPr>
          <w:rFonts w:ascii="Times New Roman" w:hAnsi="Times New Roman" w:eastAsia="宋体"/>
          <w:b/>
          <w:i w:val="0"/>
          <w:sz w:val="21"/>
        </w:rPr>
        <w:t>human waves appear on human-high-activation dimensions; AI fluctuations on AI-high-activation dimensions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intervention must distinguish polarity (Law 3).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Intent Intervenability: Inference-Time Spectrum and Causal Control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Positioning Statement: Existing Interventions Are Structural/Expressive-Layer — NOT Flow-Of-Thought Layer (Important Distinction)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relations that must be clarified</w:t>
      </w:r>
      <w:r>
        <w:rPr>
          <w:rFonts w:ascii="Times New Roman" w:hAnsi="Times New Roman" w:eastAsia="宋体"/>
          <w:b w:val="0"/>
          <w:i w:val="0"/>
          <w:sz w:val="21"/>
        </w:rPr>
        <w:t xml:space="preserve"> (three periods of this research):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Layer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Period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Metrics/Mechanisms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Status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Structural/expressive-layer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v0.68–v0.73 (earlier)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sent_proj projection (core-clinging)/topic-word retention/logits bias/beam selection/virtual-token injection —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all based on the discriminator's static projection and word-level structural metrics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Implemented (this section)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Measurement/monitoring layer (flow-of-thought)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 (later)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jump/turn steepness/Hurst/transfer entropy/coupling — capturing human–AI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flow differences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(§3)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Implemented (measurement)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Flow-of-thought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conception (future)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trajectory planner uses wave patterns (§3 target distributions) as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generation targets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Not implemented (§6 engine)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Explicit statement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§5 intervention spectrum (probability→logits→beam→seed→virtual token→Kalman gating) is </w:t>
      </w:r>
      <w:r>
        <w:rPr>
          <w:rFonts w:ascii="Times New Roman" w:hAnsi="Times New Roman" w:eastAsia="宋体"/>
          <w:b/>
          <w:i w:val="0"/>
          <w:sz w:val="21"/>
        </w:rPr>
        <w:t>entirely based on structural/expressive-layer metrics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intervention target is "generated text clings to the core" (static projection consistency, sent_proj) — </w:t>
      </w:r>
      <w:r>
        <w:rPr>
          <w:rFonts w:ascii="Times New Roman" w:hAnsi="Times New Roman" w:eastAsia="宋体"/>
          <w:b/>
          <w:i w:val="0"/>
          <w:sz w:val="21"/>
        </w:rPr>
        <w:t>these experiments (v0.68–v0.73) predate flow-of-thought measurement (v0.74) and did NOT use the §3 flow metrics (jump/turn/Hurst/TE/coupling) at all</w:t>
      </w:r>
      <w:r>
        <w:rPr>
          <w:rFonts w:ascii="Times New Roman" w:hAnsi="Times New Roman" w:eastAsia="宋体"/>
          <w:b w:val="0"/>
          <w:i w:val="0"/>
          <w:sz w:val="21"/>
        </w:rPr>
        <w:t xml:space="preserve">. In this study, flow-of-thought metrics serve the </w:t>
      </w:r>
      <w:r>
        <w:rPr>
          <w:rFonts w:ascii="Times New Roman" w:hAnsi="Times New Roman" w:eastAsia="宋体"/>
          <w:b/>
          <w:i w:val="0"/>
          <w:sz w:val="21"/>
        </w:rPr>
        <w:t>measurement and monitoring role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(revealing human–AI differences); using flow metrics as </w:t>
      </w:r>
      <w:r>
        <w:rPr>
          <w:rFonts w:ascii="Times New Roman" w:hAnsi="Times New Roman" w:eastAsia="宋体"/>
          <w:b/>
          <w:i w:val="0"/>
          <w:sz w:val="21"/>
        </w:rPr>
        <w:t>intervention targets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(e.g., "generated trajectory's turn steepness approaching human levels") is the Intent Dynamics Engine's conception (§6) — </w:t>
      </w:r>
      <w:r>
        <w:rPr>
          <w:rFonts w:ascii="Times New Roman" w:hAnsi="Times New Roman" w:eastAsia="宋体"/>
          <w:b/>
          <w:i w:val="0"/>
          <w:sz w:val="21"/>
        </w:rPr>
        <w:t>not yet implemented</w:t>
      </w:r>
      <w:r>
        <w:rPr>
          <w:rFonts w:ascii="Times New Roman" w:hAnsi="Times New Roman" w:eastAsia="宋体"/>
          <w:b w:val="0"/>
          <w:i w:val="0"/>
          <w:sz w:val="21"/>
        </w:rPr>
        <w:t>. Therefore: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§5's "117%/103% oracle" proves the spectrum ceiling of </w:t>
      </w:r>
      <w:r>
        <w:rPr>
          <w:rFonts w:ascii="Times New Roman" w:hAnsi="Times New Roman" w:eastAsia="宋体"/>
          <w:b/>
          <w:i w:val="0"/>
          <w:sz w:val="20"/>
        </w:rPr>
        <w:t>structural/expressive-layer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(static core-clinging organization) — not the flow layer;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§3's flow metrics are </w:t>
      </w:r>
      <w:r>
        <w:rPr>
          <w:rFonts w:ascii="Times New Roman" w:hAnsi="Times New Roman" w:eastAsia="宋体"/>
          <w:b/>
          <w:i w:val="0"/>
          <w:sz w:val="20"/>
        </w:rPr>
        <w:t>observational evidence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(human waves vs AI flat) — not the objective of existing interventions;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The </w:t>
      </w:r>
      <w:r>
        <w:rPr>
          <w:rFonts w:ascii="Times New Roman" w:hAnsi="Times New Roman" w:eastAsia="宋体"/>
          <w:b/>
          <w:i w:val="0"/>
          <w:sz w:val="20"/>
        </w:rPr>
        <w:t>implementation path for flow-layer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(wave patterns as target distributions) is in §6.4 — acceptance = end-to-end generation's five metrics approach the human portrait (only then can "flow-of-thought intervention" be claimed implemented).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Intervention Spectrum (201 runs / 22 conditions — oracle = Δ÷0.09×100)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Probability 17-25% → logits 40% → beam 51% → seed+beam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virtual-token channel (vt_ext 49% — </w:t>
      </w:r>
      <w:r>
        <w:rPr>
          <w:rFonts w:ascii="Times New Roman" w:hAnsi="Times New Roman" w:eastAsia="宋体"/>
          <w:b/>
          <w:i w:val="0"/>
          <w:sz w:val="21"/>
        </w:rPr>
        <w:t>+16 points over the logits carrier</w:t>
      </w:r>
      <w:r>
        <w:rPr>
          <w:rFonts w:ascii="Times New Roman" w:hAnsi="Times New Roman" w:eastAsia="宋体"/>
          <w:b w:val="0"/>
          <w:i w:val="0"/>
          <w:sz w:val="21"/>
        </w:rPr>
        <w:t xml:space="preserve">) → three-layer stacking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Kalman-gated vt_gate_beam 103% (67% cost reduction — 0.37 s/oracle-point — recommended form)</w:t>
      </w:r>
      <w:r>
        <w:rPr>
          <w:rFonts w:ascii="Times New Roman" w:hAnsi="Times New Roman" w:eastAsia="宋体"/>
          <w:b w:val="0"/>
          <w:i w:val="0"/>
          <w:sz w:val="21"/>
        </w:rPr>
        <w:t xml:space="preserve">. No-beam tests: seed effect depends on beam (pure seed −1%) — beam's net contribution 36 points irreplaceable — gating 46% is the no-beam optimum — </w:t>
      </w:r>
      <w:r>
        <w:rPr>
          <w:rFonts w:ascii="Times New Roman" w:hAnsi="Times New Roman" w:eastAsia="宋体"/>
          <w:b/>
          <w:i w:val="0"/>
          <w:sz w:val="21"/>
        </w:rPr>
        <w:t>"when to inject" matters more than "what to inject"</w:t>
      </w:r>
      <w:r>
        <w:rPr>
          <w:rFonts w:ascii="Times New Roman" w:hAnsi="Times New Roman" w:eastAsia="宋体"/>
          <w:b w:val="0"/>
          <w:i w:val="0"/>
          <w:sz w:val="21"/>
        </w:rPr>
        <w:t xml:space="preserve"> (minimal-intervention principle).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Kalman Repair (Prediction-Accuracy Path)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S2 r=0.15's root cause: Kalman implementation (segment start read stale x_pred) — after fixing the `predict()` semantics, r=0.389 (2.6–3×) — adaptive strategy (free segments skip beam — efficiency) — </w:t>
      </w:r>
      <w:r>
        <w:rPr>
          <w:rFonts w:ascii="Times New Roman" w:hAnsi="Times New Roman" w:eastAsia="宋体"/>
          <w:b/>
          <w:i w:val="0"/>
          <w:sz w:val="21"/>
        </w:rPr>
        <w:t>intent state is predictable (segment-level r≈0.68 — lag structure)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prediction-driven resource allocation = quality-cost optimum.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Causal-Control Loop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dim48/dim10 perturbations change reference/topic organization of generated text — </w:t>
      </w:r>
      <w:r>
        <w:rPr>
          <w:rFonts w:ascii="Times New Roman" w:hAnsi="Times New Roman" w:eastAsia="宋体"/>
          <w:b/>
          <w:i w:val="0"/>
          <w:sz w:val="21"/>
        </w:rPr>
        <w:t>dimensions are not merely correlated but causally intervenable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providing "knobs" for the engine's steering executor.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Intent Dynamics Engine: The Inference Chain from Phenomena to Architecture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Derivation of the Five Laws (phenomenon → law)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1 (Subconscious before surface control)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human clause jump d=+2.16 — human thought fluctuates </w:t>
      </w:r>
      <w:r>
        <w:rPr>
          <w:rFonts w:ascii="Times New Roman" w:hAnsi="Times New Roman" w:eastAsia="宋体"/>
          <w:b/>
          <w:i w:val="0"/>
          <w:sz w:val="21"/>
        </w:rPr>
        <w:t>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core, not glued to it. Derivation: if intent were a per-sentence hard constraint (existing "core-clinging" interventions), fluctuation would be suppressed — making AI flatter and more mechanical (opposite of the goal) — </w:t>
      </w:r>
      <w:r>
        <w:rPr>
          <w:rFonts w:ascii="Times New Roman" w:hAnsi="Times New Roman" w:eastAsia="宋体"/>
          <w:b/>
          <w:i w:val="0"/>
          <w:sz w:val="21"/>
        </w:rPr>
        <w:t>root intent must exist as a background field — surface intent flows freely — pull-back only when deviating beyond a safety boundary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2 (Flow features are more fundamental than static features)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clause-level jump-significant dimensions 56/64 vs static human-AI 39/64; turn steepness d=+2.09. Derivation: single-point projections tell whether "this clause clings"; flow rhythm/turn depth/coupling dynamics tell "how thought progresses" — </w:t>
      </w:r>
      <w:r>
        <w:rPr>
          <w:rFonts w:ascii="Times New Roman" w:hAnsi="Times New Roman" w:eastAsia="宋体"/>
          <w:b/>
          <w:i w:val="0"/>
          <w:sz w:val="21"/>
        </w:rPr>
        <w:t>the higher-information discriminative and target signals live in flow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engine's objective should be trajectory-morphology-based, not point-based.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3 (Dimension polarity must be treated separately)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64 dims are non-uniform — human waves on human-high-activation dims (dim10/34/46 etc.), AI fluctuation on AI-high-activation dims (dim22/26/43). Derivation: intervention cannot be one-size-fits-all — </w:t>
      </w:r>
      <w:r>
        <w:rPr>
          <w:rFonts w:ascii="Times New Roman" w:hAnsi="Times New Roman" w:eastAsia="宋体"/>
          <w:b/>
          <w:i w:val="0"/>
          <w:sz w:val="21"/>
        </w:rPr>
        <w:t>positive (human-organization) group should encourage wave-like undulation (wide fluctuation band); negative (AI-feature) group should suppress mechanical swinging (narrow band)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4 (Interpretability and discriminative power are inversely related)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explained d=0.32 vs unexplained-11 d=0.53. Derivation: the discriminator's deep signals are the unexplainable dimensions — </w:t>
      </w:r>
      <w:r>
        <w:rPr>
          <w:rFonts w:ascii="Times New Roman" w:hAnsi="Times New Roman" w:eastAsia="宋体"/>
          <w:b/>
          <w:i w:val="0"/>
          <w:sz w:val="21"/>
        </w:rPr>
        <w:t>the core coordinates of intent state lie on deep dimensions — the engine's state representation should use all 64 dims (or the 11-dim core subspace), not only explainable ones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explainable dims provide the "translation layer," deep dims the "discriminative power."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5 (Information-flow freedom is a new axis)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TE AI 0.019 vs human 0.012 — AI's topic→reference transitions are mechanically determined. Derivation: </w:t>
      </w:r>
      <w:r>
        <w:rPr>
          <w:rFonts w:ascii="Times New Roman" w:hAnsi="Times New Roman" w:eastAsia="宋体"/>
          <w:b/>
          <w:i w:val="0"/>
          <w:sz w:val="21"/>
        </w:rPr>
        <w:t>human freedom vs AI mechanism is an axis independent of "core-clinging"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 must not only "cling to the core" (projection) but also "flow freely" (low-determinism flow) — the target distribution should include an information-flow-freedom constraint.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Three-Layer Architecture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1: Root Intent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root intent = fixed vector R in the 64-dim (or 11-dim core subspace) space — the gravity-field minimum — close = comfortable, far = high potential — </w:t>
      </w:r>
      <w:r>
        <w:rPr>
          <w:rFonts w:ascii="Times New Roman" w:hAnsi="Times New Roman" w:eastAsia="宋体"/>
          <w:b/>
          <w:i w:val="0"/>
          <w:sz w:val="21"/>
        </w:rPr>
        <w:t>correction triggered only when potential exceeds a threshold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1) — verified components: document-core/external-core anchors (document-core d 2.04–2.09; vt_ext 49% / vt_oracle 55% — the field's anchor is verified).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2: Intent Trajectory Planner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learns human fluctuation patterns (§3.2–3.6 target distributions: allowed fluctuation range / target jump / target coupling / target Hurst) — input: current intent state + history → output: next-clause target-state distribution — </w:t>
      </w:r>
      <w:r>
        <w:rPr>
          <w:rFonts w:ascii="Times New Roman" w:hAnsi="Times New Roman" w:eastAsia="宋体"/>
          <w:b/>
          <w:i w:val="0"/>
          <w:sz w:val="21"/>
        </w:rPr>
        <w:t>wide band for positive dims, narrow for negative dims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3) — verified components: Kalman gating (predict-assign — r=0.389 — intent state predictable) — fluctuation-pattern learning is the core to be implemented.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3: Intent Steering Executor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target state → real-time LLM sampling guidance — options: magnetic guidance (logits bias) / intent mask (token subset) / virtual-token injection — </w:t>
      </w:r>
      <w:r>
        <w:rPr>
          <w:rFonts w:ascii="Times New Roman" w:hAnsi="Times New Roman" w:eastAsia="宋体"/>
          <w:b/>
          <w:i w:val="0"/>
          <w:sz w:val="21"/>
        </w:rPr>
        <w:t>gating: enabled only on coupling drop / abnormal jump / trajectory deviation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 — "when to inject" &gt; "what to inject") — verified components: vt channel (injection 117%/103% — +16 points over logits), Kalman gating (no-beam 46%).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Essential Difference from the Existing Paradigm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Traditional autoregressive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Intent Dynamics Engine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Driver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probability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Root-intent field + local probability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 persistent intent 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Measurable intent-state vector (64-dim fingerprint)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Trajectory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Flat or random drift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Human-like waves and loops (target-distribution constrained)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None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Field-boundary trigger + trajectory planning + gated execution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Interpretability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Black box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Dimension atlas + polarity grouping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Full-vocabulary compute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Optional intent mask (output-layer load reduction)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Implementation Path (from verified components to end-to-end)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Fluctuation-pattern learning</w:t>
      </w:r>
      <w:r>
        <w:rPr>
          <w:rFonts w:ascii="Times New Roman" w:hAnsi="Times New Roman" w:eastAsia="宋体"/>
          <w:b w:val="0"/>
          <w:i w:val="0"/>
          <w:sz w:val="20"/>
        </w:rPr>
        <w:t xml:space="preserve"> (planner core — to be implemented): learn target jump/turn-steepness/coupling distributions for dim10/dim48 (and all 64) from human corpora — as generation target states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Field end-to-end</w:t>
      </w:r>
      <w:r>
        <w:rPr>
          <w:rFonts w:ascii="Times New Roman" w:hAnsi="Times New Roman" w:eastAsia="宋体"/>
          <w:b w:val="0"/>
          <w:i w:val="0"/>
          <w:sz w:val="20"/>
        </w:rPr>
        <w:t>: root intent (document/external core) → deviation detection (trajectory–field distance, clause-level) → above-threshold triggers vt-channel pull-back — "free fluctuation + field pull-back" generation loop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Polarity steering</w:t>
      </w:r>
      <w:r>
        <w:rPr>
          <w:rFonts w:ascii="Times New Roman" w:hAnsi="Times New Roman" w:eastAsia="宋体"/>
          <w:b w:val="0"/>
          <w:i w:val="0"/>
          <w:sz w:val="20"/>
        </w:rPr>
        <w:t>: positive dims encourage waves (wide target band); negative dims suppress swinging (narrow band) — implemented via the dim_perturb channel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Training-time</w:t>
      </w:r>
      <w:r>
        <w:rPr>
          <w:rFonts w:ascii="Times New Roman" w:hAnsi="Times New Roman" w:eastAsia="宋体"/>
          <w:b w:val="0"/>
          <w:i w:val="0"/>
          <w:sz w:val="20"/>
        </w:rPr>
        <w:t>: dim48/dim10 as loss terms (φ jointly optimized with LM — eliminating OOD injection)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Verification</w:t>
      </w:r>
      <w:r>
        <w:rPr>
          <w:rFonts w:ascii="Times New Roman" w:hAnsi="Times New Roman" w:eastAsia="宋体"/>
          <w:b w:val="0"/>
          <w:i w:val="0"/>
          <w:sz w:val="20"/>
        </w:rPr>
        <w:t>: end-to-end generation → five flow metrics (jump/turn/Hurst/TE/coupling) should approach the human portrait — the engine's acceptance criterion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Boundaries and Decoupling (Engine Positioning)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engine is confined to the </w:t>
      </w:r>
      <w:r>
        <w:rPr>
          <w:rFonts w:ascii="Times New Roman" w:hAnsi="Times New Roman" w:eastAsia="宋体"/>
          <w:b/>
          <w:i w:val="0"/>
          <w:sz w:val="21"/>
        </w:rPr>
        <w:t>organizational layer</w:t>
      </w:r>
      <w:r>
        <w:rPr>
          <w:rFonts w:ascii="Times New Roman" w:hAnsi="Times New Roman" w:eastAsia="宋体"/>
          <w:b w:val="0"/>
          <w:i w:val="0"/>
          <w:sz w:val="21"/>
        </w:rPr>
        <w:t xml:space="preserve"> (focus/undulation/cohesion/memory — flow metrics). Three decoupling findings: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Reasoning zero transfer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(v0.70 + v0.73-5): intent anchoring / strongest intervention forms give zero reasoning-accuracy gain (none 39% vs vt 31% — organizational optimization does not convert to semantic correctness — "organized ≠ correct")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Long-range semantics zero difference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(v0.71): 0.94+ both high — "AI digression" is not semantic forgetting but organizational-memory fracture (Hurst 0.46)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Semantic layer needs training time</w:t>
      </w:r>
      <w:r>
        <w:rPr>
          <w:rFonts w:ascii="Times New Roman" w:hAnsi="Times New Roman" w:eastAsia="宋体"/>
          <w:b w:val="0"/>
          <w:i w:val="0"/>
          <w:sz w:val="20"/>
        </w:rPr>
        <w:t>: the engine's organizational guidance does not touch semantics — semantic ability (reasoning/facts) still depends on model capacity and training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Boundary statement</w:t>
      </w:r>
      <w:r>
        <w:rPr>
          <w:rFonts w:ascii="Times New Roman" w:hAnsi="Times New Roman" w:eastAsia="宋体"/>
          <w:b w:val="0"/>
          <w:i w:val="0"/>
          <w:sz w:val="21"/>
        </w:rPr>
        <w:t>: the engine does not claim to "improve reasoning" — it claims to "make generation trajectories exhibit human-like organizational dynamics" (waves/memory/coupling/free flow) — semantic correctness is the model's responsibility; intent dynamics is the organization's responsibility.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Conclusion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This paper advances from "static resemblance" to "dynamic thought-flow":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flow is capturable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(§3): all five clause-level metrics capture systematic human–AI differences — humans = breathing waves (free fluctuation/deep turns/long memory/free flow/bonded coupling), AI = flat lines (no waves/shallow/goldfish/mechanical/disconnected);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state is dissectable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(§4): 64-dim atlas — unexplained-11 = deep discriminative-signal proper (interpretability × discrimination inverse) — dim48 = reference chain (triple-evidenced) — dim10 = topic organization — polarity grouping;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intervenable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(§5): spectrum to 117%/103% — minimal-intervention principle — causal control (dim48/dim10 knobs);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conceivable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(§6): five laws derived from phenomena — three-layer architecture — explicit implementation path (fluctuation learning → field end-to-end → polarity steering → training-time regularization → five-metric acceptance).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Final proposition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essential human–AI writing difference lies not in vocabulary but in the </w:t>
      </w:r>
      <w:r>
        <w:rPr>
          <w:rFonts w:ascii="Times New Roman" w:hAnsi="Times New Roman" w:eastAsia="宋体"/>
          <w:b/>
          <w:i w:val="0"/>
          <w:sz w:val="21"/>
        </w:rPr>
        <w:t>organization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fluctuate freely in a root-intent gravity field (memorable loops, deep turns, free flow); AI glides flat without a field. The Intent Dynamics Engine aims to move AI from "passive prediction" to "</w:t>
      </w:r>
      <w:r>
        <w:rPr>
          <w:rFonts w:ascii="Times New Roman" w:hAnsi="Times New Roman" w:eastAsia="宋体"/>
          <w:b/>
          <w:i w:val="0"/>
          <w:sz w:val="21"/>
        </w:rPr>
        <w:t>proactive thinking around its original intent</w:t>
      </w:r>
      <w:r>
        <w:rPr>
          <w:rFonts w:ascii="Times New Roman" w:hAnsi="Times New Roman" w:eastAsia="宋体"/>
          <w:b w:val="0"/>
          <w:i w:val="0"/>
          <w:sz w:val="21"/>
        </w:rPr>
        <w:t>" —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Appendix: Reproduction Guide (per-conclusion paths)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Environment</w:t>
      </w:r>
      <w:r>
        <w:rPr>
          <w:rFonts w:ascii="Times New Roman" w:hAnsi="Times New Roman" w:eastAsia="宋体"/>
          <w:b w:val="0"/>
          <w:i w:val="0"/>
          <w:sz w:val="21"/>
        </w:rPr>
        <w:t>: Python 3.13 + torch/transformers/sentence-transformers/scipy/jieba/sklearn — offline analysis pure CPU (minutes) — generation needs GPU (MX570 2GB verified) — local models Qwen2.5-0.5B / bge-small-zh (HF_HUB_OFFLINE=1 cache). Repository: IntentDynamics (GitHub-ready — scripts/data/models/papers bundled).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Bundled assets (no regeneration needed)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Asset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Path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Validation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fingerprint matrix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 (26,734×64 + h1 256)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three regression validations PASS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metadata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row-aligned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Discriminator weights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fingerprint pipeline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Mapping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injection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 spectrum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 (201 runs full texts)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reproduces paper numbers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Probe corpus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 (dim_probe/language_mechanism/manifest)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 reproduction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Conclusion→command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Paper conclusion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Script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Command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Output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waves vs flat (d=+2.16)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 (dim10_jump)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turn steepness (d=+2.09)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 (corpus-optional)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transfer entropy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coupling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causal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inverse relation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spectrum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append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Full pipeline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activity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probe + traceback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dual-model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segment + Hurst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clause + TE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word + 11-dim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   # GPU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Reproduction verification (2026-08-14 — all PASSED)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dim_activity (11-dim list ✓) → dim_64_full (dim59 d=+0.65 ✓) → dim_flow_sent (d=+2.16 / TE 0.0124 vs 0.0194 ✓) → dim_probe_deep (dim48: 21 sig-pairs/8-8 ✓) → gen_theme_guidance smoke (vt_ext 0.9602 ✓) → md_to_docx (✓) — </w:t>
      </w:r>
      <w:r>
        <w:rPr>
          <w:rFonts w:ascii="Times New Roman" w:hAnsi="Times New Roman" w:eastAsia="宋体"/>
          <w:b/>
          <w:i w:val="0"/>
          <w:sz w:val="21"/>
        </w:rPr>
        <w:t>all numbers match the paper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