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Independent test-set validation (v0.80 — NEGATED — directional evidence retained)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on the independent test set (32 pairs baihua/shiping × human/ai/qwen three sides — frozen D, no fitting leakage) the ratio_unit effect shrinks to </w:t>
      </w:r>
      <w:r>
        <w:rPr>
          <w:rFonts w:ascii="Times New Roman" w:hAnsi="Times New Roman" w:eastAsia="宋体"/>
          <w:b/>
          <w:i w:val="0"/>
          <w:sz w:val="21"/>
        </w:rPr>
        <w:t>d=−0.49</w:t>
      </w:r>
      <w:r>
        <w:rPr>
          <w:rFonts w:ascii="Times New Roman" w:hAnsi="Times New Roman" w:eastAsia="宋体"/>
          <w:b w:val="0"/>
          <w:i w:val="0"/>
          <w:sz w:val="21"/>
        </w:rPr>
        <w:t xml:space="preserve"> (1/6.5 of bilingual −3.18 — paired Wilcoxon p=0.073 marginal) — </w:t>
      </w:r>
      <w:r>
        <w:rPr>
          <w:rFonts w:ascii="Times New Roman" w:hAnsi="Times New Roman" w:eastAsia="宋体"/>
          <w:b/>
          <w:i w:val="0"/>
          <w:sz w:val="21"/>
        </w:rPr>
        <w:t>not admitted as a formal discriminator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(user criterion d&gt;1.5 unmet). Baihua-domain d=−1.07 (same direction, insufficient strength) + shiping d=+0.07 (officialese convergence — consistent with the shiping seven-dim failure precedent). </w:t>
      </w:r>
      <w:r>
        <w:rPr>
          <w:rFonts w:ascii="Times New Roman" w:hAnsi="Times New Roman" w:eastAsia="宋体"/>
          <w:b/>
          <w:i w:val="0"/>
          <w:sz w:val="21"/>
        </w:rPr>
        <w:t>Incremental value retained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low redundancy with sent_proj (pooled 0.049 / within-human 0.595) + intervention-space independence (Δ-corr +0.021 — injection does not alter propulsion concentration). </w:t>
      </w:r>
      <w:r>
        <w:rPr>
          <w:rFonts w:ascii="Times New Roman" w:hAnsi="Times New Roman" w:eastAsia="宋体"/>
          <w:b/>
          <w:i w:val="0"/>
          <w:sz w:val="21"/>
        </w:rPr>
        <w:t>Axis stable across corpora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(cos |0.99| — discriminator-space inherent structure confirmed). Shrinkage mechanism: independent-set human short texts (5–19 diffs) noise contracting toward the isotropic anchor — direction real, strength insufficient.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Jump-event analysis (v0.81 — "dilution hypothesis" NEGATED — jump mechanism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hypothesis "ratio_unit discriminative power is diluted by non-jump clauses and concentrated at jump points" — bilingual event-level test (p90 same threshold, 946/704 jump windows ±2 diffs, 2×2 matrix, cluster CI): </w:t>
      </w:r>
      <w:r>
        <w:rPr>
          <w:rFonts w:ascii="Times New Roman" w:hAnsi="Times New Roman" w:eastAsia="宋体"/>
          <w:b/>
          <w:i w:val="0"/>
          <w:sz w:val="21"/>
        </w:rPr>
        <w:t>jump-window d=−0.53 vs non-jump-window d=−0.48 — nearly identical — the difference is globally diffuse, not jump-specific (dilution hypothesis fails)</w:t>
      </w:r>
      <w:r>
        <w:rPr>
          <w:rFonts w:ascii="Times New Roman" w:hAnsi="Times New Roman" w:eastAsia="宋体"/>
          <w:b w:val="0"/>
          <w:i w:val="0"/>
          <w:sz w:val="21"/>
        </w:rPr>
        <w:t xml:space="preserve">. "Lower ratio_unit at jump windows" is a </w:t>
      </w:r>
      <w:r>
        <w:rPr>
          <w:rFonts w:ascii="Times New Roman" w:hAnsi="Times New Roman" w:eastAsia="宋体"/>
          <w:b/>
          <w:i w:val="0"/>
          <w:sz w:val="21"/>
        </w:rPr>
        <w:t>mechanism common to both groups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 d=+5.28 / AI d=+3.89 — AI stronger) — </w:t>
      </w:r>
      <w:r>
        <w:rPr>
          <w:rFonts w:ascii="Times New Roman" w:hAnsi="Times New Roman" w:eastAsia="宋体"/>
          <w:b/>
          <w:i w:val="0"/>
          <w:sz w:val="21"/>
        </w:rPr>
        <w:t>jumps are axis-aligned pulses common to both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(α-aligned trajectories same shape — center along-axis projection 0.91/0.89, rise-then-fall — dim10+48 dual-p75 co-occurrence 0.54 at jumps vs 0.05 — topic+reference coordinated propulsion — organizational-layer mechanism confirmed). </w:t>
      </w:r>
      <w:r>
        <w:rPr>
          <w:rFonts w:ascii="Times New Roman" w:hAnsi="Times New Roman" w:eastAsia="宋体"/>
          <w:b/>
          <w:i w:val="0"/>
          <w:sz w:val="21"/>
        </w:rPr>
        <w:t>Human–AI difference lies in jump density and amplitude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(density d=+1.85 — human 12.1 vs AI 7.7 per 100 clauses — clustering gap 5 vs 9), not jump purity — D_excl guardrail passed (cos 0.999 — no circularity).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Intent-Switch Geometric Clustering (v0.83 — four-type conception empirically tested — NEGATED — continuity weak structure retained)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Conception (user)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intent switching has universal geometric types (expand/turn/return/layer — pure form, genre-independent). </w:t>
      </w:r>
      <w:r>
        <w:rPr>
          <w:rFonts w:ascii="Times New Roman" w:hAnsi="Times New Roman" w:eastAsia="宋体"/>
          <w:b/>
          <w:i w:val="0"/>
          <w:sz w:val="21"/>
        </w:rPr>
        <w:t>Empirical test (1626 jump points — 8 geometric features — per-doc 60/40 split — KMeans+GMM+stability — prior rules — criteria S-C1..C3 preregistered) — overall: NEGATED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: silhouette=0.214 (&lt;0.30 — weak-structure band) — but stability cos=0.987 + GMM ARI=0.811 — </w:t>
      </w:r>
      <w:r>
        <w:rPr>
          <w:rFonts w:ascii="Times New Roman" w:hAnsi="Times New Roman" w:eastAsia="宋体"/>
          <w:b/>
          <w:i w:val="0"/>
          <w:sz w:val="20"/>
        </w:rPr>
        <w:t>"switch geometry has stable continuous structure but no discrete types"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four types are a cognitive conception, not a data-clusterable fact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: four-type rule residual 25% (turn type only ~6%)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: no human/AI four-type distribution difference (χ² p=0.42 — all type proportion gaps &lt;0.04 — "humans turn more / AI expands more" does not hold)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Methodological contributions (retained)</w:t>
      </w:r>
      <w:r>
        <w:rPr>
          <w:rFonts w:ascii="Times New Roman" w:hAnsi="Times New Roman" w:eastAsia="宋体"/>
          <w:b w:val="0"/>
          <w:i w:val="0"/>
          <w:sz w:val="21"/>
        </w:rPr>
        <w:t>: ①</w:t>
      </w:r>
      <w:r>
        <w:rPr>
          <w:rFonts w:ascii="Times New Roman" w:hAnsi="Times New Roman" w:eastAsia="宋体"/>
          <w:b/>
          <w:i w:val="0"/>
          <w:sz w:val="21"/>
        </w:rPr>
        <w:t>64-dim full-space direction angles suffer high-dim degeneracy</w:t>
      </w:r>
      <w:r>
        <w:rPr>
          <w:rFonts w:ascii="Times New Roman" w:hAnsi="Times New Roman" w:eastAsia="宋体"/>
          <w:b w:val="0"/>
          <w:i w:val="0"/>
          <w:sz w:val="21"/>
        </w:rPr>
        <w:t xml:space="preserve"> (random vectors near-orthogonal — all switch angles ~90°) — direction/return dimensions MUST be measured in the </w:t>
      </w:r>
      <w:r>
        <w:rPr>
          <w:rFonts w:ascii="Times New Roman" w:hAnsi="Times New Roman" w:eastAsia="宋体"/>
          <w:b/>
          <w:i w:val="0"/>
          <w:sz w:val="21"/>
        </w:rPr>
        <w:t>(D,E2) low-dim manifold projection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(after fix θ_switch 18–93° has discrimination) — the low-dim-projection principle for all future angular analyses; ②</w:t>
      </w:r>
      <w:r>
        <w:rPr>
          <w:rFonts w:ascii="Times New Roman" w:hAnsi="Times New Roman" w:eastAsia="宋体"/>
          <w:b/>
          <w:i w:val="0"/>
          <w:sz w:val="21"/>
        </w:rPr>
        <w:t>document-order split trap</w:t>
      </w:r>
      <w:r>
        <w:rPr>
          <w:rFonts w:ascii="Times New Roman" w:hAnsi="Times New Roman" w:eastAsia="宋体"/>
          <w:b w:val="0"/>
          <w:i w:val="0"/>
          <w:sz w:val="21"/>
        </w:rPr>
        <w:t xml:space="preserve"> (sequential split → evaluation set all-AI — per-doc split fix); ③</w:t>
      </w:r>
      <w:r>
        <w:rPr>
          <w:rFonts w:ascii="Times New Roman" w:hAnsi="Times New Roman" w:eastAsia="宋体"/>
          <w:b/>
          <w:i w:val="0"/>
          <w:sz w:val="21"/>
        </w:rPr>
        <w:t>turn type (large-angle no-return) is rare (~6%)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switch-type distribution itself carries information (most switches are small-angle or return — "thoughts turn less than imagined").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Spectrum-Feature Priority Ranking (v0.84 — partially upheld — F1/F3 verified as priority)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Task (user design)</w:t>
      </w:r>
      <w:r>
        <w:rPr>
          <w:rFonts w:ascii="Times New Roman" w:hAnsi="Times New Roman" w:eastAsia="宋体"/>
          <w:b w:val="0"/>
          <w:i w:val="0"/>
          <w:sz w:val="21"/>
        </w:rPr>
        <w:t>: systematic comparison of 9 mathematical features (F1 α distribution / F2 ε distribution / F3 ratio_unit / F4 velocity autocorrelation / F5 distribution fit / F6 spectral slope / F7 DFA-Hurst / F8 band energy / F9 spectral entropy) — find features that are measurable/intervenable/embeddable/trainable — four-axis composite (0.4 discrimination + 0.3 intervention + 0.2 embedding + 0.1 training) — criteria S-F1..F3 preregistered.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(partially upheld)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(strong candidates {F1 d=+1.94, F3 d=−3.18, F7 dfa d=−1.13} — F1/F3 priority verified); 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 (F4 lag1 d=−0.31 — "thinking inertia" weak — but </w:t>
      </w:r>
      <w:r>
        <w:rPr>
          <w:rFonts w:ascii="Times New Roman" w:hAnsi="Times New Roman" w:eastAsia="宋体"/>
          <w:b/>
          <w:i w:val="0"/>
          <w:sz w:val="21"/>
        </w:rPr>
        <w:t>lag2 d=+1.02 rhythmicity signal</w:t>
      </w:r>
      <w:r>
        <w:rPr>
          <w:rFonts w:ascii="Times New Roman" w:hAnsi="Times New Roman" w:eastAsia="宋体"/>
          <w:b w:val="0"/>
          <w:i w:val="0"/>
          <w:sz w:val="21"/>
        </w:rPr>
        <w:t xml:space="preserve">); 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(top-3={F3,F1,F2}).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Priority ranking (guides subsequent experiments)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 (0.90)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propulsion concentration — strongest d but shrinks on the independent set (v0.80 direction retained)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distribution (0.76)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along-axis propulsion — stable strong candidate (same source as jump) — </w:t>
      </w:r>
      <w:r>
        <w:rPr>
          <w:rFonts w:ascii="Times New Roman" w:hAnsi="Times New Roman" w:eastAsia="宋体"/>
          <w:b/>
          <w:i w:val="0"/>
          <w:sz w:val="20"/>
        </w:rPr>
        <w:t>F1_mean_signed d=+0.80 (humans advance forward more — direction preference is a signal beyond magnitude)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distribution (0.52)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perpendicular component has NO discrimination (d=−0.11 — ratio_unit's power comes from the parallel component) — constraint only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autocorrelation (0.41)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lag2 d=+1.02 rhythmicity candidate (pending independent validation)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 (0.32)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d=−1.13 but scaling exponent questionable (short-series bias — α_D=0.03 implausibly low)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Frequency domain null</w:t>
      </w:r>
      <w:r>
        <w:rPr>
          <w:rFonts w:ascii="Times New Roman" w:hAnsi="Times New Roman" w:eastAsia="宋体"/>
          <w:b w:val="0"/>
          <w:i w:val="0"/>
          <w:sz w:val="20"/>
        </w:rPr>
        <w:t xml:space="preserve"> (F6/F8/F9 d≈0 — validates "do not engineer frequency features")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</w:t>
      </w:r>
      <w:r>
        <w:rPr>
          <w:rFonts w:ascii="Times New Roman" w:hAnsi="Times New Roman" w:eastAsia="宋体"/>
          <w:b w:val="0"/>
          <w:i w:val="0"/>
          <w:sz w:val="21"/>
        </w:rPr>
        <w:t>: intervention evidence from 201 existing runs offline (vt_gate_beam primary contrast — zero new generation); BH-FDR multiple-comparison correction; preregistered fixed bands; F1 direction-sign subfeatures (review absorbed).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Jump Mechanism and Controllable Variables (v0.82 — why AI jumps less)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Determinism audit</w:t>
      </w:r>
      <w:r>
        <w:rPr>
          <w:rFonts w:ascii="Times New Roman" w:hAnsi="Times New Roman" w:eastAsia="宋体"/>
          <w:b w:val="0"/>
          <w:i w:val="0"/>
          <w:sz w:val="21"/>
        </w:rPr>
        <w:t xml:space="preserve">: jump detection is deterministically correct — no segment-boundary confound (80%+ of jumps inside segments), no clause-length bias (ρ≈0), </w:t>
      </w:r>
      <w:r>
        <w:rPr>
          <w:rFonts w:ascii="Times New Roman" w:hAnsi="Times New Roman" w:eastAsia="宋体"/>
          <w:b/>
          <w:i w:val="0"/>
          <w:sz w:val="21"/>
        </w:rPr>
        <w:t>jump-dominant dims = [11,13,17,36,42,55...] (identical human/AI — overlapping the axis top-dims — jumps are along-axis propulsion confirmed)</w:t>
      </w:r>
      <w:r>
        <w:rPr>
          <w:rFonts w:ascii="Times New Roman" w:hAnsi="Times New Roman" w:eastAsia="宋体"/>
          <w:b w:val="0"/>
          <w:i w:val="0"/>
          <w:sz w:val="21"/>
        </w:rPr>
        <w:t>, model factor small (DS 7.4 vs Qwen 8.1 per 100 clauses — "AI jumps less" is a paradigm-wide property), semantic validation = real content turns (character introduction / dialogue switch / scene transition).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Controllable variables (mechanism chain closed)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search: −39% jump density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(9.88→6.04 per 100 clauses — deterministic selection smooths trajectories)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virtual-token injection: +37%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(9.88→13.51)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temperature: no significant monotonic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 (8-run sweep 0.6–1.5 — Spearman p=0.77 — non-monotonic — weak/uncertain)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Language organization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: AI clauses shorter (9.9 vs 12.1), fewer pronouns (weak reference chains), half the connectives — yet </w:t>
      </w:r>
      <w:r>
        <w:rPr>
          <w:rFonts w:ascii="Times New Roman" w:hAnsi="Times New Roman" w:eastAsia="宋体"/>
          <w:b/>
          <w:i w:val="0"/>
          <w:sz w:val="20"/>
        </w:rPr>
        <w:t>higher lexical diversity (0.972 vs 0.963) with fewer jumps — "static lexical diversity vs dynamic trajectory propulsion" separation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AI's ornamentation lives in the lexical (static) layer, its propulsion deficit in the trajectory (dynamic) layer — char_diversity×jump-density ρ=+0.33 (p&lt;0.001)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</w:t>
      </w:r>
      <w:r>
        <w:rPr>
          <w:rFonts w:ascii="Times New Roman" w:hAnsi="Times New Roman" w:eastAsia="宋体"/>
          <w:b w:val="0"/>
          <w:i w:val="0"/>
          <w:sz w:val="20"/>
        </w:rPr>
        <w:t xml:space="preserve">: "AI jumps less" = sampling determinism (beam-class strategies) + weakened language organization (short clauses / weak reference / fewer connectives) → missing trajectory propulsion — controllable variables concentrate in </w:t>
      </w:r>
      <w:r>
        <w:rPr>
          <w:rFonts w:ascii="Times New Roman" w:hAnsi="Times New Roman" w:eastAsia="宋体"/>
          <w:b/>
          <w:i w:val="0"/>
          <w:sz w:val="20"/>
        </w:rPr>
        <w:t>decoding-strategy layer (inference-time — beam/vt injection) and loss terms (training-time — engine todo 4)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