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（定律三）——实测组件：卡尔曼门控（预测-分配——r=0.389——意图状态可预测）——波动模式学习为待实现核心。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（轨迹规划器核心——待实现）：从人类语料学习 dim10/dim48（及全 64 维）的目标跳跃度/转折陡度/耦合度分布——作为生成时的目标状态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：根意图（篇核心/外部核心）→ 偏离检测（轨迹与势场距离——句元级）→ 超阈值触发 vt 通道回拉——"自由波动+势场回拉"生成循环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：dim48/dim10 作损失项（φ 与 LM 联合优化——消除 OOD 注入问题）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