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383" w:rsidRDefault="002D0383" w:rsidP="002D0383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深圳</w:t>
      </w:r>
      <w:r>
        <w:rPr>
          <w:rFonts w:ascii="Segoe UI" w:hAnsi="Segoe UI" w:cs="Segoe UI"/>
          <w:color w:val="0F1115"/>
          <w:sz w:val="36"/>
          <w:szCs w:val="36"/>
        </w:rPr>
        <w:t>“</w:t>
      </w:r>
      <w:r>
        <w:rPr>
          <w:rFonts w:ascii="Segoe UI" w:hAnsi="Segoe UI" w:cs="Segoe UI"/>
          <w:color w:val="0F1115"/>
          <w:sz w:val="36"/>
          <w:szCs w:val="36"/>
        </w:rPr>
        <w:t>硬科技</w:t>
      </w:r>
      <w:r>
        <w:rPr>
          <w:rFonts w:ascii="Segoe UI" w:hAnsi="Segoe UI" w:cs="Segoe UI"/>
          <w:color w:val="0F1115"/>
          <w:sz w:val="36"/>
          <w:szCs w:val="36"/>
        </w:rPr>
        <w:t>”</w:t>
      </w:r>
      <w:r>
        <w:rPr>
          <w:rFonts w:ascii="Segoe UI" w:hAnsi="Segoe UI" w:cs="Segoe UI"/>
          <w:color w:val="0F1115"/>
          <w:sz w:val="36"/>
          <w:szCs w:val="36"/>
        </w:rPr>
        <w:t>游戏版图的隐形战争</w:t>
      </w:r>
      <w:r>
        <w:rPr>
          <w:rFonts w:ascii="Segoe UI" w:hAnsi="Segoe UI" w:cs="Segoe UI"/>
          <w:color w:val="0F1115"/>
          <w:sz w:val="36"/>
          <w:szCs w:val="36"/>
        </w:rPr>
        <w:t xml:space="preserve"> ——</w:t>
      </w:r>
      <w:r>
        <w:rPr>
          <w:rFonts w:ascii="Segoe UI" w:hAnsi="Segoe UI" w:cs="Segoe UI"/>
          <w:color w:val="0F1115"/>
          <w:sz w:val="36"/>
          <w:szCs w:val="36"/>
        </w:rPr>
        <w:t>期末大作业文档（终版）</w:t>
      </w:r>
    </w:p>
    <w:p w:rsidR="002D0383" w:rsidRDefault="002D0383" w:rsidP="002D0383">
      <w:pPr>
        <w:spacing w:before="480" w:after="480"/>
        <w:rPr>
          <w:rFonts w:ascii="宋体" w:hAnsi="宋体" w:cs="宋体"/>
          <w:sz w:val="24"/>
          <w:szCs w:val="24"/>
        </w:rPr>
      </w:pPr>
      <w:r>
        <w:pict>
          <v:rect id="_x0000_i1025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一、主题分析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1.1 </w:t>
      </w:r>
      <w:r>
        <w:rPr>
          <w:rFonts w:ascii="Segoe UI" w:hAnsi="Segoe UI" w:cs="Segoe UI"/>
          <w:color w:val="0F1115"/>
          <w:sz w:val="30"/>
          <w:szCs w:val="30"/>
        </w:rPr>
        <w:t>核心分析问题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深圳被誉为中国游戏产业的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半壁江山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，坐</w:t>
      </w:r>
      <w:proofErr w:type="gramStart"/>
      <w:r>
        <w:rPr>
          <w:rFonts w:ascii="Segoe UI" w:hAnsi="Segoe UI" w:cs="Segoe UI"/>
          <w:color w:val="0F1115"/>
        </w:rPr>
        <w:t>拥腾讯、创梦</w:t>
      </w:r>
      <w:proofErr w:type="gramEnd"/>
      <w:r>
        <w:rPr>
          <w:rFonts w:ascii="Segoe UI" w:hAnsi="Segoe UI" w:cs="Segoe UI"/>
          <w:color w:val="0F1115"/>
        </w:rPr>
        <w:t>天地等头部企业，但在这座科技之城的各个角落，游戏企业的真实生存图景究竟如何？是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大厂通吃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的寡头格局，还是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百花齐放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的生态繁荣？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本作品围绕以下四个核心问题展开探究：</w:t>
      </w:r>
    </w:p>
    <w:p w:rsidR="002D0383" w:rsidRDefault="002D0383" w:rsidP="002D038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42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空间分布</w:t>
      </w:r>
      <w:r>
        <w:rPr>
          <w:rFonts w:ascii="Segoe UI" w:hAnsi="Segoe UI" w:cs="Segoe UI"/>
          <w:color w:val="0F1115"/>
        </w:rPr>
        <w:t>：深圳各区游戏企业的数量分布呈现怎样的地理特征？</w:t>
      </w:r>
    </w:p>
    <w:p w:rsidR="002D0383" w:rsidRDefault="002D0383" w:rsidP="002D038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42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资本结构</w:t>
      </w:r>
      <w:r>
        <w:rPr>
          <w:rFonts w:ascii="Segoe UI" w:hAnsi="Segoe UI" w:cs="Segoe UI"/>
          <w:color w:val="0F1115"/>
        </w:rPr>
        <w:t>：企业的注册资本与实缴资本之间存在怎样的关联与落差？</w:t>
      </w:r>
    </w:p>
    <w:p w:rsidR="002D0383" w:rsidRDefault="002D0383" w:rsidP="002D038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42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生存状态</w:t>
      </w:r>
      <w:r>
        <w:rPr>
          <w:rFonts w:ascii="Segoe UI" w:hAnsi="Segoe UI" w:cs="Segoe UI"/>
          <w:color w:val="0F1115"/>
        </w:rPr>
        <w:t>：不同区域、不同规模企业的存活健康度与成熟度如何？</w:t>
      </w:r>
    </w:p>
    <w:p w:rsidR="002D0383" w:rsidRDefault="002D0383" w:rsidP="002D038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42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投资价值</w:t>
      </w:r>
      <w:r>
        <w:rPr>
          <w:rFonts w:ascii="Segoe UI" w:hAnsi="Segoe UI" w:cs="Segoe UI"/>
          <w:color w:val="0F1115"/>
        </w:rPr>
        <w:t>：基于上述分析，如何在深圳合理规划游戏产业投资？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1.2 </w:t>
      </w:r>
      <w:r>
        <w:rPr>
          <w:rFonts w:ascii="Segoe UI" w:hAnsi="Segoe UI" w:cs="Segoe UI"/>
          <w:color w:val="0F1115"/>
          <w:sz w:val="30"/>
          <w:szCs w:val="30"/>
        </w:rPr>
        <w:t>目标受众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5208"/>
        <w:gridCol w:w="3468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受众群体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关注重点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使用场景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游戏产业投资者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投资回报、区域选择、企业质量评估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投资决策前的尽职调查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政府产业规划部门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产业分布、政策扶持方向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产业政策制定与资源分配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游戏行业创业者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竞争对手分析、区位选择参考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创业选址与战略定位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学术研究者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产业集聚规律、企业生存模型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产业经济学研究</w:t>
            </w:r>
          </w:p>
        </w:tc>
      </w:tr>
    </w:tbl>
    <w:p w:rsidR="002D0383" w:rsidRDefault="002D0383" w:rsidP="002D0383">
      <w:pPr>
        <w:spacing w:before="480" w:after="480"/>
        <w:rPr>
          <w:rFonts w:ascii="宋体" w:hAnsi="宋体" w:cs="宋体"/>
          <w:sz w:val="24"/>
          <w:szCs w:val="24"/>
        </w:rPr>
      </w:pPr>
      <w:r>
        <w:pict>
          <v:rect id="_x0000_i1026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二、数据说明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2.1 </w:t>
      </w:r>
      <w:r>
        <w:rPr>
          <w:rFonts w:ascii="Segoe UI" w:hAnsi="Segoe UI" w:cs="Segoe UI"/>
          <w:color w:val="0F1115"/>
          <w:sz w:val="30"/>
          <w:szCs w:val="30"/>
        </w:rPr>
        <w:t>数据来源与获取方式</w:t>
      </w:r>
    </w:p>
    <w:p w:rsidR="002D0383" w:rsidRDefault="002D0383" w:rsidP="002D038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来源平台</w:t>
      </w:r>
      <w:r>
        <w:rPr>
          <w:rFonts w:ascii="Segoe UI" w:hAnsi="Segoe UI" w:cs="Segoe UI"/>
          <w:color w:val="0F1115"/>
        </w:rPr>
        <w:t>：</w:t>
      </w:r>
      <w:proofErr w:type="gramStart"/>
      <w:r>
        <w:rPr>
          <w:rFonts w:ascii="Segoe UI" w:hAnsi="Segoe UI" w:cs="Segoe UI"/>
          <w:color w:val="0F1115"/>
        </w:rPr>
        <w:t>爱企查</w:t>
      </w:r>
      <w:proofErr w:type="gramEnd"/>
      <w:r>
        <w:rPr>
          <w:rFonts w:ascii="Segoe UI" w:hAnsi="Segoe UI" w:cs="Segoe UI"/>
          <w:color w:val="0F1115"/>
        </w:rPr>
        <w:t>企业信息查询平台</w:t>
      </w:r>
    </w:p>
    <w:p w:rsidR="002D0383" w:rsidRDefault="002D0383" w:rsidP="002D038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获取方式</w:t>
      </w:r>
      <w:r>
        <w:rPr>
          <w:rFonts w:ascii="Segoe UI" w:hAnsi="Segoe UI" w:cs="Segoe UI"/>
          <w:color w:val="0F1115"/>
        </w:rPr>
        <w:t>：通过关键词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游戏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及关联行业标签（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游戏开发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游戏运营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游戏发行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网络游戏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手机游戏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等）进行检索</w:t>
      </w:r>
    </w:p>
    <w:p w:rsidR="002D0383" w:rsidRDefault="002D0383" w:rsidP="002D038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数据规模</w:t>
      </w:r>
      <w:r>
        <w:rPr>
          <w:rFonts w:ascii="Segoe UI" w:hAnsi="Segoe UI" w:cs="Segoe UI"/>
          <w:color w:val="0F1115"/>
        </w:rPr>
        <w:t>：从检索结果中按分层抽样方法，选取了</w:t>
      </w:r>
      <w:r>
        <w:rPr>
          <w:rFonts w:ascii="Segoe UI" w:hAnsi="Segoe UI" w:cs="Segoe UI"/>
          <w:color w:val="0F1115"/>
        </w:rPr>
        <w:t>10,000</w:t>
      </w:r>
      <w:r>
        <w:rPr>
          <w:rFonts w:ascii="Segoe UI" w:hAnsi="Segoe UI" w:cs="Segoe UI"/>
          <w:color w:val="0F1115"/>
        </w:rPr>
        <w:t>条深圳市游戏企业数据</w:t>
      </w:r>
    </w:p>
    <w:p w:rsidR="002D0383" w:rsidRDefault="002D0383" w:rsidP="002D038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抽样策略</w:t>
      </w:r>
      <w:r>
        <w:rPr>
          <w:rFonts w:ascii="Segoe UI" w:hAnsi="Segoe UI" w:cs="Segoe UI"/>
          <w:color w:val="0F1115"/>
        </w:rPr>
        <w:t>：兼顾各区县分布，确保样本具有一定的区域代表性</w:t>
      </w:r>
    </w:p>
    <w:p w:rsidR="002D0383" w:rsidRDefault="002D0383" w:rsidP="002D038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导出格式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CSV</w:t>
      </w:r>
      <w:r>
        <w:rPr>
          <w:rFonts w:ascii="Segoe UI" w:hAnsi="Segoe UI" w:cs="Segoe UI"/>
          <w:color w:val="0F1115"/>
        </w:rPr>
        <w:t>原始数据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经</w:t>
      </w:r>
      <w:r>
        <w:rPr>
          <w:rFonts w:ascii="Segoe UI" w:hAnsi="Segoe UI" w:cs="Segoe UI"/>
          <w:color w:val="0F1115"/>
        </w:rPr>
        <w:t>Python</w:t>
      </w:r>
      <w:r>
        <w:rPr>
          <w:rFonts w:ascii="Segoe UI" w:hAnsi="Segoe UI" w:cs="Segoe UI"/>
          <w:color w:val="0F1115"/>
        </w:rPr>
        <w:t>脚本清洗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输出为</w:t>
      </w:r>
      <w:r>
        <w:rPr>
          <w:rFonts w:ascii="Segoe UI" w:hAnsi="Segoe UI" w:cs="Segoe UI"/>
          <w:color w:val="0F1115"/>
        </w:rPr>
        <w:t>JSON</w:t>
      </w:r>
      <w:r>
        <w:rPr>
          <w:rFonts w:ascii="Segoe UI" w:hAnsi="Segoe UI" w:cs="Segoe UI"/>
          <w:color w:val="0F1115"/>
        </w:rPr>
        <w:t>格式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2.2 </w:t>
      </w:r>
      <w:r>
        <w:rPr>
          <w:rFonts w:ascii="Segoe UI" w:hAnsi="Segoe UI" w:cs="Segoe UI"/>
          <w:color w:val="0F1115"/>
          <w:sz w:val="30"/>
          <w:szCs w:val="30"/>
        </w:rPr>
        <w:t>字段定义与数据字典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027"/>
        <w:gridCol w:w="2071"/>
        <w:gridCol w:w="2985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字段含义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示例值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企业名称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企业工商注册全称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深圳市腾讯计算机系统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有限公司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经营状态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企业当前经营状态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存续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开业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注销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吊销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法定代表人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法定代表人姓名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马化腾</w:t>
            </w:r>
            <w:proofErr w:type="gramEnd"/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注册资本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String/Numeric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注册资本（万元）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6500</w:t>
            </w:r>
            <w:r>
              <w:rPr>
                <w:rFonts w:ascii="Segoe UI" w:hAnsi="Segoe UI" w:cs="Segoe UI"/>
                <w:sz w:val="23"/>
                <w:szCs w:val="23"/>
              </w:rPr>
              <w:t>万人民币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实缴资本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String/Numeric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实缴资本（万元）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6500</w:t>
            </w:r>
            <w:r>
              <w:rPr>
                <w:rFonts w:ascii="Segoe UI" w:hAnsi="Segoe UI" w:cs="Segoe UI"/>
                <w:sz w:val="23"/>
                <w:szCs w:val="23"/>
              </w:rPr>
              <w:t>万人民币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成立日期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企业成立日期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1998-11-11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核准日期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最新核准日期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2025-03-15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所属省份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注册地省份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广东省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所属城市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注册地城市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深圳市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所属区县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注册地区县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南山区</w:t>
            </w:r>
          </w:p>
        </w:tc>
      </w:tr>
    </w:tbl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2.3 </w:t>
      </w:r>
      <w:r>
        <w:rPr>
          <w:rFonts w:ascii="Segoe UI" w:hAnsi="Segoe UI" w:cs="Segoe UI"/>
          <w:color w:val="0F1115"/>
          <w:sz w:val="30"/>
          <w:szCs w:val="30"/>
        </w:rPr>
        <w:t>数据清洗与预处理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清洗流程</w:t>
      </w:r>
      <w:r>
        <w:rPr>
          <w:rFonts w:ascii="Segoe UI" w:hAnsi="Segoe UI" w:cs="Segoe UI"/>
          <w:color w:val="0F1115"/>
        </w:rPr>
        <w:t>：</w:t>
      </w:r>
    </w:p>
    <w:p w:rsidR="002D0383" w:rsidRDefault="002D0383" w:rsidP="002D038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a4"/>
          <w:rFonts w:ascii="Segoe UI" w:hAnsi="Segoe UI" w:cs="Segoe UI"/>
          <w:color w:val="0F1115"/>
        </w:rPr>
        <w:t>缺失值</w:t>
      </w:r>
      <w:proofErr w:type="gramEnd"/>
      <w:r>
        <w:rPr>
          <w:rStyle w:val="a4"/>
          <w:rFonts w:ascii="Segoe UI" w:hAnsi="Segoe UI" w:cs="Segoe UI"/>
          <w:color w:val="0F1115"/>
        </w:rPr>
        <w:t>处理</w:t>
      </w:r>
      <w:r>
        <w:rPr>
          <w:rFonts w:ascii="Segoe UI" w:hAnsi="Segoe UI" w:cs="Segoe UI"/>
          <w:color w:val="0F1115"/>
        </w:rPr>
        <w:t>：删除关键字段（企业名称、注册资本）缺失的记录</w:t>
      </w:r>
    </w:p>
    <w:p w:rsidR="002D0383" w:rsidRDefault="002D0383" w:rsidP="002D038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格式标准化</w:t>
      </w:r>
      <w:r>
        <w:rPr>
          <w:rFonts w:ascii="Segoe UI" w:hAnsi="Segoe UI" w:cs="Segoe UI"/>
          <w:color w:val="0F1115"/>
        </w:rPr>
        <w:t>：</w:t>
      </w:r>
    </w:p>
    <w:p w:rsidR="002D0383" w:rsidRDefault="002D0383" w:rsidP="002D038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注册资本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实缴资本：统一转换为以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万元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为单位的数值型数据</w:t>
      </w:r>
    </w:p>
    <w:p w:rsidR="002D0383" w:rsidRDefault="002D0383" w:rsidP="002D038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日期字段：统一为</w:t>
      </w:r>
      <w:r>
        <w:rPr>
          <w:rFonts w:ascii="Segoe UI" w:hAnsi="Segoe UI" w:cs="Segoe UI"/>
          <w:color w:val="0F1115"/>
        </w:rPr>
        <w:t>YYYY-MM-DD</w:t>
      </w:r>
      <w:r>
        <w:rPr>
          <w:rFonts w:ascii="Segoe UI" w:hAnsi="Segoe UI" w:cs="Segoe UI"/>
          <w:color w:val="0F1115"/>
        </w:rPr>
        <w:t>格式</w:t>
      </w:r>
    </w:p>
    <w:p w:rsidR="002D0383" w:rsidRDefault="002D0383" w:rsidP="002D038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状态字段：统一映射为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存续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开业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注销</w:t>
      </w:r>
      <w:r>
        <w:rPr>
          <w:rFonts w:ascii="Segoe UI" w:hAnsi="Segoe UI" w:cs="Segoe UI"/>
          <w:color w:val="0F1115"/>
        </w:rPr>
        <w:t>”“</w:t>
      </w:r>
      <w:r>
        <w:rPr>
          <w:rFonts w:ascii="Segoe UI" w:hAnsi="Segoe UI" w:cs="Segoe UI"/>
          <w:color w:val="0F1115"/>
        </w:rPr>
        <w:t>吊销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四类</w:t>
      </w:r>
    </w:p>
    <w:p w:rsidR="002D0383" w:rsidRDefault="002D0383" w:rsidP="002D038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异常值检测</w:t>
      </w:r>
      <w:r>
        <w:rPr>
          <w:rFonts w:ascii="Segoe UI" w:hAnsi="Segoe UI" w:cs="Segoe UI"/>
          <w:color w:val="0F1115"/>
        </w:rPr>
        <w:t>：</w:t>
      </w:r>
    </w:p>
    <w:p w:rsidR="002D0383" w:rsidRDefault="002D0383" w:rsidP="002D038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注册资本</w:t>
      </w:r>
      <w:r>
        <w:rPr>
          <w:rFonts w:ascii="Segoe UI" w:hAnsi="Segoe UI" w:cs="Segoe UI"/>
          <w:color w:val="0F1115"/>
        </w:rPr>
        <w:t>≤0</w:t>
      </w:r>
      <w:r>
        <w:rPr>
          <w:rFonts w:ascii="Segoe UI" w:hAnsi="Segoe UI" w:cs="Segoe UI"/>
          <w:color w:val="0F1115"/>
        </w:rPr>
        <w:t>的记录予以剔除</w:t>
      </w:r>
    </w:p>
    <w:p w:rsidR="002D0383" w:rsidRDefault="002D0383" w:rsidP="002D038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成立日期早于</w:t>
      </w:r>
      <w:r>
        <w:rPr>
          <w:rFonts w:ascii="Segoe UI" w:hAnsi="Segoe UI" w:cs="Segoe UI"/>
          <w:color w:val="0F1115"/>
        </w:rPr>
        <w:t>1970</w:t>
      </w:r>
      <w:r>
        <w:rPr>
          <w:rFonts w:ascii="Segoe UI" w:hAnsi="Segoe UI" w:cs="Segoe UI"/>
          <w:color w:val="0F1115"/>
        </w:rPr>
        <w:t>年或晚于</w:t>
      </w:r>
      <w:r>
        <w:rPr>
          <w:rFonts w:ascii="Segoe UI" w:hAnsi="Segoe UI" w:cs="Segoe UI"/>
          <w:color w:val="0F1115"/>
        </w:rPr>
        <w:t>2026</w:t>
      </w:r>
      <w:r>
        <w:rPr>
          <w:rFonts w:ascii="Segoe UI" w:hAnsi="Segoe UI" w:cs="Segoe UI"/>
          <w:color w:val="0F1115"/>
        </w:rPr>
        <w:t>年的进行人工复核</w:t>
      </w:r>
    </w:p>
    <w:p w:rsidR="002D0383" w:rsidRDefault="002D0383" w:rsidP="002D038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去重处理</w:t>
      </w:r>
      <w:r>
        <w:rPr>
          <w:rFonts w:ascii="Segoe UI" w:hAnsi="Segoe UI" w:cs="Segoe UI"/>
          <w:color w:val="0F1115"/>
        </w:rPr>
        <w:t>：以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企业名称</w:t>
      </w:r>
      <w:r>
        <w:rPr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>法定代表人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为组合键去除重复记录</w:t>
      </w:r>
    </w:p>
    <w:p w:rsidR="002D0383" w:rsidRDefault="002D0383" w:rsidP="002D038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数据脱敏</w:t>
      </w:r>
      <w:r>
        <w:rPr>
          <w:rFonts w:ascii="Segoe UI" w:hAnsi="Segoe UI" w:cs="Segoe UI"/>
          <w:color w:val="0F1115"/>
        </w:rPr>
        <w:t>：法定代表人姓名进行部分脱敏处理，保护个人隐私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清洗后数据规模</w:t>
      </w:r>
      <w:r>
        <w:rPr>
          <w:rFonts w:ascii="Segoe UI" w:hAnsi="Segoe UI" w:cs="Segoe UI"/>
          <w:color w:val="0F1115"/>
        </w:rPr>
        <w:t>：</w:t>
      </w:r>
    </w:p>
    <w:p w:rsidR="002D0383" w:rsidRDefault="002D0383" w:rsidP="002D038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原始记录数：</w:t>
      </w:r>
      <w:r>
        <w:rPr>
          <w:rFonts w:ascii="Segoe UI" w:hAnsi="Segoe UI" w:cs="Segoe UI"/>
          <w:color w:val="0F1115"/>
        </w:rPr>
        <w:t>10,000</w:t>
      </w:r>
      <w:r>
        <w:rPr>
          <w:rFonts w:ascii="Segoe UI" w:hAnsi="Segoe UI" w:cs="Segoe UI"/>
          <w:color w:val="0F1115"/>
        </w:rPr>
        <w:t>条</w:t>
      </w:r>
    </w:p>
    <w:p w:rsidR="002D0383" w:rsidRDefault="002D0383" w:rsidP="002D038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清洗后有效记录：</w:t>
      </w:r>
      <w:r>
        <w:rPr>
          <w:rFonts w:ascii="Segoe UI" w:hAnsi="Segoe UI" w:cs="Segoe UI"/>
          <w:color w:val="0F1115"/>
        </w:rPr>
        <w:t>9,856</w:t>
      </w:r>
      <w:r>
        <w:rPr>
          <w:rFonts w:ascii="Segoe UI" w:hAnsi="Segoe UI" w:cs="Segoe UI"/>
          <w:color w:val="0F1115"/>
        </w:rPr>
        <w:t>条</w:t>
      </w:r>
    </w:p>
    <w:p w:rsidR="002D0383" w:rsidRDefault="002D0383" w:rsidP="002D038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数据完整率：</w:t>
      </w:r>
      <w:r>
        <w:rPr>
          <w:rFonts w:ascii="Segoe UI" w:hAnsi="Segoe UI" w:cs="Segoe UI"/>
          <w:color w:val="0F1115"/>
        </w:rPr>
        <w:t>98.56%</w:t>
      </w:r>
    </w:p>
    <w:p w:rsidR="002D0383" w:rsidRDefault="002D0383" w:rsidP="002D0383">
      <w:pPr>
        <w:spacing w:before="480" w:after="480"/>
        <w:rPr>
          <w:rFonts w:ascii="宋体" w:hAnsi="宋体" w:cs="宋体"/>
        </w:rPr>
      </w:pPr>
      <w:r>
        <w:pict>
          <v:rect id="_x0000_i1027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三、初始版本（基础图表选型）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3.1 </w:t>
      </w:r>
      <w:r>
        <w:rPr>
          <w:rFonts w:ascii="Segoe UI" w:hAnsi="Segoe UI" w:cs="Segoe UI"/>
          <w:color w:val="0F1115"/>
          <w:sz w:val="30"/>
          <w:szCs w:val="30"/>
        </w:rPr>
        <w:t>图表选型与设计理念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275"/>
        <w:gridCol w:w="6568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图表类型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使用场景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设计理念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柱状图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各区企业数量对比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直观展示区域分布差异，突出头部区域的集聚效应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饼图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各区企业占比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补充呈现市场份额结构，辅助理解集中度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热力图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深圳地图区域热度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空间可视化，帮助理解地理分布格局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散点图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</w:t>
            </w:r>
            <w:r>
              <w:rPr>
                <w:rFonts w:ascii="Segoe UI" w:hAnsi="Segoe UI" w:cs="Segoe UI"/>
                <w:sz w:val="23"/>
                <w:szCs w:val="23"/>
              </w:rPr>
              <w:t>vs</w:t>
            </w:r>
            <w:r>
              <w:rPr>
                <w:rFonts w:ascii="Segoe UI" w:hAnsi="Segoe UI" w:cs="Segoe UI"/>
                <w:sz w:val="23"/>
                <w:szCs w:val="23"/>
              </w:rPr>
              <w:t>实缴资本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揭示资本结构与企业质量之间的关联</w:t>
            </w:r>
          </w:p>
        </w:tc>
      </w:tr>
    </w:tbl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3.2 </w:t>
      </w:r>
      <w:r>
        <w:rPr>
          <w:rFonts w:ascii="Segoe UI" w:hAnsi="Segoe UI" w:cs="Segoe UI"/>
          <w:color w:val="0F1115"/>
          <w:sz w:val="30"/>
          <w:szCs w:val="30"/>
        </w:rPr>
        <w:t>初始版本实现的核心功能</w:t>
      </w:r>
    </w:p>
    <w:p w:rsidR="002D0383" w:rsidRDefault="002D0383" w:rsidP="002D038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基础数据展示</w:t>
      </w:r>
      <w:r>
        <w:rPr>
          <w:rFonts w:ascii="Segoe UI" w:hAnsi="Segoe UI" w:cs="Segoe UI"/>
          <w:color w:val="0F1115"/>
        </w:rPr>
        <w:t>：各图表独立呈现对应维度的数据</w:t>
      </w:r>
    </w:p>
    <w:p w:rsidR="002D0383" w:rsidRDefault="002D0383" w:rsidP="002D038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静态对比分析</w:t>
      </w:r>
      <w:r>
        <w:rPr>
          <w:rFonts w:ascii="Segoe UI" w:hAnsi="Segoe UI" w:cs="Segoe UI"/>
          <w:color w:val="0F1115"/>
        </w:rPr>
        <w:t>：柱状图</w:t>
      </w:r>
      <w:proofErr w:type="gramStart"/>
      <w:r>
        <w:rPr>
          <w:rFonts w:ascii="Segoe UI" w:hAnsi="Segoe UI" w:cs="Segoe UI"/>
          <w:color w:val="0F1115"/>
        </w:rPr>
        <w:t>与饼图提供</w:t>
      </w:r>
      <w:proofErr w:type="gramEnd"/>
      <w:r>
        <w:rPr>
          <w:rFonts w:ascii="Segoe UI" w:hAnsi="Segoe UI" w:cs="Segoe UI"/>
          <w:color w:val="0F1115"/>
        </w:rPr>
        <w:t>区域对比</w:t>
      </w:r>
    </w:p>
    <w:p w:rsidR="002D0383" w:rsidRDefault="002D0383" w:rsidP="002D038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地理分布映射</w:t>
      </w:r>
      <w:r>
        <w:rPr>
          <w:rFonts w:ascii="Segoe UI" w:hAnsi="Segoe UI" w:cs="Segoe UI"/>
          <w:color w:val="0F1115"/>
        </w:rPr>
        <w:t>：热力地图展示企业密度</w:t>
      </w:r>
    </w:p>
    <w:p w:rsidR="002D0383" w:rsidRDefault="002D0383" w:rsidP="002D038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资本结构透视</w:t>
      </w:r>
      <w:r>
        <w:rPr>
          <w:rFonts w:ascii="Segoe UI" w:hAnsi="Segoe UI" w:cs="Segoe UI"/>
          <w:color w:val="0F1115"/>
        </w:rPr>
        <w:t>：散点图展示注册资本与实缴资本的关系</w:t>
      </w:r>
    </w:p>
    <w:p w:rsidR="002D0383" w:rsidRDefault="002D0383" w:rsidP="002D0383">
      <w:pPr>
        <w:spacing w:before="480" w:after="480"/>
        <w:rPr>
          <w:rFonts w:ascii="宋体" w:hAnsi="宋体" w:cs="宋体"/>
        </w:rPr>
      </w:pPr>
      <w:r>
        <w:lastRenderedPageBreak/>
        <w:pict>
          <v:rect id="_x0000_i1028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四、第一次优化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4.1 </w:t>
      </w:r>
      <w:r>
        <w:rPr>
          <w:rFonts w:ascii="Segoe UI" w:hAnsi="Segoe UI" w:cs="Segoe UI"/>
          <w:color w:val="0F1115"/>
          <w:sz w:val="30"/>
          <w:szCs w:val="30"/>
        </w:rPr>
        <w:t>上一版本的核心痛点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11"/>
        <w:gridCol w:w="2007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痛点编号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具体问题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影响程度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各图表相互独立，缺乏联动交互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★★★★★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地图与柱状图均为静态展示，无法聚焦特定区域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★★★★☆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无法进行多维度筛选和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框选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★★★★☆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雷达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图数据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固定，无法根据用户选择动态更新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★★★☆☆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缺乏对企业详细信息的穿透查看能力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★★★☆☆</w:t>
            </w:r>
          </w:p>
        </w:tc>
      </w:tr>
    </w:tbl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4.2 </w:t>
      </w:r>
      <w:r>
        <w:rPr>
          <w:rFonts w:ascii="Segoe UI" w:hAnsi="Segoe UI" w:cs="Segoe UI"/>
          <w:color w:val="0F1115"/>
          <w:sz w:val="30"/>
          <w:szCs w:val="30"/>
        </w:rPr>
        <w:t>具体的优化手段与交互逻辑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优化策略</w:t>
      </w:r>
      <w:proofErr w:type="gramStart"/>
      <w:r>
        <w:rPr>
          <w:rStyle w:val="a4"/>
          <w:rFonts w:ascii="Segoe UI" w:hAnsi="Segoe UI" w:cs="Segoe UI"/>
          <w:color w:val="0F1115"/>
        </w:rPr>
        <w:t>一</w:t>
      </w:r>
      <w:proofErr w:type="gramEnd"/>
      <w:r>
        <w:rPr>
          <w:rStyle w:val="a4"/>
          <w:rFonts w:ascii="Segoe UI" w:hAnsi="Segoe UI" w:cs="Segoe UI"/>
          <w:color w:val="0F1115"/>
        </w:rPr>
        <w:t>：建立图表联动机制</w:t>
      </w:r>
    </w:p>
    <w:p w:rsidR="002D0383" w:rsidRDefault="002D0383" w:rsidP="002D038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2D0383" w:rsidRDefault="002D0383" w:rsidP="002D0383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柱状图点击</w:t>
      </w:r>
      <w:r>
        <w:rPr>
          <w:rFonts w:ascii="Consolas" w:hAnsi="Consolas"/>
          <w:color w:val="0F1115"/>
          <w:sz w:val="20"/>
          <w:szCs w:val="20"/>
        </w:rPr>
        <w:t xml:space="preserve"> → </w:t>
      </w:r>
      <w:r>
        <w:rPr>
          <w:rFonts w:ascii="Consolas" w:hAnsi="Consolas"/>
          <w:color w:val="0F1115"/>
          <w:sz w:val="20"/>
          <w:szCs w:val="20"/>
        </w:rPr>
        <w:t>触发地图高亮</w:t>
      </w:r>
      <w:r>
        <w:rPr>
          <w:rFonts w:ascii="Consolas" w:hAnsi="Consolas"/>
          <w:color w:val="0F1115"/>
          <w:sz w:val="20"/>
          <w:szCs w:val="20"/>
        </w:rPr>
        <w:t xml:space="preserve"> &amp; </w:t>
      </w:r>
      <w:r>
        <w:rPr>
          <w:rFonts w:ascii="Consolas" w:hAnsi="Consolas"/>
          <w:color w:val="0F1115"/>
          <w:sz w:val="20"/>
          <w:szCs w:val="20"/>
        </w:rPr>
        <w:t>柱状图高亮</w:t>
      </w:r>
    </w:p>
    <w:p w:rsidR="002D0383" w:rsidRDefault="002D0383" w:rsidP="002D0383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↓</w:t>
      </w:r>
    </w:p>
    <w:p w:rsidR="002D0383" w:rsidRDefault="002D0383" w:rsidP="002D0383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地图高亮对应区域</w:t>
      </w:r>
      <w:r>
        <w:rPr>
          <w:rFonts w:ascii="Consolas" w:hAnsi="Consolas"/>
          <w:color w:val="0F1115"/>
          <w:sz w:val="20"/>
          <w:szCs w:val="20"/>
        </w:rPr>
        <w:t xml:space="preserve"> → </w:t>
      </w:r>
      <w:r>
        <w:rPr>
          <w:rFonts w:ascii="Consolas" w:hAnsi="Consolas"/>
          <w:color w:val="0F1115"/>
          <w:sz w:val="20"/>
          <w:szCs w:val="20"/>
        </w:rPr>
        <w:t>柱状图同步滚动到对应位置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优化策略二：引入</w:t>
      </w:r>
      <w:proofErr w:type="gramStart"/>
      <w:r>
        <w:rPr>
          <w:rStyle w:val="a4"/>
          <w:rFonts w:ascii="Segoe UI" w:hAnsi="Segoe UI" w:cs="Segoe UI"/>
          <w:color w:val="0F1115"/>
        </w:rPr>
        <w:t>智能轮播功能</w:t>
      </w:r>
      <w:proofErr w:type="gramEnd"/>
    </w:p>
    <w:p w:rsidR="002D0383" w:rsidRDefault="002D0383" w:rsidP="002D038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柱状图每</w:t>
      </w:r>
      <w:proofErr w:type="gramEnd"/>
      <w:r>
        <w:rPr>
          <w:rFonts w:ascii="Segoe UI" w:hAnsi="Segoe UI" w:cs="Segoe UI"/>
          <w:color w:val="0F1115"/>
        </w:rPr>
        <w:t>1.5</w:t>
      </w:r>
      <w:r>
        <w:rPr>
          <w:rFonts w:ascii="Segoe UI" w:hAnsi="Segoe UI" w:cs="Segoe UI"/>
          <w:color w:val="0F1115"/>
        </w:rPr>
        <w:t>秒自</w:t>
      </w:r>
      <w:proofErr w:type="gramStart"/>
      <w:r>
        <w:rPr>
          <w:rFonts w:ascii="Segoe UI" w:hAnsi="Segoe UI" w:cs="Segoe UI"/>
          <w:color w:val="0F1115"/>
        </w:rPr>
        <w:t>动轮播高亮</w:t>
      </w:r>
      <w:proofErr w:type="gramEnd"/>
      <w:r>
        <w:rPr>
          <w:rFonts w:ascii="Segoe UI" w:hAnsi="Segoe UI" w:cs="Segoe UI"/>
          <w:color w:val="0F1115"/>
        </w:rPr>
        <w:t>一个区域</w:t>
      </w:r>
    </w:p>
    <w:p w:rsidR="002D0383" w:rsidRDefault="002D0383" w:rsidP="002D038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地图同步高亮对应区域，颜色深浅与数据量正相关</w:t>
      </w:r>
    </w:p>
    <w:p w:rsidR="002D0383" w:rsidRDefault="002D0383" w:rsidP="002D038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用户点击任一区域时暂停轮播，进入手动探索模式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优化策略三：</w:t>
      </w:r>
      <w:proofErr w:type="gramStart"/>
      <w:r>
        <w:rPr>
          <w:rStyle w:val="a4"/>
          <w:rFonts w:ascii="Segoe UI" w:hAnsi="Segoe UI" w:cs="Segoe UI"/>
          <w:color w:val="0F1115"/>
        </w:rPr>
        <w:t>散点图框选</w:t>
      </w:r>
      <w:proofErr w:type="gramEnd"/>
      <w:r>
        <w:rPr>
          <w:rStyle w:val="a4"/>
          <w:rFonts w:ascii="Segoe UI" w:hAnsi="Segoe UI" w:cs="Segoe UI"/>
          <w:color w:val="0F1115"/>
        </w:rPr>
        <w:t>→</w:t>
      </w:r>
      <w:r>
        <w:rPr>
          <w:rStyle w:val="a4"/>
          <w:rFonts w:ascii="Segoe UI" w:hAnsi="Segoe UI" w:cs="Segoe UI"/>
          <w:color w:val="0F1115"/>
        </w:rPr>
        <w:t>雷达图联动</w:t>
      </w:r>
    </w:p>
    <w:p w:rsidR="002D0383" w:rsidRDefault="002D0383" w:rsidP="002D038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在散点图中通过矩形框选或自由多边形选择特定企业群体</w:t>
      </w:r>
    </w:p>
    <w:p w:rsidR="002D0383" w:rsidRDefault="002D0383" w:rsidP="002D038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被选中的企业自动聚合计算五大维度指标</w:t>
      </w:r>
    </w:p>
    <w:p w:rsidR="002D0383" w:rsidRDefault="002D0383" w:rsidP="002D038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雷达图动态更新，红色实线</w:t>
      </w:r>
      <w:proofErr w:type="gramStart"/>
      <w:r>
        <w:rPr>
          <w:rFonts w:ascii="Segoe UI" w:hAnsi="Segoe UI" w:cs="Segoe UI"/>
          <w:color w:val="0F1115"/>
        </w:rPr>
        <w:t>展示框选群体</w:t>
      </w:r>
      <w:proofErr w:type="gramEnd"/>
      <w:r>
        <w:rPr>
          <w:rFonts w:ascii="Segoe UI" w:hAnsi="Segoe UI" w:cs="Segoe UI"/>
          <w:color w:val="0F1115"/>
        </w:rPr>
        <w:t>特征，灰色虚线展示全市均值作为参照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优化策略四：图形化象限标注</w:t>
      </w:r>
    </w:p>
    <w:p w:rsidR="002D0383" w:rsidRDefault="002D0383" w:rsidP="002D03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在散点图中标注四个象限：真巨头、小而美、虚胖玩家、草根起步</w:t>
      </w:r>
    </w:p>
    <w:p w:rsidR="002D0383" w:rsidRDefault="002D0383" w:rsidP="002D03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点击象限区域可弹出该象限的企业名单详情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4.3 </w:t>
      </w:r>
      <w:r>
        <w:rPr>
          <w:rFonts w:ascii="Segoe UI" w:hAnsi="Segoe UI" w:cs="Segoe UI"/>
          <w:color w:val="0F1115"/>
          <w:sz w:val="30"/>
          <w:szCs w:val="30"/>
        </w:rPr>
        <w:t>优化后的效果对比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188"/>
        <w:gridCol w:w="4809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优化前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优化后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交互深度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单图表独立，无联动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四图联动，双向反馈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分析效率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手动逐项对比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智能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轮播</w:t>
            </w:r>
            <w:r>
              <w:rPr>
                <w:rFonts w:ascii="Segoe UI" w:hAnsi="Segoe UI" w:cs="Segoe UI"/>
                <w:sz w:val="23"/>
                <w:szCs w:val="23"/>
              </w:rPr>
              <w:t>+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框选，快速定位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用户参与度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被动观看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主动探索、框选、点击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信息密度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单一维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度展示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多维度聚合分析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洞察深度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表面数据展示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关联分析与异常检测</w:t>
            </w:r>
          </w:p>
        </w:tc>
      </w:tr>
    </w:tbl>
    <w:p w:rsidR="002D0383" w:rsidRDefault="002D0383" w:rsidP="002D0383">
      <w:pPr>
        <w:spacing w:before="480" w:after="480"/>
        <w:rPr>
          <w:rFonts w:ascii="宋体" w:hAnsi="宋体" w:cs="宋体"/>
          <w:sz w:val="24"/>
          <w:szCs w:val="24"/>
        </w:rPr>
      </w:pPr>
      <w:r>
        <w:pict>
          <v:rect id="_x0000_i1029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五、第二次优化（自由优化）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5.1 </w:t>
      </w:r>
      <w:r>
        <w:rPr>
          <w:rFonts w:ascii="Segoe UI" w:hAnsi="Segoe UI" w:cs="Segoe UI"/>
          <w:color w:val="0F1115"/>
          <w:sz w:val="30"/>
          <w:szCs w:val="30"/>
        </w:rPr>
        <w:t>深度分析与关联挖掘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</w:t>
      </w:r>
      <w:proofErr w:type="gramStart"/>
      <w:r>
        <w:rPr>
          <w:rStyle w:val="a4"/>
          <w:rFonts w:ascii="Segoe UI" w:hAnsi="Segoe UI" w:cs="Segoe UI"/>
          <w:color w:val="0F1115"/>
        </w:rPr>
        <w:t>一</w:t>
      </w:r>
      <w:proofErr w:type="gramEnd"/>
      <w:r>
        <w:rPr>
          <w:rStyle w:val="a4"/>
          <w:rFonts w:ascii="Segoe UI" w:hAnsi="Segoe UI" w:cs="Segoe UI"/>
          <w:color w:val="0F1115"/>
        </w:rPr>
        <w:t>：注册资本向实缴资本的转化效率分析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引入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资金到位率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概念（实缴资本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注册资本），作为衡量企业资本质量的核心指标。在散点图中通过颜色映射展示到位率高低，让投资者一眼识别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虚胖玩家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（</w:t>
      </w:r>
      <w:proofErr w:type="gramStart"/>
      <w:r>
        <w:rPr>
          <w:rFonts w:ascii="Segoe UI" w:hAnsi="Segoe UI" w:cs="Segoe UI"/>
          <w:color w:val="0F1115"/>
        </w:rPr>
        <w:t>高注册低</w:t>
      </w:r>
      <w:proofErr w:type="gramEnd"/>
      <w:r>
        <w:rPr>
          <w:rFonts w:ascii="Segoe UI" w:hAnsi="Segoe UI" w:cs="Segoe UI"/>
          <w:color w:val="0F1115"/>
        </w:rPr>
        <w:t>实缴）与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真巨头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（</w:t>
      </w:r>
      <w:proofErr w:type="gramStart"/>
      <w:r>
        <w:rPr>
          <w:rFonts w:ascii="Segoe UI" w:hAnsi="Segoe UI" w:cs="Segoe UI"/>
          <w:color w:val="0F1115"/>
        </w:rPr>
        <w:t>高注册高</w:t>
      </w:r>
      <w:proofErr w:type="gramEnd"/>
      <w:r>
        <w:rPr>
          <w:rFonts w:ascii="Segoe UI" w:hAnsi="Segoe UI" w:cs="Segoe UI"/>
          <w:color w:val="0F1115"/>
        </w:rPr>
        <w:t>实缴）。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优化方向二：四象限投资策略模型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基于注册与实缴资本两个维度，</w:t>
      </w:r>
      <w:proofErr w:type="gramStart"/>
      <w:r>
        <w:rPr>
          <w:rFonts w:ascii="Segoe UI" w:hAnsi="Segoe UI" w:cs="Segoe UI"/>
          <w:color w:val="0F1115"/>
        </w:rPr>
        <w:t>构建四</w:t>
      </w:r>
      <w:proofErr w:type="gramEnd"/>
      <w:r>
        <w:rPr>
          <w:rFonts w:ascii="Segoe UI" w:hAnsi="Segoe UI" w:cs="Segoe UI"/>
          <w:color w:val="0F1115"/>
        </w:rPr>
        <w:t>象限分类体系：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206"/>
        <w:gridCol w:w="1206"/>
        <w:gridCol w:w="2757"/>
        <w:gridCol w:w="1924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象限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实缴规模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典型特征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投资建议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🏆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真巨头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资本实力雄厚，经营稳健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战略投资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长期持有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小而美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轻资产运营，现金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流健康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早期孵化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关注成长性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虚胖玩家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注册资本虚高，实际能力存疑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谨慎尽调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防范风险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草根起步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初创阶段，发展潜力待验证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种子投资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高回报潜力</w:t>
            </w:r>
          </w:p>
        </w:tc>
      </w:tr>
    </w:tbl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优化方向三：雷达图五维评估体系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构建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注册资本实力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资金到位率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企业成熟度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存活健康度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区县集中度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五维评估框架，提供企业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群体综合能力评估。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5.2 </w:t>
      </w:r>
      <w:r>
        <w:rPr>
          <w:rFonts w:ascii="Segoe UI" w:hAnsi="Segoe UI" w:cs="Segoe UI"/>
          <w:color w:val="0F1115"/>
          <w:sz w:val="30"/>
          <w:szCs w:val="30"/>
        </w:rPr>
        <w:t>视觉叙事与</w:t>
      </w:r>
      <w:r>
        <w:rPr>
          <w:rFonts w:ascii="Segoe UI" w:hAnsi="Segoe UI" w:cs="Segoe UI"/>
          <w:color w:val="0F1115"/>
          <w:sz w:val="30"/>
          <w:szCs w:val="30"/>
        </w:rPr>
        <w:t>UI/UX</w:t>
      </w:r>
      <w:r>
        <w:rPr>
          <w:rFonts w:ascii="Segoe UI" w:hAnsi="Segoe UI" w:cs="Segoe UI"/>
          <w:color w:val="0F1115"/>
          <w:sz w:val="30"/>
          <w:szCs w:val="30"/>
        </w:rPr>
        <w:t>提升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优化方向四：赛博朋克风格主题</w:t>
      </w:r>
    </w:p>
    <w:p w:rsidR="002D0383" w:rsidRDefault="002D0383" w:rsidP="002D038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深蓝</w:t>
      </w:r>
      <w:proofErr w:type="gramStart"/>
      <w:r>
        <w:rPr>
          <w:rFonts w:ascii="Segoe UI" w:hAnsi="Segoe UI" w:cs="Segoe UI"/>
          <w:color w:val="0F1115"/>
        </w:rPr>
        <w:t>色科技</w:t>
      </w:r>
      <w:proofErr w:type="gramEnd"/>
      <w:r>
        <w:rPr>
          <w:rFonts w:ascii="Segoe UI" w:hAnsi="Segoe UI" w:cs="Segoe UI"/>
          <w:color w:val="0F1115"/>
        </w:rPr>
        <w:t>背景（</w:t>
      </w:r>
      <w:r>
        <w:rPr>
          <w:rStyle w:val="HTML1"/>
          <w:rFonts w:ascii="Consolas" w:hAnsi="Consolas"/>
          <w:color w:val="0F1115"/>
          <w:shd w:val="clear" w:color="auto" w:fill="EBEEF2"/>
        </w:rPr>
        <w:t>#0b1a2f</w:t>
      </w:r>
      <w:r>
        <w:rPr>
          <w:rFonts w:ascii="Segoe UI" w:hAnsi="Segoe UI" w:cs="Segoe UI"/>
          <w:color w:val="0F1115"/>
        </w:rPr>
        <w:t>）</w:t>
      </w:r>
    </w:p>
    <w:p w:rsidR="002D0383" w:rsidRDefault="002D0383" w:rsidP="002D038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霓虹蓝绿点缀色（</w:t>
      </w:r>
      <w:r>
        <w:rPr>
          <w:rStyle w:val="HTML1"/>
          <w:rFonts w:ascii="Consolas" w:hAnsi="Consolas"/>
          <w:color w:val="0F1115"/>
          <w:shd w:val="clear" w:color="auto" w:fill="EBEEF2"/>
        </w:rPr>
        <w:t>#40a9ff</w:t>
      </w:r>
      <w:r>
        <w:rPr>
          <w:rFonts w:ascii="Segoe UI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#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aaddff</w:t>
      </w:r>
      <w:proofErr w:type="spellEnd"/>
      <w:r>
        <w:rPr>
          <w:rFonts w:ascii="Segoe UI" w:hAnsi="Segoe UI" w:cs="Segoe UI"/>
          <w:color w:val="0F1115"/>
        </w:rPr>
        <w:t>）</w:t>
      </w:r>
    </w:p>
    <w:p w:rsidR="002D0383" w:rsidRDefault="002D0383" w:rsidP="002D038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毛玻璃效果（</w:t>
      </w:r>
      <w:r>
        <w:rPr>
          <w:rStyle w:val="HTML1"/>
          <w:rFonts w:ascii="Consolas" w:hAnsi="Consolas"/>
          <w:color w:val="0F1115"/>
          <w:shd w:val="clear" w:color="auto" w:fill="EBEEF2"/>
        </w:rPr>
        <w:t>backdrop-filter: blur(4px)</w:t>
      </w:r>
      <w:r>
        <w:rPr>
          <w:rFonts w:ascii="Segoe UI" w:hAnsi="Segoe UI" w:cs="Segoe UI"/>
          <w:color w:val="0F1115"/>
        </w:rPr>
        <w:t>）</w:t>
      </w:r>
    </w:p>
    <w:p w:rsidR="002D0383" w:rsidRDefault="002D0383" w:rsidP="002D038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发光边框与阴影效果</w:t>
      </w:r>
    </w:p>
    <w:p w:rsidR="002D0383" w:rsidRDefault="002D0383" w:rsidP="002D038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符合游戏产业的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硬科技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气质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优化方向五：企业详情穿透</w:t>
      </w:r>
    </w:p>
    <w:p w:rsidR="002D0383" w:rsidRDefault="002D0383" w:rsidP="002D038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点击散点图数据点：弹出企业详细信息</w:t>
      </w:r>
    </w:p>
    <w:p w:rsidR="002D0383" w:rsidRDefault="002D0383" w:rsidP="002D038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点击象限区域：展示该象限完整企业列表</w:t>
      </w:r>
    </w:p>
    <w:p w:rsidR="002D0383" w:rsidRDefault="002D0383" w:rsidP="002D038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表格展示：企业名称、区县、状态、注册资本、实缴资本、到位率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5.3 </w:t>
      </w:r>
      <w:r>
        <w:rPr>
          <w:rFonts w:ascii="Segoe UI" w:hAnsi="Segoe UI" w:cs="Segoe UI"/>
          <w:color w:val="0F1115"/>
          <w:sz w:val="30"/>
          <w:szCs w:val="30"/>
        </w:rPr>
        <w:t>异常检测与决策辅助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优化方向六：智能阈值提示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在散点图中以虚线标注注册资本与实缴资本的行业基准线，帮助用户快速识别偏离正常范围的企业群体。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优化方向七：</w:t>
      </w:r>
      <w:proofErr w:type="gramStart"/>
      <w:r>
        <w:rPr>
          <w:rStyle w:val="a4"/>
          <w:rFonts w:ascii="Segoe UI" w:hAnsi="Segoe UI" w:cs="Segoe UI"/>
          <w:color w:val="0F1115"/>
        </w:rPr>
        <w:t>框选反馈</w:t>
      </w:r>
      <w:proofErr w:type="gramEnd"/>
      <w:r>
        <w:rPr>
          <w:rStyle w:val="a4"/>
          <w:rFonts w:ascii="Segoe UI" w:hAnsi="Segoe UI" w:cs="Segoe UI"/>
          <w:color w:val="0F1115"/>
        </w:rPr>
        <w:t>机制</w:t>
      </w:r>
    </w:p>
    <w:p w:rsidR="002D0383" w:rsidRDefault="002D0383" w:rsidP="002D038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框选散点图</w:t>
      </w:r>
      <w:proofErr w:type="gramEnd"/>
      <w:r>
        <w:rPr>
          <w:rFonts w:ascii="Segoe UI" w:hAnsi="Segoe UI" w:cs="Segoe UI"/>
          <w:color w:val="0F1115"/>
        </w:rPr>
        <w:t>区域后，右下角雷达图自动更新</w:t>
      </w:r>
    </w:p>
    <w:p w:rsidR="002D0383" w:rsidRDefault="002D0383" w:rsidP="002D038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显示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已框选</w:t>
      </w:r>
      <w:r>
        <w:rPr>
          <w:rFonts w:ascii="Segoe UI" w:hAnsi="Segoe UI" w:cs="Segoe UI"/>
          <w:color w:val="0F1115"/>
        </w:rPr>
        <w:t>X</w:t>
      </w:r>
      <w:r>
        <w:rPr>
          <w:rFonts w:ascii="Segoe UI" w:hAnsi="Segoe UI" w:cs="Segoe UI"/>
          <w:color w:val="0F1115"/>
        </w:rPr>
        <w:t>家企业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的即时反馈</w:t>
      </w:r>
    </w:p>
    <w:p w:rsidR="002D0383" w:rsidRDefault="002D0383" w:rsidP="002D038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框选群体</w:t>
      </w:r>
      <w:proofErr w:type="gramEnd"/>
      <w:r>
        <w:rPr>
          <w:rFonts w:ascii="Segoe UI" w:hAnsi="Segoe UI" w:cs="Segoe UI"/>
          <w:color w:val="0F1115"/>
        </w:rPr>
        <w:t>的资本总额、到位率等关键指标自动计算</w:t>
      </w:r>
    </w:p>
    <w:p w:rsidR="002D0383" w:rsidRDefault="002D0383" w:rsidP="002D0383">
      <w:pPr>
        <w:spacing w:before="480" w:after="480"/>
        <w:rPr>
          <w:rFonts w:ascii="宋体" w:hAnsi="宋体" w:cs="宋体"/>
        </w:rPr>
      </w:pPr>
      <w:r>
        <w:pict>
          <v:rect id="_x0000_i1030" style="width:0;height:.75pt" o:hralign="center" o:hrstd="t" o:hrnoshade="t" o:hr="t" fillcolor="#0f1115" stroked="f"/>
        </w:pict>
      </w:r>
    </w:p>
    <w:p w:rsidR="002D0383" w:rsidRDefault="002D0383" w:rsidP="002D038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六、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终版说明</w:t>
      </w:r>
      <w:proofErr w:type="gramEnd"/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6.1 </w:t>
      </w:r>
      <w:r>
        <w:rPr>
          <w:rFonts w:ascii="Segoe UI" w:hAnsi="Segoe UI" w:cs="Segoe UI"/>
          <w:color w:val="0F1115"/>
          <w:sz w:val="30"/>
          <w:szCs w:val="30"/>
        </w:rPr>
        <w:t>最终作品使用指南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布局说明</w:t>
      </w:r>
      <w:r>
        <w:rPr>
          <w:rFonts w:ascii="Segoe UI" w:hAnsi="Segoe UI" w:cs="Segoe UI"/>
          <w:color w:val="0F1115"/>
        </w:rPr>
        <w:t>（</w:t>
      </w:r>
      <w:proofErr w:type="gramStart"/>
      <w:r>
        <w:rPr>
          <w:rFonts w:ascii="Segoe UI" w:hAnsi="Segoe UI" w:cs="Segoe UI"/>
          <w:color w:val="0F1115"/>
        </w:rPr>
        <w:t>四宫格</w:t>
      </w:r>
      <w:proofErr w:type="gramEnd"/>
      <w:r>
        <w:rPr>
          <w:rFonts w:ascii="Segoe UI" w:hAnsi="Segoe UI" w:cs="Segoe UI"/>
          <w:color w:val="0F1115"/>
        </w:rPr>
        <w:t>布局）：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915"/>
        <w:gridCol w:w="8408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图表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核心功能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左上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柱状图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展示深圳市各区游戏企业数量分布，带自动轮播</w:t>
            </w:r>
            <w:r>
              <w:rPr>
                <w:rFonts w:ascii="Segoe UI" w:hAnsi="Segoe UI" w:cs="Segoe UI"/>
                <w:sz w:val="23"/>
                <w:szCs w:val="23"/>
              </w:rPr>
              <w:t>+</w:t>
            </w:r>
            <w:r>
              <w:rPr>
                <w:rFonts w:ascii="Segoe UI" w:hAnsi="Segoe UI" w:cs="Segoe UI"/>
                <w:sz w:val="23"/>
                <w:szCs w:val="23"/>
              </w:rPr>
              <w:t>点击联动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右上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热力地图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展示深圳各区企业密度，与柱状图联动高亮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左下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散点图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</w:t>
            </w:r>
            <w:r>
              <w:rPr>
                <w:rFonts w:ascii="Segoe UI" w:hAnsi="Segoe UI" w:cs="Segoe UI"/>
                <w:sz w:val="23"/>
                <w:szCs w:val="23"/>
              </w:rPr>
              <w:t>vs</w:t>
            </w:r>
            <w:r>
              <w:rPr>
                <w:rFonts w:ascii="Segoe UI" w:hAnsi="Segoe UI" w:cs="Segoe UI"/>
                <w:sz w:val="23"/>
                <w:szCs w:val="23"/>
              </w:rPr>
              <w:t>实缴资本，含四象限标注</w:t>
            </w:r>
            <w:r>
              <w:rPr>
                <w:rFonts w:ascii="Segoe UI" w:hAnsi="Segoe UI" w:cs="Segoe UI"/>
                <w:sz w:val="23"/>
                <w:szCs w:val="23"/>
              </w:rPr>
              <w:t>+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框选功能</w:t>
            </w:r>
            <w:proofErr w:type="gramEnd"/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右下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雷达图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展示框选企业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五维评估画像，灰色虚线为全市均值参照</w:t>
            </w:r>
          </w:p>
        </w:tc>
      </w:tr>
    </w:tbl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交互操作指南</w:t>
      </w:r>
      <w:r>
        <w:rPr>
          <w:rFonts w:ascii="Segoe UI" w:hAnsi="Segoe UI" w:cs="Segoe UI"/>
          <w:color w:val="0F1115"/>
        </w:rPr>
        <w:t>：</w:t>
      </w:r>
    </w:p>
    <w:p w:rsidR="002D0383" w:rsidRDefault="002D0383" w:rsidP="002D038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区域探索</w:t>
      </w:r>
      <w:r>
        <w:rPr>
          <w:rFonts w:ascii="Segoe UI" w:hAnsi="Segoe UI" w:cs="Segoe UI"/>
          <w:color w:val="0F1115"/>
        </w:rPr>
        <w:t>：点击柱状图中任</w:t>
      </w:r>
      <w:proofErr w:type="gramStart"/>
      <w:r>
        <w:rPr>
          <w:rFonts w:ascii="Segoe UI" w:hAnsi="Segoe UI" w:cs="Segoe UI"/>
          <w:color w:val="0F1115"/>
        </w:rPr>
        <w:t>一</w:t>
      </w:r>
      <w:proofErr w:type="gramEnd"/>
      <w:r>
        <w:rPr>
          <w:rFonts w:ascii="Segoe UI" w:hAnsi="Segoe UI" w:cs="Segoe UI"/>
          <w:color w:val="0F1115"/>
        </w:rPr>
        <w:t>区域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地图同步高亮</w:t>
      </w:r>
      <w:r>
        <w:rPr>
          <w:rFonts w:ascii="Segoe UI" w:hAnsi="Segoe UI" w:cs="Segoe UI"/>
          <w:color w:val="0F1115"/>
        </w:rPr>
        <w:t xml:space="preserve"> → </w:t>
      </w:r>
      <w:proofErr w:type="gramStart"/>
      <w:r>
        <w:rPr>
          <w:rFonts w:ascii="Segoe UI" w:hAnsi="Segoe UI" w:cs="Segoe UI"/>
          <w:color w:val="0F1115"/>
        </w:rPr>
        <w:t>轮播暂停</w:t>
      </w:r>
      <w:proofErr w:type="gramEnd"/>
    </w:p>
    <w:p w:rsidR="002D0383" w:rsidRDefault="002D0383" w:rsidP="002D038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a4"/>
          <w:rFonts w:ascii="Segoe UI" w:hAnsi="Segoe UI" w:cs="Segoe UI"/>
          <w:color w:val="0F1115"/>
        </w:rPr>
        <w:t>框选分析</w:t>
      </w:r>
      <w:proofErr w:type="gramEnd"/>
      <w:r>
        <w:rPr>
          <w:rFonts w:ascii="Segoe UI" w:hAnsi="Segoe UI" w:cs="Segoe UI"/>
          <w:color w:val="0F1115"/>
        </w:rPr>
        <w:t>：在散点图中</w:t>
      </w:r>
      <w:proofErr w:type="gramStart"/>
      <w:r>
        <w:rPr>
          <w:rFonts w:ascii="Segoe UI" w:hAnsi="Segoe UI" w:cs="Segoe UI"/>
          <w:color w:val="0F1115"/>
        </w:rPr>
        <w:t>拖拽框选</w:t>
      </w:r>
      <w:proofErr w:type="gramEnd"/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雷达图自动更新</w:t>
      </w:r>
      <w:proofErr w:type="gramStart"/>
      <w:r>
        <w:rPr>
          <w:rFonts w:ascii="Segoe UI" w:hAnsi="Segoe UI" w:cs="Segoe UI"/>
          <w:color w:val="0F1115"/>
        </w:rPr>
        <w:t>为框选群体</w:t>
      </w:r>
      <w:proofErr w:type="gramEnd"/>
      <w:r>
        <w:rPr>
          <w:rFonts w:ascii="Segoe UI" w:hAnsi="Segoe UI" w:cs="Segoe UI"/>
          <w:color w:val="0F1115"/>
        </w:rPr>
        <w:t>画像</w:t>
      </w:r>
    </w:p>
    <w:p w:rsidR="002D0383" w:rsidRDefault="002D0383" w:rsidP="002D038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象限穿透</w:t>
      </w:r>
      <w:r>
        <w:rPr>
          <w:rFonts w:ascii="Segoe UI" w:hAnsi="Segoe UI" w:cs="Segoe UI"/>
          <w:color w:val="0F1115"/>
        </w:rPr>
        <w:t>：点击散点图象限标签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弹出该象限完整企业列表</w:t>
      </w:r>
    </w:p>
    <w:p w:rsidR="002D0383" w:rsidRDefault="002D0383" w:rsidP="002D038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数据详情</w:t>
      </w:r>
      <w:r>
        <w:rPr>
          <w:rFonts w:ascii="Segoe UI" w:hAnsi="Segoe UI" w:cs="Segoe UI"/>
          <w:color w:val="0F1115"/>
        </w:rPr>
        <w:t>：鼠标悬停任意数据点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显示详细信息</w:t>
      </w:r>
      <w:r>
        <w:rPr>
          <w:rFonts w:ascii="Segoe UI" w:hAnsi="Segoe UI" w:cs="Segoe UI"/>
          <w:color w:val="0F1115"/>
        </w:rPr>
        <w:t>Tooltip</w:t>
      </w:r>
    </w:p>
    <w:p w:rsidR="002D0383" w:rsidRDefault="002D0383" w:rsidP="002D038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缩放查看</w:t>
      </w:r>
      <w:r>
        <w:rPr>
          <w:rFonts w:ascii="Segoe UI" w:hAnsi="Segoe UI" w:cs="Segoe UI"/>
          <w:color w:val="0F1115"/>
        </w:rPr>
        <w:t>：地图支持滚轮缩放，散点图支持数据缩放滑块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6.2 </w:t>
      </w:r>
      <w:r>
        <w:rPr>
          <w:rFonts w:ascii="Segoe UI" w:hAnsi="Segoe UI" w:cs="Segoe UI"/>
          <w:color w:val="0F1115"/>
          <w:sz w:val="30"/>
          <w:szCs w:val="30"/>
        </w:rPr>
        <w:t>核心洞察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洞察</w:t>
      </w:r>
      <w:proofErr w:type="gramStart"/>
      <w:r>
        <w:rPr>
          <w:rStyle w:val="a4"/>
          <w:rFonts w:ascii="Segoe UI" w:hAnsi="Segoe UI" w:cs="Segoe UI"/>
          <w:color w:val="0F1115"/>
        </w:rPr>
        <w:t>一</w:t>
      </w:r>
      <w:proofErr w:type="gramEnd"/>
      <w:r>
        <w:rPr>
          <w:rStyle w:val="a4"/>
          <w:rFonts w:ascii="Segoe UI" w:hAnsi="Segoe UI" w:cs="Segoe UI"/>
          <w:color w:val="0F1115"/>
        </w:rPr>
        <w:t>：深圳游戏产业呈现</w:t>
      </w:r>
      <w:r>
        <w:rPr>
          <w:rStyle w:val="a4"/>
          <w:rFonts w:ascii="Segoe UI" w:hAnsi="Segoe UI" w:cs="Segoe UI"/>
          <w:color w:val="0F1115"/>
        </w:rPr>
        <w:t>“</w:t>
      </w:r>
      <w:proofErr w:type="gramStart"/>
      <w:r>
        <w:rPr>
          <w:rStyle w:val="a4"/>
          <w:rFonts w:ascii="Segoe UI" w:hAnsi="Segoe UI" w:cs="Segoe UI"/>
          <w:color w:val="0F1115"/>
        </w:rPr>
        <w:t>一</w:t>
      </w:r>
      <w:proofErr w:type="gramEnd"/>
      <w:r>
        <w:rPr>
          <w:rStyle w:val="a4"/>
          <w:rFonts w:ascii="Segoe UI" w:hAnsi="Segoe UI" w:cs="Segoe UI"/>
          <w:color w:val="0F1115"/>
        </w:rPr>
        <w:t>超多强，南山领跑</w:t>
      </w:r>
      <w:r>
        <w:rPr>
          <w:rStyle w:val="a4"/>
          <w:rFonts w:ascii="Segoe UI" w:hAnsi="Segoe UI" w:cs="Segoe UI"/>
          <w:color w:val="0F1115"/>
        </w:rPr>
        <w:t>”</w:t>
      </w:r>
      <w:r>
        <w:rPr>
          <w:rStyle w:val="a4"/>
          <w:rFonts w:ascii="Segoe UI" w:hAnsi="Segoe UI" w:cs="Segoe UI"/>
          <w:color w:val="0F1115"/>
        </w:rPr>
        <w:t>格局</w:t>
      </w:r>
    </w:p>
    <w:p w:rsidR="002D0383" w:rsidRDefault="002D0383" w:rsidP="002D038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南山区企业数量占全市总量的</w:t>
      </w:r>
      <w:r>
        <w:rPr>
          <w:rFonts w:ascii="Segoe UI" w:hAnsi="Segoe UI" w:cs="Segoe UI"/>
          <w:color w:val="0F1115"/>
        </w:rPr>
        <w:t>35%</w:t>
      </w:r>
      <w:r>
        <w:rPr>
          <w:rFonts w:ascii="Segoe UI" w:hAnsi="Segoe UI" w:cs="Segoe UI"/>
          <w:color w:val="0F1115"/>
        </w:rPr>
        <w:t>以上，是当之无愧的游戏产业核心区</w:t>
      </w:r>
    </w:p>
    <w:p w:rsidR="002D0383" w:rsidRDefault="002D0383" w:rsidP="002D038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福田、宝安、龙岗形成第二梯队，但与前者的差距显著</w:t>
      </w:r>
    </w:p>
    <w:p w:rsidR="002D0383" w:rsidRDefault="002D0383" w:rsidP="002D038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盐田、坪山、光明等区域企业数量极少，产业集聚效应明显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洞察二：注册资本与实际资本存在显著</w:t>
      </w:r>
      <w:r>
        <w:rPr>
          <w:rStyle w:val="a4"/>
          <w:rFonts w:ascii="Segoe UI" w:hAnsi="Segoe UI" w:cs="Segoe UI"/>
          <w:color w:val="0F1115"/>
        </w:rPr>
        <w:t>“</w:t>
      </w:r>
      <w:r>
        <w:rPr>
          <w:rStyle w:val="a4"/>
          <w:rFonts w:ascii="Segoe UI" w:hAnsi="Segoe UI" w:cs="Segoe UI"/>
          <w:color w:val="0F1115"/>
        </w:rPr>
        <w:t>泡沫</w:t>
      </w:r>
      <w:r>
        <w:rPr>
          <w:rStyle w:val="a4"/>
          <w:rFonts w:ascii="Segoe UI" w:hAnsi="Segoe UI" w:cs="Segoe UI"/>
          <w:color w:val="0F1115"/>
        </w:rPr>
        <w:t>”</w:t>
      </w:r>
    </w:p>
    <w:p w:rsidR="002D0383" w:rsidRDefault="002D0383" w:rsidP="002D038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超过</w:t>
      </w:r>
      <w:r>
        <w:rPr>
          <w:rFonts w:ascii="Segoe UI" w:hAnsi="Segoe UI" w:cs="Segoe UI"/>
          <w:color w:val="0F1115"/>
        </w:rPr>
        <w:t>40%</w:t>
      </w:r>
      <w:r>
        <w:rPr>
          <w:rFonts w:ascii="Segoe UI" w:hAnsi="Segoe UI" w:cs="Segoe UI"/>
          <w:color w:val="0F1115"/>
        </w:rPr>
        <w:t>的企业注册资本与实缴资本存在较大差距（到位率</w:t>
      </w:r>
      <w:r>
        <w:rPr>
          <w:rFonts w:ascii="Segoe UI" w:hAnsi="Segoe UI" w:cs="Segoe UI"/>
          <w:color w:val="0F1115"/>
        </w:rPr>
        <w:t>&lt;50%</w:t>
      </w:r>
      <w:r>
        <w:rPr>
          <w:rFonts w:ascii="Segoe UI" w:hAnsi="Segoe UI" w:cs="Segoe UI"/>
          <w:color w:val="0F1115"/>
        </w:rPr>
        <w:t>）</w:t>
      </w:r>
    </w:p>
    <w:p w:rsidR="002D0383" w:rsidRDefault="002D0383" w:rsidP="002D038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高注册</w:t>
      </w:r>
      <w:proofErr w:type="gramEnd"/>
      <w:r>
        <w:rPr>
          <w:rFonts w:ascii="Segoe UI" w:hAnsi="Segoe UI" w:cs="Segoe UI"/>
          <w:color w:val="0F1115"/>
        </w:rPr>
        <w:t>资本不一定代表高实力，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虚胖玩家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大量存在</w:t>
      </w:r>
    </w:p>
    <w:p w:rsidR="002D0383" w:rsidRDefault="002D0383" w:rsidP="002D038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头部企业（如腾讯）的实缴资本到位率接近</w:t>
      </w:r>
      <w:r>
        <w:rPr>
          <w:rFonts w:ascii="Segoe UI" w:hAnsi="Segoe UI" w:cs="Segoe UI"/>
          <w:color w:val="0F1115"/>
        </w:rPr>
        <w:t>100%</w:t>
      </w:r>
      <w:r>
        <w:rPr>
          <w:rFonts w:ascii="Segoe UI" w:hAnsi="Segoe UI" w:cs="Segoe UI"/>
          <w:color w:val="0F1115"/>
        </w:rPr>
        <w:t>，成为行业标杆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洞察三：企业生存状态呈现明显分化</w:t>
      </w:r>
    </w:p>
    <w:p w:rsidR="002D0383" w:rsidRDefault="002D0383" w:rsidP="002D038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全市存活健康度（存续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开业率）约为</w:t>
      </w:r>
      <w:r>
        <w:rPr>
          <w:rFonts w:ascii="Segoe UI" w:hAnsi="Segoe UI" w:cs="Segoe UI"/>
          <w:color w:val="0F1115"/>
        </w:rPr>
        <w:t>65%-75%</w:t>
      </w:r>
    </w:p>
    <w:p w:rsidR="002D0383" w:rsidRDefault="002D0383" w:rsidP="002D038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新注册企业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年内存活率约为</w:t>
      </w:r>
      <w:r>
        <w:rPr>
          <w:rFonts w:ascii="Segoe UI" w:hAnsi="Segoe UI" w:cs="Segoe UI"/>
          <w:color w:val="0F1115"/>
        </w:rPr>
        <w:t>55%</w:t>
      </w:r>
      <w:r>
        <w:rPr>
          <w:rFonts w:ascii="Segoe UI" w:hAnsi="Segoe UI" w:cs="Segoe UI"/>
          <w:color w:val="0F1115"/>
        </w:rPr>
        <w:t>，行业淘汰率较高</w:t>
      </w:r>
    </w:p>
    <w:p w:rsidR="002D0383" w:rsidRDefault="002D0383" w:rsidP="002D038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游戏行业属于高淘汰率赛道，但头部企业生命周期长</w:t>
      </w:r>
    </w:p>
    <w:p w:rsidR="002D0383" w:rsidRDefault="002D0383" w:rsidP="002D038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洞察四：投资布局应聚焦</w:t>
      </w:r>
      <w:r>
        <w:rPr>
          <w:rStyle w:val="a4"/>
          <w:rFonts w:ascii="Segoe UI" w:hAnsi="Segoe UI" w:cs="Segoe UI"/>
          <w:color w:val="0F1115"/>
        </w:rPr>
        <w:t>“</w:t>
      </w:r>
      <w:r>
        <w:rPr>
          <w:rStyle w:val="a4"/>
          <w:rFonts w:ascii="Segoe UI" w:hAnsi="Segoe UI" w:cs="Segoe UI"/>
          <w:color w:val="0F1115"/>
        </w:rPr>
        <w:t>核心区</w:t>
      </w:r>
      <w:r>
        <w:rPr>
          <w:rStyle w:val="a4"/>
          <w:rFonts w:ascii="Segoe UI" w:hAnsi="Segoe UI" w:cs="Segoe UI"/>
          <w:color w:val="0F1115"/>
        </w:rPr>
        <w:t>+</w:t>
      </w:r>
      <w:r>
        <w:rPr>
          <w:rStyle w:val="a4"/>
          <w:rFonts w:ascii="Segoe UI" w:hAnsi="Segoe UI" w:cs="Segoe UI"/>
          <w:color w:val="0F1115"/>
        </w:rPr>
        <w:t>特色带</w:t>
      </w:r>
      <w:r>
        <w:rPr>
          <w:rStyle w:val="a4"/>
          <w:rFonts w:ascii="Segoe UI" w:hAnsi="Segoe UI" w:cs="Segoe UI"/>
          <w:color w:val="0F1115"/>
        </w:rPr>
        <w:t>”</w:t>
      </w:r>
    </w:p>
    <w:p w:rsidR="002D0383" w:rsidRDefault="002D0383" w:rsidP="002D038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南山区适合布局高门槛、高回报的头部项目</w:t>
      </w:r>
    </w:p>
    <w:p w:rsidR="002D0383" w:rsidRDefault="002D0383" w:rsidP="002D038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宝安、龙岗成本优势明显，适合孵化型项目</w:t>
      </w:r>
    </w:p>
    <w:p w:rsidR="002D0383" w:rsidRDefault="002D0383" w:rsidP="002D038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需警惕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高注册低实缴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的泡沫企业，优先选择资金到位率</w:t>
      </w:r>
      <w:r>
        <w:rPr>
          <w:rFonts w:ascii="Segoe UI" w:hAnsi="Segoe UI" w:cs="Segoe UI"/>
          <w:color w:val="0F1115"/>
        </w:rPr>
        <w:t>&gt;50%</w:t>
      </w:r>
      <w:r>
        <w:rPr>
          <w:rFonts w:ascii="Segoe UI" w:hAnsi="Segoe UI" w:cs="Segoe UI"/>
          <w:color w:val="0F1115"/>
        </w:rPr>
        <w:t>的标的</w:t>
      </w:r>
    </w:p>
    <w:p w:rsidR="002D0383" w:rsidRDefault="002D0383" w:rsidP="002D038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6.3 </w:t>
      </w:r>
      <w:r>
        <w:rPr>
          <w:rFonts w:ascii="Segoe UI" w:hAnsi="Segoe UI" w:cs="Segoe UI"/>
          <w:color w:val="0F1115"/>
          <w:sz w:val="30"/>
          <w:szCs w:val="30"/>
        </w:rPr>
        <w:t>投资决策建议矩阵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14"/>
        <w:gridCol w:w="2728"/>
        <w:gridCol w:w="2321"/>
      </w:tblGrid>
      <w:tr w:rsidR="002D0383" w:rsidTr="002D038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投资类型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推荐区域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关注指标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风险提示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战略投资（大额）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南山区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</w:t>
            </w:r>
            <w:r>
              <w:rPr>
                <w:rFonts w:ascii="Segoe UI" w:hAnsi="Segoe UI" w:cs="Segoe UI"/>
                <w:sz w:val="23"/>
                <w:szCs w:val="23"/>
              </w:rPr>
              <w:t>≥5000</w:t>
            </w:r>
            <w:r>
              <w:rPr>
                <w:rFonts w:ascii="Segoe UI" w:hAnsi="Segoe UI" w:cs="Segoe UI"/>
                <w:sz w:val="23"/>
                <w:szCs w:val="23"/>
              </w:rPr>
              <w:t>万，到位率</w:t>
            </w:r>
            <w:r>
              <w:rPr>
                <w:rFonts w:ascii="Segoe UI" w:hAnsi="Segoe UI" w:cs="Segoe UI"/>
                <w:sz w:val="23"/>
                <w:szCs w:val="23"/>
              </w:rPr>
              <w:t>≥80%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估值较高，竞争激烈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产业孵化（中小额）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宝安区、龙岗区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注册资本</w:t>
            </w:r>
            <w:r>
              <w:rPr>
                <w:rFonts w:ascii="Segoe UI" w:hAnsi="Segoe UI" w:cs="Segoe UI"/>
                <w:sz w:val="23"/>
                <w:szCs w:val="23"/>
              </w:rPr>
              <w:t>500-3000</w:t>
            </w:r>
            <w:r>
              <w:rPr>
                <w:rFonts w:ascii="Segoe UI" w:hAnsi="Segoe UI" w:cs="Segoe UI"/>
                <w:sz w:val="23"/>
                <w:szCs w:val="23"/>
              </w:rPr>
              <w:t>万，团队背景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存活率偏低，需要产业资源扶持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并购标的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全市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技术</w:t>
            </w:r>
            <w:r>
              <w:rPr>
                <w:rFonts w:ascii="Segoe UI" w:hAnsi="Segoe UI" w:cs="Segoe UI"/>
                <w:sz w:val="23"/>
                <w:szCs w:val="23"/>
              </w:rPr>
              <w:t>/IP</w:t>
            </w:r>
            <w:r>
              <w:rPr>
                <w:rFonts w:ascii="Segoe UI" w:hAnsi="Segoe UI" w:cs="Segoe UI"/>
                <w:sz w:val="23"/>
                <w:szCs w:val="23"/>
              </w:rPr>
              <w:t>储备，低估值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尽调难度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大，需核实实缴情况</w:t>
            </w:r>
          </w:p>
        </w:tc>
      </w:tr>
      <w:tr w:rsidR="002D0383" w:rsidTr="002D03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政策引导投资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光明区、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坪山区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政府扶持政策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0383" w:rsidRDefault="002D03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产业配套尚不成熟</w:t>
            </w:r>
          </w:p>
        </w:tc>
      </w:tr>
    </w:tbl>
    <w:p w:rsidR="00A67C62" w:rsidRPr="002D0383" w:rsidRDefault="00A67C62" w:rsidP="002D0383">
      <w:pPr>
        <w:pStyle w:val="a3"/>
        <w:ind w:left="360" w:firstLineChars="0" w:firstLine="0"/>
        <w:rPr>
          <w:rFonts w:hint="eastAsia"/>
          <w:b/>
          <w:sz w:val="28"/>
        </w:rPr>
      </w:pPr>
      <w:bookmarkStart w:id="0" w:name="_GoBack"/>
      <w:bookmarkEnd w:id="0"/>
    </w:p>
    <w:sectPr w:rsidR="00A67C62" w:rsidRPr="002D0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DD1"/>
    <w:multiLevelType w:val="multilevel"/>
    <w:tmpl w:val="5A0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B0BEC"/>
    <w:multiLevelType w:val="multilevel"/>
    <w:tmpl w:val="23C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4A80"/>
    <w:multiLevelType w:val="multilevel"/>
    <w:tmpl w:val="904A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978AC"/>
    <w:multiLevelType w:val="multilevel"/>
    <w:tmpl w:val="426A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A76E5"/>
    <w:multiLevelType w:val="multilevel"/>
    <w:tmpl w:val="1C4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0A3E"/>
    <w:multiLevelType w:val="multilevel"/>
    <w:tmpl w:val="19A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30C8D"/>
    <w:multiLevelType w:val="multilevel"/>
    <w:tmpl w:val="5EC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D7396"/>
    <w:multiLevelType w:val="multilevel"/>
    <w:tmpl w:val="202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938F1"/>
    <w:multiLevelType w:val="multilevel"/>
    <w:tmpl w:val="54C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51A50"/>
    <w:multiLevelType w:val="multilevel"/>
    <w:tmpl w:val="3BF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5E44"/>
    <w:multiLevelType w:val="multilevel"/>
    <w:tmpl w:val="2D3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5ED9"/>
    <w:multiLevelType w:val="multilevel"/>
    <w:tmpl w:val="D1F4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B397D"/>
    <w:multiLevelType w:val="multilevel"/>
    <w:tmpl w:val="69D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D60AC"/>
    <w:multiLevelType w:val="hybridMultilevel"/>
    <w:tmpl w:val="DFECDFBC"/>
    <w:lvl w:ilvl="0" w:tplc="11F65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2AE7B3E"/>
    <w:multiLevelType w:val="multilevel"/>
    <w:tmpl w:val="89C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84802"/>
    <w:multiLevelType w:val="multilevel"/>
    <w:tmpl w:val="718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C2C91"/>
    <w:multiLevelType w:val="multilevel"/>
    <w:tmpl w:val="E6E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2"/>
  </w:num>
  <w:num w:numId="5">
    <w:abstractNumId w:val="14"/>
  </w:num>
  <w:num w:numId="6">
    <w:abstractNumId w:val="5"/>
  </w:num>
  <w:num w:numId="7">
    <w:abstractNumId w:val="12"/>
  </w:num>
  <w:num w:numId="8">
    <w:abstractNumId w:val="8"/>
  </w:num>
  <w:num w:numId="9">
    <w:abstractNumId w:val="16"/>
  </w:num>
  <w:num w:numId="10">
    <w:abstractNumId w:val="6"/>
  </w:num>
  <w:num w:numId="11">
    <w:abstractNumId w:val="7"/>
  </w:num>
  <w:num w:numId="12">
    <w:abstractNumId w:val="15"/>
  </w:num>
  <w:num w:numId="13">
    <w:abstractNumId w:val="11"/>
  </w:num>
  <w:num w:numId="14">
    <w:abstractNumId w:val="1"/>
  </w:num>
  <w:num w:numId="15">
    <w:abstractNumId w:val="10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265"/>
    <w:rsid w:val="002D0383"/>
    <w:rsid w:val="00695534"/>
    <w:rsid w:val="00770176"/>
    <w:rsid w:val="00A67C62"/>
    <w:rsid w:val="00B35265"/>
    <w:rsid w:val="00D4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E55B"/>
  <w15:chartTrackingRefBased/>
  <w15:docId w15:val="{FF33E605-5C85-4409-8491-E7AF9C6B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C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67C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7C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C6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67C6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67C62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67C62"/>
    <w:pPr>
      <w:ind w:firstLineChars="200" w:firstLine="420"/>
    </w:pPr>
  </w:style>
  <w:style w:type="paragraph" w:customStyle="1" w:styleId="ds-markdown-paragraph">
    <w:name w:val="ds-markdown-paragraph"/>
    <w:basedOn w:val="a"/>
    <w:rsid w:val="002D03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D0383"/>
    <w:rPr>
      <w:b/>
      <w:bCs/>
    </w:rPr>
  </w:style>
  <w:style w:type="character" w:customStyle="1" w:styleId="d813de27">
    <w:name w:val="d813de27"/>
    <w:basedOn w:val="a0"/>
    <w:rsid w:val="002D0383"/>
  </w:style>
  <w:style w:type="paragraph" w:styleId="HTML">
    <w:name w:val="HTML Preformatted"/>
    <w:basedOn w:val="a"/>
    <w:link w:val="HTML0"/>
    <w:uiPriority w:val="99"/>
    <w:semiHidden/>
    <w:unhideWhenUsed/>
    <w:rsid w:val="002D03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D038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D038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3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5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szpt</dc:creator>
  <cp:keywords/>
  <dc:description/>
  <cp:lastModifiedBy>szpt</cp:lastModifiedBy>
  <cp:revision>2</cp:revision>
  <dcterms:created xsi:type="dcterms:W3CDTF">2026-06-25T00:27:00Z</dcterms:created>
  <dcterms:modified xsi:type="dcterms:W3CDTF">2026-06-25T01:08:00Z</dcterms:modified>
</cp:coreProperties>
</file>