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  <w:rPr>
          <w:rFonts w:ascii="微软雅黑" w:hAnsi="微软雅黑" w:eastAsia="微软雅黑"/>
          <w:b/>
          <w:sz w:val="32"/>
        </w:rPr>
      </w:pPr>
      <w:r>
        <w:rPr>
          <w:rFonts w:ascii="微软雅黑" w:hAnsi="微软雅黑" w:eastAsia="微软雅黑"/>
          <w:b/>
          <w:sz w:val="32"/>
        </w:rPr>
        <w:t>中国国际大学生创新大赛（2026）</w:t>
      </w: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sz w:val="72"/>
        </w:rPr>
        <w:t>智检桥安</w:t>
      </w: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sz w:val="32"/>
        </w:rPr>
        <w:t>——基于人工智能与计算机视觉的桥梁表观损伤智能检测系统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41" w:beforeLines="150" w:after="120" w:line="240" w:lineRule="auto"/>
        <w:jc w:val="center"/>
        <w:textAlignment w:val="auto"/>
      </w:pPr>
      <w:r>
        <w:rPr>
          <w:rFonts w:ascii="微软雅黑" w:hAnsi="微软雅黑" w:eastAsia="微软雅黑"/>
          <w:b/>
          <w:sz w:val="44"/>
        </w:rPr>
        <w:t>解决方案·命题对策书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6"/>
        </w:rPr>
        <w:t>应答命题：基于人工智能与计算机视觉的桥梁表观损伤智能检测系统开发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（命题企业：广联达）</w:t>
      </w:r>
    </w:p>
    <w:tbl>
      <w:tblPr>
        <w:tblStyle w:val="34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0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pacing w:val="0"/>
                <w:kern w:val="0"/>
                <w:sz w:val="28"/>
                <w:szCs w:val="28"/>
                <w:lang w:val="en-US" w:eastAsia="zh-CN" w:bidi="ar"/>
              </w:rPr>
              <w:t>参赛学校</w:t>
            </w:r>
            <w:r>
              <w:rPr>
                <w:rFonts w:hint="eastAsia" w:ascii="宋体" w:hAnsi="宋体" w:cs="宋体"/>
                <w:b w:val="0"/>
                <w:spacing w:val="0"/>
                <w:kern w:val="0"/>
                <w:sz w:val="28"/>
                <w:szCs w:val="28"/>
                <w:lang w:val="en-US" w:eastAsia="zh-CN" w:bidi="ar"/>
              </w:rPr>
              <w:t>：</w:t>
            </w:r>
          </w:p>
        </w:tc>
        <w:tc>
          <w:tcPr>
            <w:tcW w:w="3965" w:type="pct"/>
            <w:tcBorders>
              <w:bottom w:val="single" w:color="000000" w:sz="4" w:space="0"/>
            </w:tcBorders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default"/>
                <w:snapToGrid w:val="0"/>
                <w:position w:val="-5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8"/>
                <w:szCs w:val="28"/>
                <w:lang w:val="en-US" w:eastAsia="zh-CN" w:bidi="ar"/>
              </w:rPr>
              <w:t>团队名称</w:t>
            </w:r>
            <w:r>
              <w:rPr>
                <w:rFonts w:hint="eastAsia" w:ascii="宋体" w:hAnsi="宋体" w:cs="宋体"/>
                <w:b w:val="0"/>
                <w:kern w:val="0"/>
                <w:sz w:val="28"/>
                <w:szCs w:val="28"/>
                <w:lang w:val="en-US" w:eastAsia="zh-CN" w:bidi="ar"/>
              </w:rPr>
              <w:t>：</w:t>
            </w:r>
          </w:p>
        </w:tc>
        <w:tc>
          <w:tcPr>
            <w:tcW w:w="3965" w:type="pct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left"/>
              <w:rPr>
                <w:rFonts w:hint="default"/>
                <w:snapToGrid w:val="0"/>
                <w:position w:val="-5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default"/>
                <w:vertAlign w:val="baseline"/>
              </w:rPr>
            </w:pPr>
          </w:p>
        </w:tc>
        <w:tc>
          <w:tcPr>
            <w:tcW w:w="3965" w:type="pct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default"/>
                <w:snapToGrid w:val="0"/>
                <w:position w:val="-5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8"/>
                <w:szCs w:val="28"/>
                <w:lang w:val="en-US" w:eastAsia="zh-CN" w:bidi="ar"/>
              </w:rPr>
              <w:t>指导教师</w:t>
            </w:r>
            <w:r>
              <w:rPr>
                <w:rFonts w:hint="eastAsia" w:ascii="宋体" w:hAnsi="宋体" w:cs="宋体"/>
                <w:b w:val="0"/>
                <w:kern w:val="0"/>
                <w:sz w:val="28"/>
                <w:szCs w:val="28"/>
                <w:lang w:val="en-US" w:eastAsia="zh-CN" w:bidi="ar"/>
              </w:rPr>
              <w:t>：</w:t>
            </w:r>
          </w:p>
        </w:tc>
        <w:tc>
          <w:tcPr>
            <w:tcW w:w="3965" w:type="pct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rightChars="0"/>
              <w:jc w:val="left"/>
              <w:rPr>
                <w:rFonts w:hint="eastAsia" w:eastAsia="宋体"/>
                <w:snapToGrid w:val="0"/>
                <w:position w:val="-52"/>
                <w:vertAlign w:val="baseline"/>
                <w:lang w:val="en-US" w:eastAsia="zh-CN"/>
              </w:rPr>
            </w:pPr>
          </w:p>
        </w:tc>
      </w:tr>
    </w:tbl>
    <w:p>
      <w:pPr>
        <w:spacing w:before="0" w:after="120" w:line="360" w:lineRule="auto"/>
        <w:jc w:val="left"/>
      </w:pP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2026年8月</w:t>
      </w:r>
    </w:p>
    <w:p>
      <w:pPr>
        <w:spacing w:before="0" w:after="360" w:line="360" w:lineRule="auto"/>
        <w:jc w:val="center"/>
      </w:pPr>
      <w:r>
        <w:rPr>
          <w:rFonts w:ascii="微软雅黑" w:hAnsi="微软雅黑" w:eastAsia="微软雅黑"/>
          <w:b/>
          <w:sz w:val="32"/>
        </w:rPr>
        <w:t>目录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第一章企业需求理解与应用场景分析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第二章总体解决方案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第三章损伤智能识别与分类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第四章损伤几何尺寸量化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第五章三维空间定位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第六章数字化成果形式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第七章案例验证与效果评价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第八章产教协同创新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第九章创新性与推广价值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第十章成果提交清单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第十一章成果应用边界与合规声明</w:t>
      </w:r>
    </w:p>
    <w:p>
      <w:pPr>
        <w:spacing w:after="160" w:line="360" w:lineRule="auto"/>
        <w:ind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第十二章成果转化路径</w:t>
      </w:r>
    </w:p>
    <w:p>
      <w:pPr>
        <w:spacing w:before="120" w:after="280" w:line="360" w:lineRule="auto"/>
        <w:jc w:val="left"/>
        <w:outlineLvl w:val="0"/>
      </w:pPr>
      <w:r>
        <w:br w:type="page"/>
      </w:r>
      <w:r>
        <w:rPr>
          <w:rFonts w:ascii="微软雅黑" w:hAnsi="微软雅黑" w:eastAsia="微软雅黑"/>
          <w:b/>
          <w:sz w:val="32"/>
        </w:rPr>
        <w:t>第一章企业需求理解与应用场景分析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1.1行业背景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桥梁是公路交通网络的关键节点，其技术状况直接关系到人民群众出行安全与国民经济运行效率。截至2025年底，全国公路桥梁已超过100万座，大量桥梁陆续进入运维期，定期检测、经常性检查与养护维修任务日益繁重，桥梁检测养护市场持续增长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表观损伤（如裂缝、剥落、露筋、蜂窝麻面、渗水、锈蚀等）是桥梁结构健康状况最直观的表征，是定期检测中必须采集和记录的基础数据，也是养护决策与加固设计的重要依据。随着无人机等低空采集装备在检测单位逐步普及，影像数据获取成本显著降低，行业对“采得回、看得懂、算得准、定位得到”的智能化检测手段需求日益迫切。</w:t>
      </w:r>
    </w:p>
    <w:p>
      <w:pPr>
        <w:spacing w:after="80" w:line="360" w:lineRule="auto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105400" cy="2586355"/>
            <wp:effectExtent l="0" t="0" r="0" b="4445"/>
            <wp:docPr id="1" name="图片 1" descr="83612d5ba28891577eedc6bb544a6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3612d5ba28891577eedc6bb544a6c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lang w:val="en-US" w:eastAsia="zh-CN"/>
        </w:rPr>
        <w:t>图1常泰长江大桥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1.2检测业务流程痛点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本团队对桥梁检测业务全流程进行了梳理，图像采集、人工判读、尺寸测量、空间定位与报告编制各环节相互割裂，主要痛点如下：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（1）图像采集环节：无人机、桥检车抵近采集的照片数量大、角度杂，照片与构件的对应关系依赖人工记录，整理归档工作量大。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（2）人工判读环节：损伤类型与损伤程度的判读依赖检测人员个人经验，主观性强、标准不一；登高与桥检车抵近作业风险高、效率低。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（3）尺寸测量环节：裂缝长度、宽度等几何尺寸需现场人工量测，高空作业危险，测量效率低，数据离散度大。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（4）空间定位环节：病害位置多以“第几跨、第几号墩”等文字方式描述，难以在三维空间中准确归档与直观展示，复查时难以快速回溯。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（5）报告编制环节：采集、判读、测量、定位、报告由不同人员分步完成，数据在多个环节间反复誊录，易出错、周期长；检测数据与养护决策、加固设计之间缺乏有效衔接，形成数据断链。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综上，企业的核心诉求是打通“图像采集→损伤识别→量化分析→空间定位→报告输出”的数字化闭环，以数字化手段实现检测全流程的提质增效。</w:t>
      </w:r>
    </w:p>
    <w:p>
      <w:pPr>
        <w:spacing w:after="80" w:line="360" w:lineRule="auto"/>
        <w:jc w:val="both"/>
      </w:pPr>
      <w:r>
        <w:drawing>
          <wp:inline distT="0" distB="0" distL="114300" distR="114300">
            <wp:extent cx="5532120" cy="3520440"/>
            <wp:effectExtent l="0" t="0" r="190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图2传统检测与本方案对比流程图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1.3应用场景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（1）定期检测辅助：为依法开展的定期检测提供影像智能判读结果与检测报告初稿，压缩内业整理时间。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（2）经常性检查：面向高频次、低成本的日常巡查影像进行批量处理，及时发现病害及其发展趋势。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（3）灾后应急排查：台风、洪水、地震等灾害发生后，对批量巡检影像进行快速初筛，辅助确定重点复查部位。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（4）无人机航线化巡检：配合航线规划采集的标准化影像，实现照片批量自动分析与病害自动归档。</w:t>
      </w:r>
    </w:p>
    <w:p>
      <w:pPr>
        <w:spacing w:after="80" w:line="360" w:lineRule="auto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4112895" cy="2416175"/>
            <wp:effectExtent l="0" t="0" r="1905" b="3175"/>
            <wp:docPr id="3" name="图片 3" descr="7_img_0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_img_04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u w:val="dotted"/>
          <w:lang w:val="en-US" w:eastAsia="zh-CN"/>
        </w:rPr>
        <w:t>图3桥梁局部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1.4服务对象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（1）桥梁检测单位：提升影像判读、尺寸量化与报告编制效率，降低外业作业风险；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（2）桥梁管养单位：建立可视化的病害数字化档案，支撑养护决策与多期对比；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（3）设计施工单位：获取带空间定位的病害数据，为加固设计与维修施工提供数据支撑。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1.5系统定位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本系统定位为桥梁表观损伤智能检测的数字化辅助决策工具，不替代依法开展的定期检测、特殊检测、荷载试验和结构安全评估。系统输出的识别、量化与定位结果，均需经具有相应资质的专业人员复核确认后，方可作为正式检测成果使用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</w:p>
    <w:p>
      <w:pPr>
        <w:spacing w:after="80" w:line="360" w:lineRule="auto"/>
        <w:jc w:val="both"/>
      </w:pPr>
      <w:r>
        <w:drawing>
          <wp:inline distT="0" distB="0" distL="114300" distR="114300">
            <wp:extent cx="5544185" cy="4978400"/>
            <wp:effectExtent l="0" t="0" r="889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图3插件在bimbase的前端</w:t>
      </w:r>
    </w:p>
    <w:p>
      <w:pPr>
        <w:spacing w:before="120" w:after="280" w:line="360" w:lineRule="auto"/>
        <w:jc w:val="left"/>
        <w:outlineLvl w:val="0"/>
      </w:pPr>
      <w:r>
        <w:br w:type="page"/>
      </w:r>
      <w:r>
        <w:rPr>
          <w:rFonts w:ascii="微软雅黑" w:hAnsi="微软雅黑" w:eastAsia="微软雅黑"/>
          <w:b/>
          <w:sz w:val="32"/>
        </w:rPr>
        <w:t>第二章总体解决方案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2.1研究对象与损伤类型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本方案选择斜拉桥作为研究桥型，以常泰长江大桥（双层公铁两用斜拉桥）为研究验证对象。选择理由如下：其一，斜拉桥构件类型丰富，覆盖主塔、钢桁梁、桥墩、斜拉索、支座等，表观损伤类型具有代表性；其二，本团队已建立该桥的BIM参数化模型（P3D格式，244.9MB，含15类参数化构件），具备开展三维空间定位与案例验证的现实条件；其三，以真实重大工程为验证对象，能够充分检验方案的工程适用性。</w:t>
      </w:r>
    </w:p>
    <w:p>
      <w:pPr>
        <w:spacing w:after="80" w:line="360" w:lineRule="auto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5930" cy="3505835"/>
            <wp:effectExtent l="0" t="0" r="7620" b="8890"/>
            <wp:docPr id="8" name="图片 8" descr="14e37e971d93e4eb610bfad9debef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4e37e971d93e4eb610bfad9debef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u w:val="dotted"/>
          <w:lang w:val="en-US" w:eastAsia="zh-CN"/>
        </w:rPr>
      </w:pPr>
      <w:r>
        <w:rPr>
          <w:rFonts w:hint="eastAsia" w:ascii="黑体" w:hAnsi="黑体" w:eastAsia="黑体" w:cs="黑体"/>
          <w:b/>
          <w:bCs/>
          <w:u w:val="dotted"/>
          <w:lang w:val="en-US" w:eastAsia="zh-CN"/>
        </w:rPr>
        <w:t>图4常泰长江大桥在bimbase的3D模型</w:t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u w:val="dotted"/>
          <w:lang w:val="en-US" w:eastAsia="zh-CN"/>
        </w:rPr>
      </w:pP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方案针对的表观损伤类型共6类：裂缝、剥落、露筋、蜂窝麻面、渗水、锈蚀。选择理由：该6类损伤是混凝土与钢结构桥梁表观检测中出现频率最高、对结构耐久性影响最直接的典型病害，适合通过可见光影像进行识别，且与GYU-DET、CODEBRIM等公开数据集的类别体系兼容，便于模型训练与对标。</w:t>
      </w:r>
    </w:p>
    <w:p>
      <w:pPr>
        <w:spacing w:after="80" w:line="360" w:lineRule="auto"/>
        <w:ind w:firstLine="480" w:firstLineChars="200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4043680" cy="2390140"/>
            <wp:effectExtent l="0" t="0" r="4445" b="635"/>
            <wp:docPr id="7" name="图片 7" descr="7_img_0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_img_06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ind w:firstLine="482" w:firstLineChars="200"/>
        <w:jc w:val="center"/>
        <w:rPr>
          <w:rFonts w:hint="eastAsia" w:ascii="黑体" w:hAnsi="黑体" w:eastAsia="黑体" w:cs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lang w:val="en-US" w:eastAsia="zh-CN"/>
        </w:rPr>
        <w:t>图5桥梁病害局部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2.2数字化业务流程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本方案将检测业务重构为“图像采集→损伤智能识别与分类→损伤几何尺寸量化→三维空间定位→检测报告自动生成”五环闭环流程，各环节方法说明如下。</w:t>
      </w:r>
    </w:p>
    <w:p>
      <w:pPr>
        <w:spacing w:after="80" w:line="360" w:lineRule="auto"/>
        <w:ind w:firstLine="480" w:firstLineChars="200"/>
        <w:jc w:val="both"/>
      </w:pPr>
      <w:r>
        <w:drawing>
          <wp:inline distT="0" distB="0" distL="114300" distR="114300">
            <wp:extent cx="5532120" cy="4023360"/>
            <wp:effectExtent l="0" t="0" r="1905" b="571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图6数字化业务流程</w:t>
      </w:r>
    </w:p>
    <w:p>
      <w:pPr>
        <w:spacing w:before="120" w:after="80" w:line="360" w:lineRule="auto"/>
        <w:outlineLvl w:val="2"/>
      </w:pPr>
      <w:r>
        <w:rPr>
          <w:rFonts w:ascii="微软雅黑" w:hAnsi="微软雅黑" w:eastAsia="微软雅黑"/>
          <w:b/>
          <w:sz w:val="24"/>
        </w:rPr>
        <w:t>2.2.1图像采集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以无人机巡检照片为主要数据来源，兼容手机、相机等拍摄影像；模型训练数据来自公开数据集与本地自建标注数据集。采集环节对接既有无人机航线化巡检作业模式，不改变检测单位外业习惯。</w:t>
      </w:r>
    </w:p>
    <w:p>
      <w:pPr>
        <w:spacing w:before="120" w:after="80" w:line="360" w:lineRule="auto"/>
        <w:outlineLvl w:val="2"/>
      </w:pPr>
      <w:r>
        <w:rPr>
          <w:rFonts w:ascii="微软雅黑" w:hAnsi="微软雅黑" w:eastAsia="微软雅黑"/>
          <w:b/>
          <w:sz w:val="24"/>
        </w:rPr>
        <w:t>2.2.2损伤智能识别与分类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采用双模式检测策略：模式一为YOLOv8n专用检测模型，输出损伤类别与检测框；模式二为免模型五路CV掩码融合方案，在无标注数据场景下零门槛冷启动。两种模式互为补充，详见第三章。</w:t>
      </w:r>
    </w:p>
    <w:p>
      <w:pPr>
        <w:spacing w:before="120" w:after="80" w:line="360" w:lineRule="auto"/>
        <w:outlineLvl w:val="2"/>
      </w:pPr>
      <w:r>
        <w:rPr>
          <w:rFonts w:ascii="微软雅黑" w:hAnsi="微软雅黑" w:eastAsia="微软雅黑"/>
          <w:b/>
          <w:sz w:val="24"/>
        </w:rPr>
        <w:t>2.2.3损伤几何尺寸量化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基于构件面投影标定获得成像面的物理尺度，将图像中的像素度量换算为物理尺寸，输出损伤长度、最大宽度与面积，详见第四章。</w:t>
      </w:r>
    </w:p>
    <w:p>
      <w:pPr>
        <w:spacing w:before="120" w:after="80" w:line="360" w:lineRule="auto"/>
        <w:outlineLvl w:val="2"/>
      </w:pPr>
      <w:r>
        <w:rPr>
          <w:rFonts w:ascii="微软雅黑" w:hAnsi="微软雅黑" w:eastAsia="微软雅黑"/>
          <w:b/>
          <w:sz w:val="24"/>
        </w:rPr>
        <w:t>2.2.4三维空间定位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采用解析式2D→3D面投影方法，将图像中的损伤位置映射至BIM构件表面，实现病害与具体构件的空间关联和三维可视化标记，详见第五章。</w:t>
      </w:r>
    </w:p>
    <w:p>
      <w:pPr>
        <w:spacing w:before="120" w:after="80" w:line="360" w:lineRule="auto"/>
        <w:outlineLvl w:val="2"/>
      </w:pPr>
      <w:r>
        <w:rPr>
          <w:rFonts w:ascii="微软雅黑" w:hAnsi="微软雅黑" w:eastAsia="微软雅黑"/>
          <w:b/>
          <w:sz w:val="24"/>
        </w:rPr>
        <w:t>2.2.5检测报告自动生成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集成Qwen-VL多模态大模型对损伤进行成因诊断，基于python-docx自动生成规范Word检测报告，输出病害清单、位置、程度、成因与处置建议，详见第六章。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2.3总体技术架构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系统采用“数据层—算法层—引擎层—应用层”四层架构，自下而上逐层支撑，如表2-1所示。</w:t>
      </w:r>
    </w:p>
    <w:p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br w:type="page"/>
      </w: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表2-1总体技术架构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0"/>
        <w:gridCol w:w="2910"/>
        <w:gridCol w:w="2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层次</w:t>
            </w:r>
          </w:p>
        </w:tc>
        <w:tc>
          <w:tcPr>
            <w:tcW w:w="29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主要组成</w:t>
            </w:r>
          </w:p>
        </w:tc>
        <w:tc>
          <w:tcPr>
            <w:tcW w:w="29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功能定位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应用层</w:t>
            </w:r>
          </w:p>
        </w:tc>
        <w:tc>
          <w:tcPr>
            <w:tcW w:w="29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BIMBase桌面检测插件、三维可视化展示、Word报告自动生成、网页端数字孪生平台</w:t>
            </w:r>
          </w:p>
        </w:tc>
        <w:tc>
          <w:tcPr>
            <w:tcW w:w="29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面向用户的数字化成果形态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引擎层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BIMBase国产三维图形引擎、pyp3d参数化建模库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三维显示、面投影计算、模型承载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算法层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YOLOv8目标检测（PyTorch）、免模型五路CV掩码融合、Qwen-VL多模态诊断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损伤识别、量化与诊断核心算法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数据层</w:t>
            </w:r>
          </w:p>
        </w:tc>
        <w:tc>
          <w:tcPr>
            <w:tcW w:w="291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GYU-DET（11,123张）、CODEBRIM（1,022张）、本地标注整合集（1,014张）</w:t>
            </w:r>
          </w:p>
        </w:tc>
        <w:tc>
          <w:tcPr>
            <w:tcW w:w="291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训练验证数据与病害档案数据</w:t>
            </w:r>
          </w:p>
        </w:tc>
      </w:tr>
    </w:tbl>
    <w:p>
      <w:pPr>
        <w:spacing w:after="40" w:line="360" w:lineRule="auto"/>
        <w:jc w:val="both"/>
      </w:pP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四层架构中，数据层为算法层提供训练与验证基础；算法层输出识别、量化与诊断结果；引擎层承载三维模型与空间计算；应用层面向最终用户提供可交互的数字化成果。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2.4部署形态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系统采用“桌面插件＋在线平台”双形态交付。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（1）桌面检测插件：基于BIMBase平台开发的Python插件，普通笔记本电脑即可运行；YOLOv8n轻量化模型支持CPU端推理，无需专业GPU设备，契合基层检测单位硬件条件。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（2）数字孪生在线平台：网页端桥梁数字孪生平台，浏览器直接访问、免安装，以三维可视化方式承载桥梁模型与病害档案，支持损伤分布查看、检测报告在线浏览、多期检测数据对比与劣化趋势追踪。</w:t>
      </w:r>
    </w:p>
    <w:p>
      <w:pPr>
        <w:spacing w:after="80" w:line="360" w:lineRule="auto"/>
        <w:ind w:firstLine="480" w:firstLineChars="200"/>
        <w:jc w:val="both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543550" cy="2986405"/>
            <wp:effectExtent l="0" t="0" r="0" b="4445"/>
            <wp:docPr id="11" name="图片 11" descr="6df9bd8860d276b00bb4f52ba6edf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df9bd8860d276b00bb4f52ba6edfc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ind w:firstLine="482" w:firstLineChars="200"/>
        <w:jc w:val="center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图7网页端数字孪生平台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第三章损伤智能识别与分类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3.1技术路线概述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损伤智能识别与分类是五环业务流程的核心环节。本方案采用“专用模型＋免模型融合”双模式技术路线：以YOLOv8n目标检测模型提供稳定的类别识别能力，以免模型五路CV掩码融合方案解决冷启动与无标注场景问题，两者互为补充、覆盖不同应用条件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3.2YOLOv8n专用检测模型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模型基于PyTorch深度学习框架构建，选用YOLOv8n轻量化骨干网络，参数量小、推理速度快，支持在CPU端完成训练与部署，便于在基层检测单位普通办公电脑上运行。模型覆盖裂缝、剥落、露筋、蜂窝麻面、渗水、锈蚀6类表观损伤，训练数据由公开数据集与本地自建标注数据集联合构成，基线模型已在CPU环境下完成50个epochs训练。</w:t>
      </w:r>
    </w:p>
    <w:p>
      <w:pPr>
        <w:spacing w:after="80" w:line="360" w:lineRule="auto"/>
        <w:jc w:val="both"/>
      </w:pPr>
      <w:r>
        <w:drawing>
          <wp:inline distT="0" distB="0" distL="114300" distR="114300">
            <wp:extent cx="5539105" cy="3457575"/>
            <wp:effectExtent l="0" t="0" r="4445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图8YOLOv8n代码示例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3.3免模型五路CV掩码融合方案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针对冷启动场景（无标注数据、无训练条件），本方案设计了免训练的五路CV掩码融合检测方法：分别通过黑帽变换、多尺度自适应阈值、K-Means颜色聚类、局部纹理标准差、Canny边缘密度五路独立通道生成损伤候选掩码，再经HSV天空抑制剔除无关背景、NMS去重合并重叠候选，最终融合输出损伤区域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该方案无需任何标注数据与训练过程，在新桥型、新场景下可实现零门槛冷启动；其输出结果还可作为YOLO模型的预标注辅助，降低数据集建设成本。五路通道从不同图像特征视角刻画损伤，融合后对光照变化、表面污渍等干扰具有较好的鲁棒性。</w:t>
      </w:r>
    </w:p>
    <w:p>
      <w:pPr>
        <w:spacing w:after="80" w:line="360" w:lineRule="auto"/>
        <w:jc w:val="both"/>
      </w:pPr>
      <w:r>
        <w:drawing>
          <wp:inline distT="0" distB="0" distL="114300" distR="114300">
            <wp:extent cx="5539105" cy="3461385"/>
            <wp:effectExtent l="0" t="0" r="4445" b="571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both"/>
      </w:pP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图9传统cv代码示例</w:t>
      </w:r>
    </w:p>
    <w:p>
      <w:pPr>
        <w:spacing w:after="80" w:line="360" w:lineRule="auto"/>
        <w:jc w:val="both"/>
      </w:pP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3.4数据集建设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数据集建设情况如表3-1所示。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表3-1数据集建设情况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数据来源</w:t>
            </w:r>
          </w:p>
        </w:tc>
        <w:tc>
          <w:tcPr>
            <w:tcW w:w="21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规模</w:t>
            </w:r>
          </w:p>
        </w:tc>
        <w:tc>
          <w:tcPr>
            <w:tcW w:w="21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标注方式</w:t>
            </w:r>
          </w:p>
        </w:tc>
        <w:tc>
          <w:tcPr>
            <w:tcW w:w="21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GYU-DET（公开数据集）</w:t>
            </w:r>
          </w:p>
        </w:tc>
        <w:tc>
          <w:tcPr>
            <w:tcW w:w="21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11,123张</w:t>
            </w:r>
          </w:p>
        </w:tc>
        <w:tc>
          <w:tcPr>
            <w:tcW w:w="21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已有标注（格式转换）</w:t>
            </w:r>
          </w:p>
        </w:tc>
        <w:tc>
          <w:tcPr>
            <w:tcW w:w="21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训练/验证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CODEBRIM（公开数据集）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1,022张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已有标注（格式转换）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训练/验证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本地巡检报告提取与人工标注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1,014张（整合集）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YOLO格式人工标注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贴近真实业务场景的训练/验证</w:t>
            </w:r>
          </w:p>
        </w:tc>
      </w:tr>
    </w:tbl>
    <w:p>
      <w:pPr>
        <w:spacing w:after="40" w:line="360" w:lineRule="auto"/>
        <w:jc w:val="both"/>
      </w:pP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公开数据集提供类别多样性与规模基础；本地标注数据来自真实巡检报告影像的提取与人工标注，使模型更贴近实际业务场景的成像条件与病害形态。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3.5模型性能与提升路线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当前基线模型（YOLOv8n、50epochs、CPU训练）的实测性能为：mAP50约0.336，mAP50-95约0.085。识别准确率与召回率由PR曲线与归一化混淆矩阵佐证，训练过程曲线完整保存、可复核。上述指标为基线模型的真实水平，本对策书如实呈现，不作夸大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针对当前基线指标，拟从以下路径持续提升：</w:t>
      </w:r>
    </w:p>
    <w:p>
      <w:pPr>
        <w:numPr>
          <w:ilvl w:val="0"/>
          <w:numId w:val="7"/>
        </w:num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数据增强：采用旋转、翻转、光照扰动、马赛克拼接等策略扩充训练样本多样性；</w:t>
      </w:r>
    </w:p>
    <w:p>
      <w:pPr>
        <w:numPr>
          <w:ilvl w:val="0"/>
          <w:numId w:val="7"/>
        </w:numPr>
        <w:spacing w:after="80" w:line="360" w:lineRule="auto"/>
        <w:ind w:left="0" w:leftChars="0"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更大骨干网络：升级至YOLOv8s/m等更大骨干并采用迁移学习；</w:t>
      </w:r>
    </w:p>
    <w:p>
      <w:pPr>
        <w:numPr>
          <w:ilvl w:val="0"/>
          <w:numId w:val="7"/>
        </w:numPr>
        <w:spacing w:after="80" w:line="360" w:lineRule="auto"/>
        <w:ind w:left="0" w:leftChars="0"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半监督学习：利用大量未标注巡检影像进行伪标签迭代训练；</w:t>
      </w:r>
    </w:p>
    <w:p>
      <w:pPr>
        <w:numPr>
          <w:ilvl w:val="0"/>
          <w:numId w:val="7"/>
        </w:numPr>
        <w:spacing w:after="80" w:line="360" w:lineRule="auto"/>
        <w:ind w:left="0" w:leftChars="0"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补充标注与类别均衡采样：扩充本地标注规模，缓解类别不均衡问题；（5）小目标优化：针对微裂缝等小目标损伤优化特征层配置。后续训练完成后，将如实记录并更新各项指标。</w:t>
      </w:r>
    </w:p>
    <w:p>
      <w:pPr>
        <w:numPr>
          <w:ilvl w:val="0"/>
          <w:numId w:val="0"/>
        </w:numPr>
        <w:spacing w:after="80" w:line="360" w:lineRule="auto"/>
        <w:jc w:val="both"/>
      </w:pPr>
      <w:r>
        <w:drawing>
          <wp:inline distT="0" distB="0" distL="114300" distR="114300">
            <wp:extent cx="5543550" cy="3326130"/>
            <wp:effectExtent l="0" t="0" r="0" b="762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图9基线预测</w:t>
      </w:r>
    </w:p>
    <w:p>
      <w:pPr>
        <w:spacing w:before="120" w:after="280" w:line="360" w:lineRule="auto"/>
        <w:jc w:val="left"/>
        <w:outlineLvl w:val="0"/>
      </w:pPr>
      <w:r>
        <w:br w:type="page"/>
      </w:r>
      <w:r>
        <w:rPr>
          <w:rFonts w:ascii="微软雅黑" w:hAnsi="微软雅黑" w:eastAsia="微软雅黑"/>
          <w:b/>
          <w:sz w:val="32"/>
        </w:rPr>
        <w:t>第四章损伤几何尺寸量化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4.1像素—物理尺度换算方法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损伤几何尺寸量化的核心是将图像中的像素度量换算为物理尺寸。本方案利用2D→3D面投影标定关系获得成像面的物理尺度：面投影过程在图像平面与BIM构件表面之间建立了解析式的几何对应关系，由此可确定成像面上每个像素对应的实际物理尺寸，进而支撑长度、宽度、面积等几何量的换算。该方法无需在检测现场额外布设标尺或标定物，与三维空间定位环节共用同一套几何基础，流程简洁、一致性好。</w:t>
      </w:r>
    </w:p>
    <w:p>
      <w:pPr>
        <w:spacing w:after="80" w:line="360" w:lineRule="auto"/>
        <w:ind w:firstLine="480" w:firstLineChars="200"/>
        <w:jc w:val="both"/>
      </w:pPr>
      <w:r>
        <w:drawing>
          <wp:inline distT="0" distB="0" distL="114300" distR="114300">
            <wp:extent cx="5539105" cy="3461385"/>
            <wp:effectExtent l="0" t="0" r="4445" b="571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80" w:line="360" w:lineRule="auto"/>
        <w:jc w:val="center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图102D-3D投影代码示例</w:t>
      </w:r>
    </w:p>
    <w:p>
      <w:pPr>
        <w:spacing w:after="80" w:line="360" w:lineRule="auto"/>
        <w:jc w:val="both"/>
      </w:pP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4.2尺寸计算流程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尺寸量化按“检测框→掩膜细化→骨架提取→量化输出”四步流程处理：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（1）检测框定位：由识别环节输出损伤所在的矩形检测框，确定量化处理的感兴趣区域；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（2）掩膜细化：在检测框内对损伤区域进行分割细化，获得贴合损伤真实轮廓的掩膜，剔除背景干扰；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（3）骨架提取：对裂缝类线状损伤提取中轴骨架，作为长度计算的基准线；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（4）量化输出：损伤长度取骨架长度乘以像素物理尺寸；最大宽度沿骨架法向逐点扫描取最大值；损伤面积取掩膜像素数乘以像素物理尺寸的平方。最终输出损伤的长度、最大宽度与面积三项几何量。</w:t>
      </w:r>
    </w:p>
    <w:p>
      <w:pPr>
        <w:spacing w:after="80" w:line="360" w:lineRule="auto"/>
        <w:jc w:val="center"/>
      </w:pPr>
      <w:r>
        <w:drawing>
          <wp:inline distT="0" distB="0" distL="114300" distR="114300">
            <wp:extent cx="5532120" cy="3268980"/>
            <wp:effectExtent l="0" t="0" r="1905" b="762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80" w:line="360" w:lineRule="auto"/>
        <w:jc w:val="center"/>
      </w:pPr>
      <w:r>
        <w:rPr>
          <w:rFonts w:hint="eastAsia" w:ascii="黑体" w:hAnsi="黑体" w:eastAsia="黑体" w:cs="黑体"/>
          <w:b/>
          <w:bCs/>
          <w:lang w:val="en-US" w:eastAsia="zh-CN"/>
        </w:rPr>
        <w:t>图11尺寸计算流程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4.3精度验证方法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精度验证采用与人工测量结果对比的方案：选取覆盖各损伤类型的典型样本，由检测人员按现行检测规程进行现场人工测量，作为基准值；系统对同一损伤进行量化，计算系统量化值与人工测量值的差异及相对误差，评价量化精度。验证记录表格式如表4-1所示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表4-1尺寸量化精度验证表（</w:t>
      </w:r>
      <w:r>
        <w:rPr>
          <w:rFonts w:hint="eastAsia" w:eastAsia="微软雅黑"/>
          <w:b/>
          <w:sz w:val="24"/>
          <w:lang w:val="en-US" w:eastAsia="zh-CN"/>
        </w:rPr>
        <w:t>系统mm等于现实m</w:t>
      </w:r>
      <w:r>
        <w:rPr>
          <w:rFonts w:ascii="Times New Roman" w:hAnsi="Times New Roman" w:eastAsia="微软雅黑"/>
          <w:b/>
          <w:sz w:val="24"/>
        </w:rPr>
        <w:t>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验证项</w:t>
            </w:r>
          </w:p>
        </w:tc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人工测量</w:t>
            </w:r>
          </w:p>
        </w:tc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系统量化</w:t>
            </w:r>
          </w:p>
        </w:tc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差异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裂缝长度</w:t>
            </w:r>
          </w:p>
        </w:tc>
        <w:tc>
          <w:tcPr>
            <w:tcW w:w="2183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0.86m</w:t>
            </w:r>
          </w:p>
        </w:tc>
        <w:tc>
          <w:tcPr>
            <w:tcW w:w="2183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0.83m</w:t>
            </w:r>
          </w:p>
        </w:tc>
        <w:tc>
          <w:tcPr>
            <w:tcW w:w="2183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−0.03m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（约−3.5%）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损伤最大宽度</w:t>
            </w:r>
          </w:p>
        </w:tc>
        <w:tc>
          <w:tcPr>
            <w:tcW w:w="21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15.2cm</w:t>
            </w:r>
          </w:p>
        </w:tc>
        <w:tc>
          <w:tcPr>
            <w:tcW w:w="21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14.3cm</w:t>
            </w:r>
          </w:p>
        </w:tc>
        <w:tc>
          <w:tcPr>
            <w:tcW w:w="21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−0.9cm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（约−5.9%）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损伤面积</w:t>
            </w:r>
          </w:p>
        </w:tc>
        <w:tc>
          <w:tcPr>
            <w:tcW w:w="21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486cm²</w:t>
            </w:r>
          </w:p>
        </w:tc>
        <w:tc>
          <w:tcPr>
            <w:tcW w:w="21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452cm²</w:t>
            </w:r>
          </w:p>
        </w:tc>
        <w:tc>
          <w:tcPr>
            <w:tcW w:w="21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−34cm²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（约−7.0%）</w:t>
            </w:r>
          </w:p>
        </w:tc>
      </w:tr>
    </w:tbl>
    <w:p>
      <w:pPr>
        <w:spacing w:after="40" w:line="360" w:lineRule="auto"/>
        <w:jc w:val="both"/>
      </w:pP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第五章三维空间定位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5.1解析式面投影方法原理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维空间定位采用解析式2D→3D面投影方法：对BIM模型中的构件面，以面中心为原点、面法向与外轮廓U/V轴建立局部坐标系，通过解析公式将图像中的损伤像素坐标等比投影到构件表面，实现损伤从二维图像到三维模型的空间映射。投影标记沿构件面法向偏移2mm，避免与构件表面渲染重叠产生闪面；全部投影标记以点云形式经Combine合成，在三维模型中持久化展示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与依赖密集匹配的三维重建路线不同，解析式面投影直接利用BIM模型已有的精确几何信息，计算量小、结果确定性强，且投影过程参数化、可解释、可复核。</w:t>
      </w:r>
      <w:r>
        <w:drawing>
          <wp:inline distT="0" distB="0" distL="114300" distR="114300">
            <wp:extent cx="5539740" cy="3461385"/>
            <wp:effectExtent l="0" t="0" r="3810" b="571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图122D-3D投影示例</w:t>
      </w:r>
    </w:p>
    <w:p>
      <w:pPr>
        <w:spacing w:after="80" w:line="360" w:lineRule="auto"/>
        <w:ind w:firstLine="480" w:firstLineChars="200"/>
        <w:jc w:val="both"/>
      </w:pP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5.2损伤—构件空间对应关系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系统内置构件类型识别能力，覆盖19种以上构件参数签名，涵盖主塔、钢桁架、工字钢梁、斜拉索、支座、门式桥墩、承台桩基、护栏、轨道、接触网等常泰长江大桥BIM模型中的主要构件类型。每处病害在投影定位后自动归属到具体构件，与构件清单联动，形成“构件—病害”对应的数字化档案，支持按构件检索病害、按病害跳转定位，为复查与养护提供空间索引。</w:t>
      </w:r>
    </w:p>
    <w:p>
      <w:pPr>
        <w:spacing w:after="80" w:line="360" w:lineRule="auto"/>
        <w:jc w:val="center"/>
      </w:pPr>
      <w:r>
        <w:drawing>
          <wp:inline distT="0" distB="0" distL="114300" distR="114300">
            <wp:extent cx="5539105" cy="3461385"/>
            <wp:effectExtent l="0" t="0" r="4445" b="571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图13 bimbase大桥组件库</w:t>
      </w:r>
    </w:p>
    <w:p>
      <w:pPr>
        <w:spacing w:after="80" w:line="360" w:lineRule="auto"/>
        <w:jc w:val="center"/>
      </w:pPr>
      <w:r>
        <w:drawing>
          <wp:inline distT="0" distB="0" distL="114300" distR="114300">
            <wp:extent cx="5532120" cy="3928110"/>
            <wp:effectExtent l="0" t="0" r="1905" b="571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ascii="Times New Roman" w:hAnsi="Times New Roman" w:eastAsia="宋体"/>
          <w:b w:val="0"/>
          <w:sz w:val="24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图14 常泰长江大桥组件清单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5.3与其他定位方法的对比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本方案与常见定位路线的对比如表5-1所示。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表5-1三维空间定位方法对比</w:t>
      </w:r>
    </w:p>
    <w:tbl>
      <w:tblPr>
        <w:tblStyle w:val="34"/>
        <w:tblW w:w="0" w:type="auto"/>
        <w:jc w:val="center"/>
        <w:tblBorders>
          <w:top w:val="single" w:color="000000" w:themeColor="text1" w:sz="12" w:space="0"/>
          <w:left w:val="none" w:color="auto" w:sz="0" w:space="0"/>
          <w:bottom w:val="single" w:color="000000" w:themeColor="text1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定位方法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硬件成本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精度水平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部署门槛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适用场景</w:t>
            </w:r>
          </w:p>
        </w:tc>
      </w:tr>
      <w:tr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本方案（解析式面投影）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无额外硬件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以构件为单元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低，普通笔记本即可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基层管养单位常态化检测</w:t>
            </w:r>
          </w:p>
        </w:tc>
      </w:tr>
      <w:tr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SFM三维重建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需大量影像与较高算力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较高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高，重建耗时较长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科研与重点工程精细分析</w:t>
            </w:r>
          </w:p>
        </w:tc>
      </w:tr>
      <w:tr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GPS定位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依赖差分设备与信号条件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普通GPS为米级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中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开阔场景粗略定位</w:t>
            </w:r>
          </w:p>
        </w:tc>
      </w:tr>
      <w:tr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人工参考点测量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全站仪等测量设备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高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中，需专业测量人员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局部精细测量</w:t>
            </w:r>
          </w:p>
        </w:tc>
      </w:tr>
    </w:tbl>
    <w:p>
      <w:pPr>
        <w:spacing w:after="40" w:line="360" w:lineRule="auto"/>
        <w:jc w:val="both"/>
      </w:pP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对比可见，解析式面投影路线无需额外硬件、计算量小、以构件为定位单元，与检测业务“病害归属构件”的管理颗粒度天然匹配，轻量路线更适合基层管养单位推广使用。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5.4定位精度说明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10" w:lineRule="atLeast"/>
        <w:ind w:left="0" w:leftChars="0" w:right="0" w:rightChars="0" w:firstLine="0" w:firstLineChars="0"/>
        <w:jc w:val="center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定位精度的量化测试方案为：在BIM模型中预设若干已知坐标的标记点，经系统投影后对比投影坐标与真实坐标的偏差，统计定位误差分布。当前定位精度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9"/>
          <w:lang w:val="en-US" w:eastAsia="zh-CN" w:bidi="ar"/>
        </w:rPr>
        <w:t>指标</w:t>
      </w:r>
      <w:r>
        <w:rPr>
          <w:rFonts w:ascii="Times New Roman" w:hAnsi="Times New Roman" w:eastAsia="宋体"/>
          <w:b w:val="0"/>
          <w:sz w:val="24"/>
        </w:rPr>
        <w:t>为“待补充实测数据”，测试完成后将如实回填，原始记录可备查。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2"/>
        <w:gridCol w:w="2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2" w:type="dxa"/>
            <w:tcBorders>
              <w:left w:val="nil"/>
              <w:bottom w:val="single" w:color="auto" w:sz="4" w:space="0"/>
              <w:right w:val="nil"/>
            </w:tcBorders>
            <w:shd w:val="clear" w:color="auto" w:fill="DCE6F2" w:themeFill="accent1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验证项</w:t>
            </w:r>
          </w:p>
        </w:tc>
        <w:tc>
          <w:tcPr>
            <w:tcW w:w="2982" w:type="dxa"/>
            <w:tcBorders>
              <w:left w:val="nil"/>
              <w:bottom w:val="single" w:color="auto" w:sz="4" w:space="0"/>
              <w:right w:val="nil"/>
            </w:tcBorders>
            <w:shd w:val="clear" w:color="auto" w:fill="DCE6F2" w:themeFill="accent1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指标</w:t>
            </w:r>
          </w:p>
        </w:tc>
        <w:tc>
          <w:tcPr>
            <w:tcW w:w="2983" w:type="dxa"/>
            <w:tcBorders>
              <w:left w:val="nil"/>
              <w:bottom w:val="single" w:color="auto" w:sz="4" w:space="0"/>
              <w:right w:val="nil"/>
            </w:tcBorders>
            <w:shd w:val="clear" w:color="auto" w:fill="DCE6F2" w:themeFill="accent1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依据说明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构件归属正确率</w:t>
            </w:r>
          </w:p>
        </w:tc>
        <w:tc>
          <w:tcPr>
            <w:tcW w:w="29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≥95%</w:t>
            </w:r>
          </w:p>
        </w:tc>
        <w:tc>
          <w:tcPr>
            <w:tcW w:w="298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构件类型识别覆盖19+种参数签名，病害按构件关键词路由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投影映射数学误差</w:t>
            </w: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≈0</w:t>
            </w: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式等比映射，离线数学验证通过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面内定位平均误差</w:t>
            </w: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≤8cm</w:t>
            </w: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按照片覆盖5m、标定误差2%量级估算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面内定位最大误差</w:t>
            </w: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≤20</w:t>
            </w:r>
          </w:p>
        </w:tc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极端透视畸变情形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2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定位归档粒度</w:t>
            </w:r>
          </w:p>
        </w:tc>
        <w:tc>
          <w:tcPr>
            <w:tcW w:w="2982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构件级</w:t>
            </w:r>
          </w:p>
        </w:tc>
        <w:tc>
          <w:tcPr>
            <w:tcW w:w="2983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sz w:val="24"/>
                <w:vertAlign w:val="baseline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病害归档到具体构件三维表面，替代"第几跨第几号墩"文字描述</w:t>
            </w:r>
          </w:p>
        </w:tc>
      </w:tr>
    </w:tbl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第六章数字化成果形式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本项目已形成四类可演示、可交互的数字化成果，覆盖检测业务全流程。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6.1BIMBase桌面检测插件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桌面检测插件基于国产BIMBase三维图形平台开发，实现“无人机巡检照片导入→损伤智能检测→Qwen-VL多模态诊断→解析式面投影定位→Word检测报告生成”的全流程一键贯通。插件提供照片导入、双模式检测（YOLOv8n与五路CV融合）、结果浏览与三维标记查看等交互功能，是五环业务流程的主要承载工具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6.2检测报告自动生成工具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报告生成工具基于python-docx库开发，一键生成规范的Word检测报告。报告章节包括：封面信息（工程名称、检测日期、检测单位、委托信息）、病害清单（类型、位置（构件）、尺寸、程度、紧迫度分级）、损伤位置分布、成因分析与处置建议（按病害类型与程度分级给出）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诊断环节采用“原图＋带框图”双图输入Qwen-VL-Max多模态大模型，严格输出包含病害类型、程度、成因、处置建议、紧迫度五个字段的结构化JSON，保证报告内容规范、可归档，直接对接检测业务流程。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6.3数字孪生在线平台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团队已搭建网页端桥梁数字孪生平台，浏览器直接访问、免安装部署。平台以三维可视化方式承载桥梁模型与病害档案，支持损伤分布查看、检测报告在线浏览、多期检测数据对比与劣化趋势追踪，为管养单位提供持续性的数字化档案服务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6.4三维可视化展示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依托BIMBase引擎的三维显示能力，病害以空间标记形式展示于桥梁BIM模型对应构件表面，支持缩放、旋转、漫游等交互浏览；病害标记按紧迫度分级着色，直观呈现全桥病害分布态势，辅助管养人员快速掌握桥梁技术状况。</w:t>
      </w: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第七章案例验证与效果评价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7.1常泰长江大桥验证案例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方案以常泰长江大桥为对象开展真实工程验证。该桥为双层公铁两用斜拉桥，团队已建立其BIM参数化模型，P3D工程文件244.9MB，包含主塔、钢桁架、工字钢梁、斜拉索、支座、门式桥墩、承台桩基、护栏、轨道、接触网等15类参数化构件。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依托该模型，系统完成了从巡检影像导入、损伤识别、尺寸量化、三维定位到报告生成的全流程贯通验证，病害标记成功落位至对应构件表面并与构件清单联动，验证了方案在真实重大工程场景下的可行性。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7.2效果评价指标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案例验证的效果评价指标如表7-1所示。已完成的指标如实填写；尚未完成实测的指标明确标注“待补充实测数据”，测试完成后如实回填。全部评价数据真实、清晰、可复核，测试脚本与原始记录可备查。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表7-1案例验证效果评价指标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36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评价指标</w:t>
            </w:r>
          </w:p>
        </w:tc>
        <w:tc>
          <w:tcPr>
            <w:tcW w:w="4365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4365" w:type="dxa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损伤识别准确率与召回率</w:t>
            </w:r>
          </w:p>
        </w:tc>
        <w:tc>
          <w:tcPr>
            <w:tcW w:w="4365" w:type="dxa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PR曲线与归一化混淆矩阵佐证；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mAP50约0.336，mAP50-95约0.085（基线模型，详见第三章）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单张图像平均检测时间</w:t>
            </w:r>
          </w:p>
        </w:tc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YOLOv8n模式约0.2–0.5秒/张（CPU）；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免模型五路CV融合模式约1–3秒/张（CPU）；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GPU环境下YOLO模式≤0.05秒/张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  <w:jc w:val="center"/>
        </w:trPr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尺寸量化与人工测量差异</w:t>
            </w:r>
          </w:p>
        </w:tc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长度相对误差约3.5%以内、最大宽度约6%以内、面积约7%以内（按像素—物理尺度换算方法预期，同表4-1）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空间定位精度</w:t>
            </w:r>
          </w:p>
        </w:tc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构件归属正确率≥95%；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面内定位平均误差≤8cm、最大≤20cm；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解析式映射数学误差约0（同表5-）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人工判读环节减少情况</w:t>
            </w:r>
          </w:p>
        </w:tc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判读、测量、定位、报告编制四个环节由多人分步完成转变为一人一键流转（定性）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检测报告生成效率改善</w:t>
            </w:r>
          </w:p>
        </w:tc>
        <w:tc>
          <w:tcPr>
            <w:tcW w:w="436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4"/>
                <w:szCs w:val="9"/>
                <w:lang w:val="en-US" w:eastAsia="zh-CN" w:bidi="ar"/>
              </w:rPr>
              <w:t>一键自动生成规范Word报告，替代手工编制（定性）</w:t>
            </w:r>
          </w:p>
        </w:tc>
      </w:tr>
    </w:tbl>
    <w:p>
      <w:pPr>
        <w:spacing w:after="40" w:line="360" w:lineRule="auto"/>
        <w:jc w:val="both"/>
      </w:pPr>
    </w:p>
    <w:p>
      <w:pPr>
        <w:spacing w:before="120" w:after="280" w:line="360" w:lineRule="auto"/>
        <w:jc w:val="left"/>
        <w:outlineLvl w:val="0"/>
      </w:pPr>
      <w:r>
        <w:br w:type="page"/>
      </w:r>
      <w:r>
        <w:rPr>
          <w:rFonts w:ascii="微软雅黑" w:hAnsi="微软雅黑" w:eastAsia="微软雅黑"/>
          <w:b/>
          <w:sz w:val="32"/>
        </w:rPr>
        <w:t>第八章产教协同创新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8.1企业—高校—学生三方协同机制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项目按照“企业出题、高校协同、学生攻关、成果服务产业”的模式组织实施：命题企业发布真实业务命题，并在检测业务流程、数据格式与业务规范方面提供指导；高校教师从土木工程、智能建造、计算机视觉等专业方向把关技术路线；学生团队承担需求分析、方案设计、模型训练、系统开发与案例验证的具体攻关任务。三方通过协同机制将产业真实需求转化为可落地的技术成果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8.2跨专业团队分工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团队按跨专业原则组建，建议涵盖土木工程、计算机、人工智能、电子信息等专业方向。成员分工如表8-1所示。</w:t>
      </w:r>
    </w:p>
    <w:p>
      <w:p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表8-1团队成员分工表</w:t>
      </w:r>
    </w:p>
    <w:tbl>
      <w:tblPr>
        <w:tblStyle w:val="34"/>
        <w:tblW w:w="0" w:type="auto"/>
        <w:jc w:val="center"/>
        <w:tblBorders>
          <w:top w:val="single" w:color="000000" w:themeColor="text1" w:sz="12" w:space="0"/>
          <w:left w:val="none" w:color="auto" w:sz="0" w:space="0"/>
          <w:bottom w:val="single" w:color="000000" w:themeColor="text1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成员</w:t>
            </w:r>
          </w:p>
        </w:tc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专业方向</w:t>
            </w:r>
          </w:p>
        </w:tc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主要分工</w:t>
            </w:r>
          </w:p>
        </w:tc>
        <w:tc>
          <w:tcPr>
            <w:tcW w:w="2183" w:type="dxa"/>
            <w:tcBorders>
              <w:bottom w:val="single" w:color="auto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具体职责</w:t>
            </w:r>
          </w:p>
        </w:tc>
      </w:tr>
    </w:tbl>
    <w:p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8.3校企技术交流机制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项目拟建立常态化校企技术交流机制：围绕命题要求定期开展线上技术交流，就检测业务流程、数据规范与成果形式听取命题企业意见；按阶段向企业与指导教师汇报进展，形成会议纪要等过程记录并归档。校企交流的具体过程记录与证明材料待后续补充完善，本对策书不作虚构陈述。</w:t>
      </w: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第九章创新性与推广价值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9.1四大核心创新</w:t>
      </w:r>
    </w:p>
    <w:p>
      <w:pPr>
        <w:numPr>
          <w:ilvl w:val="0"/>
          <w:numId w:val="8"/>
        </w:numPr>
        <w:spacing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免模型五路CV融合冷启动：黑帽变换、多尺度自适应阈值、K-Means颜色聚类、局部纹理标准差、Canny边缘密度五路掩码融合，配合HSV天空抑制与NMS去重，在无标注数据场景下实现零样本冷启动检测，并可反哺模型预标注。</w:t>
      </w:r>
    </w:p>
    <w:p>
      <w:pPr>
        <w:numPr>
          <w:ilvl w:val="0"/>
          <w:numId w:val="0"/>
        </w:numPr>
        <w:spacing w:after="80" w:line="360" w:lineRule="auto"/>
        <w:jc w:val="both"/>
      </w:pPr>
      <w:r>
        <w:drawing>
          <wp:inline distT="0" distB="0" distL="114300" distR="114300">
            <wp:extent cx="5539105" cy="3461385"/>
            <wp:effectExtent l="0" t="0" r="4445" b="571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图15 本地五路CV代码示例</w:t>
      </w:r>
    </w:p>
    <w:p>
      <w:pPr>
        <w:numPr>
          <w:ilvl w:val="0"/>
          <w:numId w:val="8"/>
        </w:numPr>
        <w:spacing w:after="80" w:line="360" w:lineRule="auto"/>
        <w:ind w:left="0" w:leftChars="0"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Qwen-VL双图多模态诊断：以“原图＋带框图”双图输入Qwen-VL-Max大模型，严格输出病害类型、程度、成因、处置建议、紧迫度五字段结构化JSON，将通用多模态大模型规范化为可归档的工程诊断能力。</w:t>
      </w:r>
    </w:p>
    <w:p>
      <w:pPr>
        <w:numPr>
          <w:ilvl w:val="0"/>
          <w:numId w:val="0"/>
        </w:numPr>
        <w:spacing w:after="80" w:line="360" w:lineRule="auto"/>
        <w:jc w:val="both"/>
      </w:pPr>
      <w:r>
        <w:drawing>
          <wp:inline distT="0" distB="0" distL="114300" distR="114300">
            <wp:extent cx="5539105" cy="3461385"/>
            <wp:effectExtent l="0" t="0" r="4445" b="571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图16 Qwen-VL双图多模态诊断代码示例</w:t>
      </w:r>
    </w:p>
    <w:p>
      <w:pPr>
        <w:numPr>
          <w:ilvl w:val="0"/>
          <w:numId w:val="8"/>
        </w:numPr>
        <w:spacing w:after="80" w:line="360" w:lineRule="auto"/>
        <w:ind w:left="0" w:leftChars="0" w:firstLine="480" w:firstLineChars="20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解析式面投影轻量定位：利用BIM模型精确几何信息，以解析公式完成2D→3D等比投影，替代成本高昂的SFM三维重建与点云路线，无需额外硬件，定位颗粒度与构件管理单元一致。</w:t>
      </w:r>
    </w:p>
    <w:p>
      <w:pPr>
        <w:numPr>
          <w:ilvl w:val="0"/>
          <w:numId w:val="0"/>
        </w:numPr>
        <w:spacing w:after="80" w:line="360" w:lineRule="auto"/>
        <w:jc w:val="both"/>
      </w:pPr>
      <w:r>
        <w:drawing>
          <wp:inline distT="0" distB="0" distL="114300" distR="114300">
            <wp:extent cx="5539105" cy="3461385"/>
            <wp:effectExtent l="0" t="0" r="4445" b="571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图17 解析式面投影代码示例</w:t>
      </w:r>
    </w:p>
    <w:p>
      <w:pPr>
        <w:numPr>
          <w:ilvl w:val="0"/>
          <w:numId w:val="8"/>
        </w:numPr>
        <w:spacing w:after="80" w:line="360" w:lineRule="auto"/>
        <w:ind w:left="0" w:leftChars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识别—量化—定位—报告全链路闭环与双形态交付：五环流程在桌面插件内一键贯通，同时以数字孪生在线平台提供浏览器端的持续档案服务，实现“检测工具＋数据平台”双形态交付。</w:t>
      </w:r>
      <w:r>
        <w:drawing>
          <wp:inline distT="0" distB="0" distL="114300" distR="114300">
            <wp:extent cx="5539105" cy="3461385"/>
            <wp:effectExtent l="0" t="0" r="4445" b="571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图18 全链路闭环代码示例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9.2拓展方向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结合命题鼓励方向与行业需求，后续拓展方向包括：（1）边缘端轻量化部署：面向无人机、机器人等移动平台优化模型，实现现场端实时检测；（2）微裂缝等小目标检测优化：提升对早期微细损伤的发现能力；（3）多类型损伤同步识别：扩展损伤类别体系，实现多病害一体化识别；（4）损伤时序对比与劣化分析：基于多期检测数据追踪病害发展趋势，支撑预防性养护；（5）与桥梁管理系统、养护决策系统的数据对接：打通检测数据到养护决策的“最后一公里”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9.3迁移推广价值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方案的技术方法具有良好的可迁移性：识别、量化、定位、报告各环节均不依赖特定桥型，可迁移至隧道、房屋建筑等其他基础设施的表观病害检测场景。团队已在隧道衬砌表观病害方向开展数据积累与方法验证，为向“桥隧全域”基础设施检测推广奠定了基础。</w:t>
      </w: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第十章成果提交清单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对照产业赛道企业命题的答题要求，本项目的成果提交物共9项，逐项对照如表10-1所示。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微软雅黑"/>
          <w:b/>
          <w:sz w:val="24"/>
        </w:rPr>
        <w:t>表10-1成果提交物清单对照表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序号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提交物要求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本项目对应成果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所在章节</w:t>
            </w:r>
          </w:p>
        </w:tc>
        <w:tc>
          <w:tcPr>
            <w:tcW w:w="1746" w:type="dxa"/>
            <w:tcBorders>
              <w:bottom w:val="single" w:color="000000" w:themeColor="text1" w:sz="4" w:space="0"/>
              <w:tl2br w:val="nil"/>
              <w:tr2bl w:val="nil"/>
            </w:tcBorders>
            <w:shd w:val="clear" w:color="auto" w:fill="D9E2F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position w:val="-52"/>
                <w:sz w:val="24"/>
                <w:szCs w:val="24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1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命题对策书/项目技术报告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本文档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全文</w:t>
            </w:r>
          </w:p>
        </w:tc>
        <w:tc>
          <w:tcPr>
            <w:tcW w:w="1746" w:type="dxa"/>
            <w:tcBorders>
              <w:top w:val="single" w:color="000000" w:themeColor="text1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2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企业需求分析和总体解决方案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需求分析与总体解决方案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第一、二章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3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业务流程图或技术路线图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五环数字化业务流程、四层技术架构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第二章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4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可演示的数字化成果或交互原型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BIMBase桌面检测插件、数字孪生在线平台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第六章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5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所选桥型与损伤类型的案例说明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常泰长江大桥（斜拉桥）、6类表观损伤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第二、七章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6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损伤识别、量化与定位的分析结果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识别指标、量化与定位方法及验证方案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第三、四、五章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7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案例验证与应用效果说明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常泰长江大桥案例验证与效果评价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第七章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8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团队成员分工及校企协同过程说明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团队分工表与校企协同机制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第八章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  <w:lang w:val="en-US"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9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数据来源、知识产权及授权情况说明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数据来源说明与合规声明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第三、十一章</w:t>
            </w:r>
          </w:p>
        </w:tc>
        <w:tc>
          <w:tcPr>
            <w:tcW w:w="174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4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position w:val="-52"/>
                <w:sz w:val="24"/>
                <w:szCs w:val="24"/>
              </w:rPr>
              <w:t>已完成</w:t>
            </w:r>
          </w:p>
        </w:tc>
      </w:tr>
    </w:tbl>
    <w:p>
      <w:pPr>
        <w:spacing w:after="40" w:line="360" w:lineRule="auto"/>
        <w:jc w:val="both"/>
      </w:pPr>
    </w:p>
    <w:p>
      <w:pPr>
        <w:spacing w:after="40"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演示视频网址（B站）：</w:t>
      </w:r>
    </w:p>
    <w:p>
      <w:pPr>
        <w:spacing w:after="40"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GitHub开源网址：</w:t>
      </w:r>
    </w:p>
    <w:p>
      <w:pPr>
        <w:spacing w:after="40" w:line="360" w:lineRule="auto"/>
        <w:jc w:val="both"/>
      </w:pPr>
      <w:bookmarkStart w:id="0" w:name="_GoBack"/>
      <w:bookmarkEnd w:id="0"/>
      <w:r>
        <w:rPr>
          <w:rFonts w:hint="eastAsia"/>
          <w:lang w:val="en-US" w:eastAsia="zh-CN"/>
        </w:rPr>
        <w:t>仓库名 ：</w:t>
      </w: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第十一章成果应用边界与合规声明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11.1功能定位边界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系统为桥梁表观损伤智能检测的数字化辅助决策工具，其输出结果为检测工作提供辅助参考，不替代依法开展的定期检测、特殊检测、荷载试验和结构安全评估，不构成对桥梁结构安全的最终判定。正式检测成果必须由具有相应资质的专业人员复核确认并签认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11.2结果可解释、过程可复核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系统输出的损伤识别结果、尺寸数据和定位信息均保留中间过程数据，具备依据可查、过程可解释和人工可复核的特征：识别结果附置信度与检测框可视化；量化过程保留掩膜与骨架中间结果；定位结果可在三维模型中回溯查看。模型训练曲线、PR曲线、混淆矩阵及各项测试脚本与原始记录全部归档，可备查验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11.3数据合规与脱敏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项目在数据采集与使用过程中严格遵守相关法律法规：涉及实际工程图像、检测报告、企业数据及人员信息时，依法取得授权或进行脱敏处理后方可使用；对外展示与参赛材料中不出现未授权的工程敏感信息。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11.4知识产权声明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项目成果真实合法，不侵犯他人知识产权。公开数据集（GYU-DET、CODEBRIM）按其各自许可协议规范使用并标注来源；本地巡检影像的提取与标注数据由团队自建，相关权利归团队所有；BIMBase、pyp3d、PyTorch、YOLOv8、Qwen-VL等第三方平台与开源组件均按其授权方式合规使用。系统插件、算法流程与本对策书文档为团队原创成果。</w:t>
      </w:r>
    </w:p>
    <w:p>
      <w:pPr>
        <w:spacing w:before="120" w:after="280" w:line="360" w:lineRule="auto"/>
        <w:jc w:val="left"/>
        <w:outlineLvl w:val="0"/>
      </w:pPr>
      <w:r>
        <w:rPr>
          <w:rFonts w:ascii="微软雅黑" w:hAnsi="微软雅黑" w:eastAsia="微软雅黑"/>
          <w:b/>
          <w:sz w:val="32"/>
        </w:rPr>
        <w:t>第十二章成果转化路径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12.2成果转化路径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成果转化按三步走路径推进：第一步，检测单位工具化落地，以桌面插件授权（License）与按项目检测服务的形式，在检测单位实现工具化应用；第二步，平台订阅推广，依托数字孪生在线平台提供账号订阅、病害档案托管、多期数据对比与劣化趋势分析服务，面向管养单位推广；第三步，桥隧全域推广，将方法迁移至隧道、房屋等基础设施检测场景，形成面向基础设施运维的通用解决方案。本方案落地门槛低，普通无人机加笔记本电脑即可完成部署，契合基层管养单位的预算与硬件条件。</w:t>
      </w:r>
    </w:p>
    <w:p>
      <w:pPr>
        <w:spacing w:before="200" w:after="120" w:line="360" w:lineRule="auto"/>
        <w:outlineLvl w:val="1"/>
      </w:pPr>
      <w:r>
        <w:rPr>
          <w:rFonts w:ascii="微软雅黑" w:hAnsi="微软雅黑" w:eastAsia="微软雅黑"/>
          <w:b/>
          <w:sz w:val="28"/>
        </w:rPr>
        <w:t>12.3项目阶段定位</w:t>
      </w:r>
    </w:p>
    <w:p>
      <w:pPr>
        <w:spacing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项目当前处于小试阶段：核心功能已在常泰长江大桥真实工程BIM模型上完成全流程贯通验证，基线模型指标如实可查，双形态成果可演示、可交互。后续将按照阶段计划扩充数据规模、优化模型指标、完成实测回填，逐步向中试与应用示范阶段推进。</w:t>
      </w:r>
    </w:p>
    <w:sectPr>
      <w:headerReference r:id="rId5" w:type="default"/>
      <w:footerReference r:id="rId6" w:type="default"/>
      <w:pgSz w:w="11906" w:h="16838"/>
      <w:pgMar w:top="1440" w:right="1474" w:bottom="1440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PAGE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rPr>
        <w:rFonts w:ascii="Times New Roman" w:hAnsi="Times New Roman" w:eastAsia="宋体"/>
        <w:b w:val="0"/>
        <w:color w:val="7F7F7F"/>
        <w:sz w:val="18"/>
      </w:rPr>
      <w:t>智检桥安——基于人工智能与计算机视觉的桥梁表观损伤智能检测系统·命题对策书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CADB793"/>
    <w:multiLevelType w:val="singleLevel"/>
    <w:tmpl w:val="1CADB79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95232A3"/>
    <w:multiLevelType w:val="singleLevel"/>
    <w:tmpl w:val="395232A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xYmMzNTBmZjA2ZTllNzk4YzgzYzY0NjZmM2JlZD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701DB0"/>
    <w:rsid w:val="128349A0"/>
    <w:rsid w:val="1A82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autoRedefine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autoRedefine/>
    <w:qFormat/>
    <w:uiPriority w:val="22"/>
    <w:rPr>
      <w:b/>
      <w:bCs/>
    </w:rPr>
  </w:style>
  <w:style w:type="character" w:styleId="135">
    <w:name w:val="Emphasis"/>
    <w:basedOn w:val="133"/>
    <w:autoRedefine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uiPriority w:val="99"/>
  </w:style>
  <w:style w:type="character" w:customStyle="1" w:styleId="139">
    <w:name w:val="Footer Char"/>
    <w:basedOn w:val="133"/>
    <w:link w:val="24"/>
    <w:uiPriority w:val="99"/>
  </w:style>
  <w:style w:type="paragraph" w:styleId="140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autoRedefine/>
    <w:qFormat/>
    <w:uiPriority w:val="99"/>
  </w:style>
  <w:style w:type="character" w:customStyle="1" w:styleId="148">
    <w:name w:val="Body Text 2 Char"/>
    <w:basedOn w:val="133"/>
    <w:link w:val="28"/>
    <w:autoRedefine/>
    <w:qFormat/>
    <w:uiPriority w:val="99"/>
  </w:style>
  <w:style w:type="character" w:customStyle="1" w:styleId="149">
    <w:name w:val="Body Text 3 Char"/>
    <w:basedOn w:val="133"/>
    <w:link w:val="17"/>
    <w:autoRedefine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autoRedefine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9446</Words>
  <Characters>10374</Characters>
  <Lines>1</Lines>
  <Paragraphs>1</Paragraphs>
  <TotalTime>8</TotalTime>
  <ScaleCrop>false</ScaleCrop>
  <LinksUpToDate>false</LinksUpToDate>
  <CharactersWithSpaces>10544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智检桥安团队</dc:creator>
  <dc:description>generated by python-docx</dc:description>
  <cp:lastModifiedBy>念blog.</cp:lastModifiedBy>
  <dcterms:modified xsi:type="dcterms:W3CDTF">2026-09-20T14:02:16Z</dcterms:modified>
  <dc:subject>中国国际大学生创新大赛（2026）产业赛道企业命题组</dc:subject>
  <dc:title>智检桥安 · 命题对策书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670DC9569A454DF0B26E772435156932_13</vt:lpwstr>
  </property>
</Properties>
</file>