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黑体" w:hAnsi="黑体" w:eastAsia="黑体"/>
          <w:b/>
          <w:sz w:val="32"/>
        </w:rPr>
        <w:t>中国国际大学生创新大赛（2026）</w:t>
      </w:r>
    </w:p>
    <w:p>
      <w:pPr>
        <w:spacing w:line="360" w:lineRule="auto" w:after="120" w:before="0"/>
        <w:jc w:val="center"/>
      </w:pPr>
      <w:r>
        <w:rPr>
          <w:rFonts w:ascii="黑体" w:hAnsi="黑体" w:eastAsia="黑体"/>
          <w:b/>
          <w:sz w:val="28"/>
        </w:rPr>
        <w:t>产业赛道 · 企业命题组</w:t>
      </w:r>
    </w:p>
    <w:p>
      <w:pPr>
        <w:spacing w:line="360" w:lineRule="auto" w:after="120" w:before="0"/>
        <w:jc w:val="center"/>
      </w:pPr>
      <w:r>
        <w:rPr>
          <w:rFonts w:ascii="Times New Roman" w:hAnsi="Times New Roman" w:eastAsia="仿宋"/>
          <w:b w:val="0"/>
          <w:sz w:val="24"/>
        </w:rPr>
      </w:r>
    </w:p>
    <w:p>
      <w:pPr>
        <w:spacing w:line="360" w:lineRule="auto" w:after="200" w:before="0"/>
        <w:jc w:val="center"/>
      </w:pPr>
      <w:r>
        <w:rPr>
          <w:rFonts w:ascii="黑体" w:hAnsi="黑体" w:eastAsia="黑体"/>
          <w:b/>
          <w:sz w:val="72"/>
        </w:rPr>
        <w:t>智检桥安</w:t>
      </w:r>
    </w:p>
    <w:p>
      <w:pPr>
        <w:spacing w:line="360" w:lineRule="auto" w:after="120" w:before="0"/>
        <w:jc w:val="center"/>
      </w:pPr>
      <w:r>
        <w:rPr>
          <w:rFonts w:ascii="黑体" w:hAnsi="黑体" w:eastAsia="黑体"/>
          <w:b/>
          <w:sz w:val="30"/>
        </w:rPr>
        <w:t>——基于人工智能与计算机视觉的桥梁表观损伤智能检测系统</w:t>
      </w:r>
    </w:p>
    <w:p>
      <w:pPr>
        <w:spacing w:line="360" w:lineRule="auto" w:after="120" w:before="0"/>
        <w:jc w:val="center"/>
      </w:pPr>
      <w:r>
        <w:rPr>
          <w:rFonts w:ascii="Times New Roman" w:hAnsi="Times New Roman" w:eastAsia="仿宋"/>
          <w:b w:val="0"/>
          <w:sz w:val="24"/>
        </w:rPr>
      </w:r>
    </w:p>
    <w:p>
      <w:pPr>
        <w:spacing w:line="360" w:lineRule="auto" w:after="120" w:before="120"/>
        <w:jc w:val="center"/>
      </w:pPr>
      <w:r>
        <w:rPr>
          <w:rFonts w:ascii="黑体" w:hAnsi="黑体" w:eastAsia="黑体"/>
          <w:b/>
          <w:sz w:val="44"/>
        </w:rPr>
        <w:t>作品方案说明书 · 命题对策</w:t>
      </w:r>
    </w:p>
    <w:p>
      <w:pPr>
        <w:spacing w:line="360" w:lineRule="auto" w:after="120" w:before="0"/>
        <w:jc w:val="center"/>
      </w:pPr>
      <w:r>
        <w:rPr>
          <w:rFonts w:ascii="Times New Roman" w:hAnsi="Times New Roman" w:eastAsia="仿宋"/>
          <w:b w:val="0"/>
          <w:sz w:val="24"/>
        </w:rPr>
      </w:r>
    </w:p>
    <w:p>
      <w:pPr>
        <w:spacing w:line="360" w:lineRule="auto" w:after="120" w:before="0"/>
        <w:jc w:val="center"/>
      </w:pPr>
      <w:r>
        <w:rPr>
          <w:rFonts w:ascii="Times New Roman" w:hAnsi="Times New Roman" w:eastAsia="仿宋"/>
          <w:b w:val="0"/>
          <w:sz w:val="26"/>
        </w:rPr>
        <w:t>应答命题：基于人工智能与计算机视觉的桥梁表观损伤智能检测系统开发</w:t>
      </w:r>
    </w:p>
    <w:p>
      <w:pPr>
        <w:spacing w:line="360" w:lineRule="auto" w:after="120" w:before="0"/>
        <w:jc w:val="center"/>
      </w:pPr>
      <w:r>
        <w:rPr>
          <w:rFonts w:ascii="Times New Roman" w:hAnsi="Times New Roman" w:eastAsia="仿宋"/>
          <w:b w:val="0"/>
          <w:sz w:val="24"/>
        </w:rPr>
        <w:t>（命题企业：广联达）</w:t>
      </w:r>
    </w:p>
    <w:p>
      <w:pPr>
        <w:spacing w:line="360" w:lineRule="auto" w:after="120" w:before="0"/>
        <w:jc w:val="center"/>
      </w:pPr>
      <w:r>
        <w:rPr>
          <w:rFonts w:ascii="Times New Roman" w:hAnsi="Times New Roman" w:eastAsia="仿宋"/>
          <w:b w:val="0"/>
          <w:sz w:val="24"/>
        </w:rPr>
      </w:r>
    </w:p>
    <w:tbl>
      <w:tblPr>
        <w:tblStyle w:val="TableGrid"/>
        <w:tblW w:type="auto" w:w="0"/>
        <w:jc w:val="center"/>
        <w:tblLook w:firstColumn="1" w:firstRow="1" w:lastColumn="0" w:lastRow="0" w:noHBand="0" w:noVBand="1" w:val="04A0"/>
      </w:tblPr>
      <w:tblGrid>
        <w:gridCol w:w="4365"/>
        <w:gridCol w:w="4365"/>
      </w:tblGrid>
      <w:tr>
        <w:tc>
          <w:tcPr>
            <w:tcW w:type="dxa" w:w="2835"/>
          </w:tcPr>
          <w:p>
            <w:pPr>
              <w:spacing w:line="240" w:lineRule="auto" w:after="40"/>
              <w:jc w:val="center"/>
            </w:pPr>
            <w:r/>
            <w:r>
              <w:rPr>
                <w:rFonts w:ascii="Times New Roman" w:hAnsi="Times New Roman" w:eastAsia="宋体"/>
                <w:b/>
                <w:sz w:val="24"/>
              </w:rPr>
              <w:t>参赛学校</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团队名称</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指导教师</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完成日期</w:t>
            </w:r>
          </w:p>
        </w:tc>
        <w:tc>
          <w:tcPr>
            <w:tcW w:type="dxa" w:w="4535"/>
          </w:tcPr>
          <w:p>
            <w:pPr>
              <w:spacing w:line="240" w:lineRule="auto" w:after="40"/>
              <w:jc w:val="center"/>
            </w:pPr>
            <w:r/>
            <w:r>
              <w:rPr>
                <w:rFonts w:ascii="Times New Roman" w:hAnsi="Times New Roman" w:eastAsia="宋体"/>
                <w:b w:val="0"/>
                <w:sz w:val="24"/>
              </w:rPr>
              <w:t>2026年9月</w:t>
            </w:r>
          </w:p>
        </w:tc>
      </w:tr>
    </w:tbl>
    <w:p>
      <w:pPr>
        <w:spacing w:line="360" w:lineRule="auto" w:after="120" w:before="0"/>
        <w:jc w:val="center"/>
      </w:pPr>
      <w:r>
        <w:rPr>
          <w:rFonts w:ascii="Times New Roman" w:hAnsi="Times New Roman" w:eastAsia="仿宋"/>
          <w:b w:val="0"/>
          <w:sz w:val="28"/>
        </w:rPr>
      </w:r>
    </w:p>
    <w:p>
      <w:pPr>
        <w:spacing w:line="360" w:lineRule="auto" w:after="120" w:before="120"/>
        <w:jc w:val="center"/>
      </w:pPr>
      <w:r>
        <w:rPr>
          <w:rFonts w:ascii="Times New Roman" w:hAnsi="Times New Roman" w:eastAsia="仿宋"/>
          <w:b w:val="0"/>
          <w:sz w:val="28"/>
        </w:rPr>
        <w:t>2026 年 9 月</w:t>
      </w:r>
    </w:p>
    <w:p>
      <w:pPr>
        <w:spacing w:before="120" w:after="280" w:line="360" w:lineRule="auto"/>
        <w:jc w:val="center"/>
        <w:outlineLvl w:val="0"/>
      </w:pPr>
      <w:r>
        <w:br w:type="page"/>
      </w:r>
      <w:r>
        <w:rPr>
          <w:rFonts w:ascii="黑体" w:hAnsi="黑体" w:eastAsia="黑体"/>
          <w:b/>
          <w:sz w:val="32"/>
        </w:rPr>
        <w:t>项目摘要</w:t>
      </w:r>
    </w:p>
    <w:p>
      <w:pPr>
        <w:spacing w:line="360" w:lineRule="auto" w:after="80"/>
        <w:jc w:val="both"/>
        <w:ind w:firstLineChars="200" w:firstLine="560"/>
      </w:pPr>
      <w:r>
        <w:rPr>
          <w:rFonts w:ascii="Times New Roman" w:hAnsi="Times New Roman" w:eastAsia="仿宋"/>
          <w:b w:val="0"/>
          <w:sz w:val="28"/>
        </w:rPr>
        <w:t>截至2025年底，全国公路桥梁已超过100万座并大量进入运维期，表观病害的定期检测与经常性检查任务日益繁重。传统检测模式中，图像采集、人工判读、尺寸测量、空间定位与报告编制五个环节相互割裂：登高与桥检车抵近作业风险高、判读依赖个人经验、尺寸现场量测效率低、病害位置难以三维归档、报告反复誊录易出错，检测数据与养护决策脱节。</w:t>
      </w:r>
    </w:p>
    <w:p>
      <w:pPr>
        <w:spacing w:line="360" w:lineRule="auto" w:after="80"/>
        <w:jc w:val="both"/>
        <w:ind w:firstLineChars="200" w:firstLine="560"/>
      </w:pPr>
      <w:r>
        <w:rPr>
          <w:rFonts w:ascii="Times New Roman" w:hAnsi="Times New Roman" w:eastAsia="仿宋"/>
          <w:b w:val="0"/>
          <w:sz w:val="28"/>
        </w:rPr>
        <w:t>针对命题企业“基于人工智能与计算机视觉的桥梁表观损伤智能检测系统开发”的真实业务需求，本团队提出并实现了“智检桥安”系统：以国产BIMBase三维图形引擎为底座，构建“图像采集→损伤智能识别与分类→损伤几何尺寸量化→三维空间定位→检测报告自动生成”的五环数字化闭环。系统采用YOLOv8n专用模型与免模型五路CV掩码融合的双模式检测路线，基线模型在CPU环境下完成训练，mAP50约0.336、mAP50-95约0.085，指标如实呈现并给出明确提升路线；集成Qwen-VL多模态大模型完成病害成因诊断；以解析式2D→3D面投影将病害精确定位到BIM构件表面；基于python-docx一键生成规范Word检测报告。</w:t>
      </w:r>
    </w:p>
    <w:p>
      <w:pPr>
        <w:spacing w:line="360" w:lineRule="auto" w:after="80"/>
        <w:jc w:val="both"/>
        <w:ind w:firstLineChars="200" w:firstLine="560"/>
      </w:pPr>
      <w:r>
        <w:rPr>
          <w:rFonts w:ascii="Times New Roman" w:hAnsi="Times New Roman" w:eastAsia="仿宋"/>
          <w:b w:val="0"/>
          <w:sz w:val="28"/>
        </w:rPr>
        <w:t>系统已形成“BIMBase桌面检测插件＋数字孪生网页平台”双形态成果：插件在常泰长江大桥真实工程BIM模型（244.9MB，16类参数化构件）上完成全流程贯通验证；数字孪生平台为662KB单文件离线网页，基于three.js实现大桥真实尺度程序化三维重建，支持构件显隐、病害JSON导入与三维贴片可视化，浏览器免安装直接访问并可部署至公网。</w:t>
      </w:r>
    </w:p>
    <w:p>
      <w:pPr>
        <w:spacing w:line="360" w:lineRule="auto" w:after="80"/>
        <w:jc w:val="both"/>
        <w:ind w:firstLineChars="200" w:firstLine="560"/>
      </w:pPr>
      <w:r>
        <w:rPr>
          <w:rFonts w:ascii="Times New Roman" w:hAnsi="Times New Roman" w:eastAsia="仿宋"/>
          <w:b w:val="0"/>
          <w:sz w:val="28"/>
        </w:rPr>
        <w:t>本项目以低成本、轻量化、可复核的技术路线服务桥梁检测单位与管养单位，助力交通强国战略下基础设施运维的数字化转型；方法可迁移至隧道、房屋等基础设施检测场景，具有良好的推广价值与社会效益。</w:t>
      </w:r>
    </w:p>
    <w:p>
      <w:pPr>
        <w:spacing w:before="120" w:after="4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平台总览.png"/>
                    <pic:cNvPicPr/>
                  </pic:nvPicPr>
                  <pic:blipFill>
                    <a:blip r:embed="rId11"/>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0-1  数字孪生平台全桥总览</w:t>
      </w:r>
    </w:p>
    <w:p>
      <w:r>
        <w:br w:type="page"/>
      </w:r>
    </w:p>
    <w:p>
      <w:pPr>
        <w:spacing w:line="360" w:lineRule="auto" w:after="360" w:before="0"/>
        <w:jc w:val="center"/>
      </w:pPr>
      <w:r>
        <w:rPr>
          <w:rFonts w:ascii="黑体" w:hAnsi="黑体" w:eastAsia="黑体"/>
          <w:b/>
          <w:sz w:val="32"/>
        </w:rPr>
        <w:t>目  录</w:t>
      </w:r>
    </w:p>
    <w:p>
      <w:pPr>
        <w:spacing w:line="360" w:lineRule="auto" w:after="160"/>
        <w:jc w:val="left"/>
        <w:ind w:firstLineChars="200" w:firstLine="480"/>
      </w:pPr>
      <w:r>
        <w:rPr>
          <w:rFonts w:ascii="Times New Roman" w:hAnsi="Times New Roman" w:eastAsia="宋体"/>
          <w:b w:val="0"/>
          <w:sz w:val="24"/>
        </w:rPr>
        <w:t>项目摘要</w:t>
      </w:r>
    </w:p>
    <w:p>
      <w:pPr>
        <w:spacing w:line="360" w:lineRule="auto" w:after="160"/>
        <w:jc w:val="left"/>
        <w:ind w:firstLineChars="200" w:firstLine="480"/>
      </w:pPr>
      <w:r>
        <w:rPr>
          <w:rFonts w:ascii="Times New Roman" w:hAnsi="Times New Roman" w:eastAsia="宋体"/>
          <w:b w:val="0"/>
          <w:sz w:val="24"/>
        </w:rPr>
        <w:t>一、项目概述与设计目标</w:t>
      </w:r>
    </w:p>
    <w:p>
      <w:pPr>
        <w:spacing w:line="360" w:lineRule="auto" w:after="160"/>
        <w:jc w:val="left"/>
        <w:ind w:firstLineChars="200" w:firstLine="480"/>
      </w:pPr>
      <w:r>
        <w:rPr>
          <w:rFonts w:ascii="Times New Roman" w:hAnsi="Times New Roman" w:eastAsia="宋体"/>
          <w:b w:val="0"/>
          <w:sz w:val="24"/>
        </w:rPr>
        <w:t>二、应用场景</w:t>
      </w:r>
    </w:p>
    <w:p>
      <w:pPr>
        <w:spacing w:line="360" w:lineRule="auto" w:after="160"/>
        <w:jc w:val="left"/>
        <w:ind w:firstLineChars="200" w:firstLine="480"/>
      </w:pPr>
      <w:r>
        <w:rPr>
          <w:rFonts w:ascii="Times New Roman" w:hAnsi="Times New Roman" w:eastAsia="宋体"/>
          <w:b w:val="0"/>
          <w:sz w:val="24"/>
        </w:rPr>
        <w:t>三、系统结构设计</w:t>
      </w:r>
    </w:p>
    <w:p>
      <w:pPr>
        <w:spacing w:line="360" w:lineRule="auto" w:after="160"/>
        <w:jc w:val="left"/>
        <w:ind w:firstLineChars="200" w:firstLine="480"/>
      </w:pPr>
      <w:r>
        <w:rPr>
          <w:rFonts w:ascii="Times New Roman" w:hAnsi="Times New Roman" w:eastAsia="宋体"/>
          <w:b w:val="0"/>
          <w:sz w:val="24"/>
        </w:rPr>
        <w:t>四、操作说明</w:t>
      </w:r>
    </w:p>
    <w:p>
      <w:pPr>
        <w:spacing w:line="360" w:lineRule="auto" w:after="160"/>
        <w:jc w:val="left"/>
        <w:ind w:firstLineChars="200" w:firstLine="480"/>
      </w:pPr>
      <w:r>
        <w:rPr>
          <w:rFonts w:ascii="Times New Roman" w:hAnsi="Times New Roman" w:eastAsia="宋体"/>
          <w:b w:val="0"/>
          <w:sz w:val="24"/>
        </w:rPr>
        <w:t>五、核心技术及原理</w:t>
      </w:r>
    </w:p>
    <w:p>
      <w:pPr>
        <w:spacing w:line="360" w:lineRule="auto" w:after="160"/>
        <w:jc w:val="left"/>
        <w:ind w:firstLineChars="200" w:firstLine="480"/>
      </w:pPr>
      <w:r>
        <w:rPr>
          <w:rFonts w:ascii="Times New Roman" w:hAnsi="Times New Roman" w:eastAsia="宋体"/>
          <w:b w:val="0"/>
          <w:sz w:val="24"/>
        </w:rPr>
        <w:t>六、项目实现与案例验证</w:t>
      </w:r>
    </w:p>
    <w:p>
      <w:pPr>
        <w:spacing w:line="360" w:lineRule="auto" w:after="160"/>
        <w:jc w:val="left"/>
        <w:ind w:firstLineChars="200" w:firstLine="480"/>
      </w:pPr>
      <w:r>
        <w:rPr>
          <w:rFonts w:ascii="Times New Roman" w:hAnsi="Times New Roman" w:eastAsia="宋体"/>
          <w:b w:val="0"/>
          <w:sz w:val="24"/>
        </w:rPr>
        <w:t>七、运行环境</w:t>
      </w:r>
    </w:p>
    <w:p>
      <w:pPr>
        <w:spacing w:line="360" w:lineRule="auto" w:after="160"/>
        <w:jc w:val="left"/>
        <w:ind w:firstLineChars="200" w:firstLine="480"/>
      </w:pPr>
      <w:r>
        <w:rPr>
          <w:rFonts w:ascii="Times New Roman" w:hAnsi="Times New Roman" w:eastAsia="宋体"/>
          <w:b w:val="0"/>
          <w:sz w:val="24"/>
        </w:rPr>
        <w:t>八、市场与竞争性分析</w:t>
      </w:r>
    </w:p>
    <w:p>
      <w:pPr>
        <w:spacing w:line="360" w:lineRule="auto" w:after="160"/>
        <w:jc w:val="left"/>
        <w:ind w:firstLineChars="200" w:firstLine="480"/>
      </w:pPr>
      <w:r>
        <w:rPr>
          <w:rFonts w:ascii="Times New Roman" w:hAnsi="Times New Roman" w:eastAsia="宋体"/>
          <w:b w:val="0"/>
          <w:sz w:val="24"/>
        </w:rPr>
        <w:t>九、产教协同与团队协作</w:t>
      </w:r>
    </w:p>
    <w:p>
      <w:pPr>
        <w:spacing w:line="360" w:lineRule="auto" w:after="160"/>
        <w:jc w:val="left"/>
        <w:ind w:firstLineChars="200" w:firstLine="480"/>
      </w:pPr>
      <w:r>
        <w:rPr>
          <w:rFonts w:ascii="Times New Roman" w:hAnsi="Times New Roman" w:eastAsia="宋体"/>
          <w:b w:val="0"/>
          <w:sz w:val="24"/>
        </w:rPr>
        <w:t>十、风险分析</w:t>
      </w:r>
    </w:p>
    <w:p>
      <w:pPr>
        <w:spacing w:line="360" w:lineRule="auto" w:after="160"/>
        <w:jc w:val="left"/>
        <w:ind w:firstLineChars="200" w:firstLine="480"/>
      </w:pPr>
      <w:r>
        <w:rPr>
          <w:rFonts w:ascii="Times New Roman" w:hAnsi="Times New Roman" w:eastAsia="宋体"/>
          <w:b w:val="0"/>
          <w:sz w:val="24"/>
        </w:rPr>
        <w:t>附录一  知识产权与成果证明</w:t>
      </w:r>
    </w:p>
    <w:p>
      <w:pPr>
        <w:spacing w:line="360" w:lineRule="auto" w:after="160"/>
        <w:jc w:val="left"/>
        <w:ind w:firstLineChars="200" w:firstLine="480"/>
      </w:pPr>
      <w:r>
        <w:rPr>
          <w:rFonts w:ascii="Times New Roman" w:hAnsi="Times New Roman" w:eastAsia="宋体"/>
          <w:b w:val="0"/>
          <w:sz w:val="24"/>
        </w:rPr>
        <w:t>附录二  常泰长江大桥参数化构件清单</w:t>
      </w:r>
    </w:p>
    <w:p>
      <w:pPr>
        <w:spacing w:line="360" w:lineRule="auto" w:after="160"/>
        <w:jc w:val="left"/>
        <w:ind w:firstLineChars="200" w:firstLine="480"/>
      </w:pPr>
      <w:r>
        <w:rPr>
          <w:rFonts w:ascii="Times New Roman" w:hAnsi="Times New Roman" w:eastAsia="宋体"/>
          <w:b w:val="0"/>
          <w:sz w:val="24"/>
        </w:rPr>
        <w:t>附录三  核心代码节选</w:t>
      </w:r>
    </w:p>
    <w:p>
      <w:pPr>
        <w:spacing w:line="360" w:lineRule="auto" w:after="160"/>
        <w:jc w:val="left"/>
        <w:ind w:firstLineChars="200" w:firstLine="480"/>
      </w:pPr>
      <w:r>
        <w:rPr>
          <w:rFonts w:ascii="Times New Roman" w:hAnsi="Times New Roman" w:eastAsia="宋体"/>
          <w:b w:val="0"/>
          <w:sz w:val="24"/>
        </w:rPr>
        <w:t>附录四  成果应用边界与数据合规声明</w:t>
      </w:r>
    </w:p>
    <w:p>
      <w:pPr>
        <w:spacing w:before="120" w:after="280" w:line="360" w:lineRule="auto"/>
        <w:jc w:val="center"/>
        <w:outlineLvl w:val="0"/>
      </w:pPr>
      <w:r>
        <w:br w:type="page"/>
      </w:r>
      <w:r>
        <w:rPr>
          <w:rFonts w:ascii="黑体" w:hAnsi="黑体" w:eastAsia="黑体"/>
          <w:b/>
          <w:sz w:val="32"/>
        </w:rPr>
        <w:t>一、项目概述与设计目标</w:t>
      </w:r>
    </w:p>
    <w:p>
      <w:pPr>
        <w:spacing w:before="200" w:after="120" w:line="360" w:lineRule="auto"/>
        <w:outlineLvl w:val="1"/>
      </w:pPr>
      <w:r>
        <w:rPr>
          <w:rFonts w:ascii="黑体" w:hAnsi="黑体" w:eastAsia="黑体"/>
          <w:b/>
          <w:sz w:val="28"/>
        </w:rPr>
        <w:t>1.1  项目背景</w:t>
      </w:r>
    </w:p>
    <w:p>
      <w:pPr>
        <w:spacing w:line="360" w:lineRule="auto" w:after="80"/>
        <w:jc w:val="both"/>
        <w:ind w:firstLineChars="200" w:firstLine="560"/>
      </w:pPr>
      <w:r>
        <w:rPr>
          <w:rFonts w:ascii="Times New Roman" w:hAnsi="Times New Roman" w:eastAsia="仿宋"/>
          <w:b w:val="0"/>
          <w:sz w:val="28"/>
        </w:rPr>
        <w:t>桥梁是公路交通网络的关键节点，其技术状况直接关系到人民群众出行安全与国民经济运行效率。截至2025年底，全国公路桥梁已超过100万座，大量桥梁陆续进入运维期，定期检测、经常性检查与养护维修任务日益繁重，桥梁检测养护市场持续增长。本项目的验证对象常泰长江大桥实景如图 1-1 所示，该桥为双层公铁两用斜拉桥，是长江干线通道上的标志性重大工程。</w:t>
      </w:r>
    </w:p>
    <w:p>
      <w:pPr>
        <w:spacing w:before="120" w:after="40"/>
        <w:jc w:val="center"/>
      </w:pPr>
      <w:r>
        <w:drawing>
          <wp:inline xmlns:a="http://schemas.openxmlformats.org/drawingml/2006/main" xmlns:pic="http://schemas.openxmlformats.org/drawingml/2006/picture">
            <wp:extent cx="5040000" cy="2552910"/>
            <wp:docPr id="2" name="Picture 2"/>
            <wp:cNvGraphicFramePr>
              <a:graphicFrameLocks noChangeAspect="1"/>
            </wp:cNvGraphicFramePr>
            <a:graphic>
              <a:graphicData uri="http://schemas.openxmlformats.org/drawingml/2006/picture">
                <pic:pic>
                  <pic:nvPicPr>
                    <pic:cNvPr id="0" name="image1.jpeg"/>
                    <pic:cNvPicPr/>
                  </pic:nvPicPr>
                  <pic:blipFill>
                    <a:blip r:embed="rId12"/>
                    <a:stretch>
                      <a:fillRect/>
                    </a:stretch>
                  </pic:blipFill>
                  <pic:spPr>
                    <a:xfrm>
                      <a:off x="0" y="0"/>
                      <a:ext cx="5040000" cy="2552910"/>
                    </a:xfrm>
                    <a:prstGeom prst="rect"/>
                  </pic:spPr>
                </pic:pic>
              </a:graphicData>
            </a:graphic>
          </wp:inline>
        </w:drawing>
      </w:r>
    </w:p>
    <w:p>
      <w:pPr>
        <w:spacing w:after="200" w:line="240" w:lineRule="auto"/>
        <w:jc w:val="center"/>
      </w:pPr>
      <w:r>
        <w:rPr>
          <w:rFonts w:ascii="Times New Roman" w:hAnsi="Times New Roman" w:eastAsia="宋体"/>
          <w:b w:val="0"/>
          <w:sz w:val="18"/>
        </w:rPr>
        <w:t>图 1-1  常泰长江大桥实景</w:t>
      </w:r>
    </w:p>
    <w:p>
      <w:pPr>
        <w:spacing w:line="360" w:lineRule="auto" w:after="80"/>
        <w:jc w:val="both"/>
        <w:ind w:firstLineChars="200" w:firstLine="560"/>
      </w:pPr>
      <w:r>
        <w:rPr>
          <w:rFonts w:ascii="Times New Roman" w:hAnsi="Times New Roman" w:eastAsia="仿宋"/>
          <w:b w:val="0"/>
          <w:sz w:val="28"/>
        </w:rPr>
        <w:t>从行业作业方式看，表观损伤检测长期以人工抵近观测为主：（1）登高与桥检车抵近作业风险高、效率低；（2）损伤判读依赖个人经验，主观性强、标准不一；（3）检测结果以纸质或零散电子文档沉淀，难以形成可追溯、可对比的数字化资产。交通强国建设纲要明确提出推进基础设施数字化、养护管理智能化，行业对“采得回、看得懂、算得准、定位得到”的智能检测手段需求日益迫切。</w:t>
      </w:r>
    </w:p>
    <w:p>
      <w:pPr>
        <w:spacing w:line="360" w:lineRule="auto" w:after="80"/>
        <w:jc w:val="both"/>
        <w:ind w:firstLineChars="200" w:firstLine="560"/>
      </w:pPr>
      <w:r>
        <w:rPr>
          <w:rFonts w:ascii="Times New Roman" w:hAnsi="Times New Roman" w:eastAsia="仿宋"/>
          <w:b w:val="0"/>
          <w:sz w:val="28"/>
        </w:rPr>
        <w:t>从自主可控看，三维图形引擎与BIM核心软件长期由国外产品主导，工程数据安全与供应链安全存在隐忧。本项目全程基于国产BIMBase三维图形引擎与国产开源生态构建，以青年学子的工程实践回应“关键核心技术自主可控”的时代命题；同时以“企业出题、高校指导、学生攻关”的产教融合模式组织实施，让团队成员在服务国家基础设施运维的真实场景中锤炼本领、增长才干。</w:t>
      </w:r>
    </w:p>
    <w:p>
      <w:pPr>
        <w:spacing w:before="200" w:after="120" w:line="360" w:lineRule="auto"/>
        <w:outlineLvl w:val="1"/>
      </w:pPr>
      <w:r>
        <w:rPr>
          <w:rFonts w:ascii="黑体" w:hAnsi="黑体" w:eastAsia="黑体"/>
          <w:b/>
          <w:sz w:val="28"/>
        </w:rPr>
        <w:t>1.2  企业需求理解与命题解析</w:t>
      </w:r>
    </w:p>
    <w:p>
      <w:pPr>
        <w:spacing w:line="360" w:lineRule="auto" w:after="80"/>
        <w:jc w:val="both"/>
        <w:ind w:firstLineChars="200" w:firstLine="560"/>
      </w:pPr>
      <w:r>
        <w:rPr>
          <w:rFonts w:ascii="Times New Roman" w:hAnsi="Times New Roman" w:eastAsia="仿宋"/>
          <w:b w:val="0"/>
          <w:sz w:val="28"/>
        </w:rPr>
        <w:t>命题企业（广联达）发布的命题为“基于人工智能与计算机视觉的桥梁表观损伤智能检测系统开发”。本团队深入梳理了桥梁检测业务全流程，图像采集、人工判读、尺寸测量、空间定位与报告编制五个环节相互割裂，痛点与对策的对应关系如图 1-2 所示，具体痛点如下：</w:t>
      </w:r>
    </w:p>
    <w:p>
      <w:pPr>
        <w:spacing w:line="360" w:lineRule="auto" w:after="80"/>
        <w:jc w:val="both"/>
        <w:ind w:firstLineChars="200" w:firstLine="560"/>
      </w:pPr>
      <w:r>
        <w:rPr>
          <w:rFonts w:ascii="Times New Roman" w:hAnsi="Times New Roman" w:eastAsia="仿宋"/>
          <w:b w:val="0"/>
          <w:sz w:val="28"/>
        </w:rPr>
        <w:t>（1）图像采集环节：无人机、桥检车抵近采集的照片数量大、角度杂，照片与构件的对应关系依赖人工记录，整理归档工作量大；</w:t>
      </w:r>
    </w:p>
    <w:p>
      <w:pPr>
        <w:spacing w:line="360" w:lineRule="auto" w:after="80"/>
        <w:jc w:val="both"/>
        <w:ind w:firstLineChars="200" w:firstLine="560"/>
      </w:pPr>
      <w:r>
        <w:rPr>
          <w:rFonts w:ascii="Times New Roman" w:hAnsi="Times New Roman" w:eastAsia="仿宋"/>
          <w:b w:val="0"/>
          <w:sz w:val="28"/>
        </w:rPr>
        <w:t>（2）人工判读环节：损伤类型与损伤程度的判读依赖检测人员个人经验，主观性强、标准不一，登高与桥检车抵近作业风险高、效率低；</w:t>
      </w:r>
    </w:p>
    <w:p>
      <w:pPr>
        <w:spacing w:line="360" w:lineRule="auto" w:after="80"/>
        <w:jc w:val="both"/>
        <w:ind w:firstLineChars="200" w:firstLine="560"/>
      </w:pPr>
      <w:r>
        <w:rPr>
          <w:rFonts w:ascii="Times New Roman" w:hAnsi="Times New Roman" w:eastAsia="仿宋"/>
          <w:b w:val="0"/>
          <w:sz w:val="28"/>
        </w:rPr>
        <w:t>（3）尺寸测量环节：裂缝长度、宽度等几何尺寸需现场人工量测，高空作业危险，测量效率低，数据离散度大；</w:t>
      </w:r>
    </w:p>
    <w:p>
      <w:pPr>
        <w:spacing w:line="360" w:lineRule="auto" w:after="80"/>
        <w:jc w:val="both"/>
        <w:ind w:firstLineChars="200" w:firstLine="560"/>
      </w:pPr>
      <w:r>
        <w:rPr>
          <w:rFonts w:ascii="Times New Roman" w:hAnsi="Times New Roman" w:eastAsia="仿宋"/>
          <w:b w:val="0"/>
          <w:sz w:val="28"/>
        </w:rPr>
        <w:t>（4）空间定位环节：病害位置多以“第几跨、第几号墩”等文字方式描述，难以在三维空间中准确归档与直观展示，复查时难以快速回溯；</w:t>
      </w:r>
    </w:p>
    <w:p>
      <w:pPr>
        <w:spacing w:line="360" w:lineRule="auto" w:after="80"/>
        <w:jc w:val="both"/>
        <w:ind w:firstLineChars="200" w:firstLine="560"/>
      </w:pPr>
      <w:r>
        <w:rPr>
          <w:rFonts w:ascii="Times New Roman" w:hAnsi="Times New Roman" w:eastAsia="仿宋"/>
          <w:b w:val="0"/>
          <w:sz w:val="28"/>
        </w:rPr>
        <w:t>（5）报告编制环节：采集、判读、测量、定位、报告由不同人员分步完成，数据在多个环节间反复誊录，易出错、周期长；检测数据与养护决策、加固设计之间缺乏有效衔接，形成数据断链。</w:t>
      </w:r>
    </w:p>
    <w:p>
      <w:pPr>
        <w:spacing w:line="360" w:lineRule="auto" w:after="80"/>
        <w:jc w:val="both"/>
        <w:ind w:firstLineChars="200" w:firstLine="560"/>
      </w:pPr>
      <w:r>
        <w:rPr>
          <w:rFonts w:ascii="Times New Roman" w:hAnsi="Times New Roman" w:eastAsia="仿宋"/>
          <w:b w:val="0"/>
          <w:sz w:val="28"/>
        </w:rPr>
        <w:t>综上，企业的核心诉求是打通“图像采集→损伤识别→量化分析→空间定位→报告输出”的数字化闭环，以数字化手段实现检测全流程的提质增效，如图 1-2 所示。</w:t>
      </w:r>
    </w:p>
    <w:p>
      <w:pPr>
        <w:spacing w:before="120" w:after="40"/>
        <w:jc w:val="center"/>
      </w:pPr>
      <w:r>
        <w:drawing>
          <wp:inline xmlns:a="http://schemas.openxmlformats.org/drawingml/2006/main" xmlns:pic="http://schemas.openxmlformats.org/drawingml/2006/picture">
            <wp:extent cx="5400000" cy="3436364"/>
            <wp:docPr id="3" name="Picture 3"/>
            <wp:cNvGraphicFramePr>
              <a:graphicFrameLocks noChangeAspect="1"/>
            </wp:cNvGraphicFramePr>
            <a:graphic>
              <a:graphicData uri="http://schemas.openxmlformats.org/drawingml/2006/picture">
                <pic:pic>
                  <pic:nvPicPr>
                    <pic:cNvPr id="0" name="思维导图_检测业务流程痛点.png"/>
                    <pic:cNvPicPr/>
                  </pic:nvPicPr>
                  <pic:blipFill>
                    <a:blip r:embed="rId13"/>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1-2  检测业务流程痛点与本方案对策</w:t>
      </w:r>
    </w:p>
    <w:p>
      <w:pPr>
        <w:spacing w:before="200" w:after="120" w:line="360" w:lineRule="auto"/>
        <w:outlineLvl w:val="1"/>
      </w:pPr>
      <w:r>
        <w:rPr>
          <w:rFonts w:ascii="黑体" w:hAnsi="黑体" w:eastAsia="黑体"/>
          <w:b/>
          <w:sz w:val="28"/>
        </w:rPr>
        <w:t>1.3  系统设计目标</w:t>
      </w:r>
    </w:p>
    <w:p>
      <w:pPr>
        <w:spacing w:line="360" w:lineRule="auto" w:after="80"/>
        <w:jc w:val="both"/>
        <w:ind w:firstLineChars="200" w:firstLine="560"/>
      </w:pPr>
      <w:r>
        <w:rPr>
          <w:rFonts w:ascii="Times New Roman" w:hAnsi="Times New Roman" w:eastAsia="仿宋"/>
          <w:b w:val="0"/>
          <w:sz w:val="28"/>
        </w:rPr>
        <w:t>针对命题五环节，本系统设定可考核的设计目标，如表 1-1 所示。各项目标的实现路径与验证方式在第三章至第六章展开。</w:t>
      </w:r>
    </w:p>
    <w:p>
      <w:pPr>
        <w:spacing w:before="120" w:after="40" w:line="240" w:lineRule="auto"/>
        <w:jc w:val="center"/>
      </w:pPr>
      <w:r>
        <w:rPr>
          <w:rFonts w:ascii="Times New Roman" w:hAnsi="Times New Roman" w:eastAsia="宋体"/>
          <w:b w:val="0"/>
          <w:sz w:val="18"/>
        </w:rPr>
        <w:t>表 1-1  命题五环节与系统设计目标对照表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命题业务环节</w:t>
            </w:r>
          </w:p>
        </w:tc>
        <w:tc>
          <w:tcPr>
            <w:tcW w:type="dxa" w:w="2910"/>
            <w:shd w:val="clear" w:fill="D9E2F3"/>
          </w:tcPr>
          <w:p>
            <w:pPr>
              <w:spacing w:line="240" w:lineRule="auto" w:after="40"/>
              <w:jc w:val="center"/>
            </w:pPr>
            <w:r/>
            <w:r>
              <w:rPr>
                <w:rFonts w:ascii="Times New Roman" w:hAnsi="Times New Roman" w:eastAsia="宋体"/>
                <w:b/>
                <w:sz w:val="21"/>
              </w:rPr>
              <w:t>系统设计目标</w:t>
            </w:r>
          </w:p>
        </w:tc>
        <w:tc>
          <w:tcPr>
            <w:tcW w:type="dxa" w:w="2910"/>
            <w:shd w:val="clear" w:fill="D9E2F3"/>
          </w:tcPr>
          <w:p>
            <w:pPr>
              <w:spacing w:line="240" w:lineRule="auto" w:after="40"/>
              <w:jc w:val="center"/>
            </w:pPr>
            <w:r/>
            <w:r>
              <w:rPr>
                <w:rFonts w:ascii="Times New Roman" w:hAnsi="Times New Roman" w:eastAsia="宋体"/>
                <w:b/>
                <w:sz w:val="21"/>
              </w:rPr>
              <w:t>对应章节</w:t>
            </w:r>
          </w:p>
        </w:tc>
      </w:tr>
      <w:tr>
        <w:tc>
          <w:tcPr>
            <w:tcW w:type="dxa" w:w="2910"/>
          </w:tcPr>
          <w:p>
            <w:pPr>
              <w:spacing w:line="240" w:lineRule="auto" w:after="40"/>
              <w:jc w:val="center"/>
            </w:pPr>
            <w:r/>
            <w:r>
              <w:rPr>
                <w:rFonts w:ascii="Times New Roman" w:hAnsi="Times New Roman" w:eastAsia="宋体"/>
                <w:b w:val="0"/>
                <w:sz w:val="21"/>
              </w:rPr>
              <w:t>图像采集</w:t>
            </w:r>
          </w:p>
        </w:tc>
        <w:tc>
          <w:tcPr>
            <w:tcW w:type="dxa" w:w="2910"/>
          </w:tcPr>
          <w:p>
            <w:pPr>
              <w:spacing w:line="240" w:lineRule="auto" w:after="40"/>
              <w:jc w:val="left"/>
            </w:pPr>
            <w:r/>
            <w:r>
              <w:rPr>
                <w:rFonts w:ascii="Times New Roman" w:hAnsi="Times New Roman" w:eastAsia="宋体"/>
                <w:b w:val="0"/>
                <w:sz w:val="21"/>
              </w:rPr>
              <w:t>兼容无人机、手机、相机影像，照片批量导入与构件关联</w:t>
            </w:r>
          </w:p>
        </w:tc>
        <w:tc>
          <w:tcPr>
            <w:tcW w:type="dxa" w:w="2910"/>
          </w:tcPr>
          <w:p>
            <w:pPr>
              <w:spacing w:line="240" w:lineRule="auto" w:after="40"/>
              <w:jc w:val="center"/>
            </w:pPr>
            <w:r/>
            <w:r>
              <w:rPr>
                <w:rFonts w:ascii="Times New Roman" w:hAnsi="Times New Roman" w:eastAsia="宋体"/>
                <w:b w:val="0"/>
                <w:sz w:val="21"/>
              </w:rPr>
              <w:t>第三、四章</w:t>
            </w:r>
          </w:p>
        </w:tc>
      </w:tr>
      <w:tr>
        <w:tc>
          <w:tcPr>
            <w:tcW w:type="dxa" w:w="2910"/>
          </w:tcPr>
          <w:p>
            <w:pPr>
              <w:spacing w:line="240" w:lineRule="auto" w:after="40"/>
              <w:jc w:val="center"/>
            </w:pPr>
            <w:r/>
            <w:r>
              <w:rPr>
                <w:rFonts w:ascii="Times New Roman" w:hAnsi="Times New Roman" w:eastAsia="宋体"/>
                <w:b w:val="0"/>
                <w:sz w:val="21"/>
              </w:rPr>
              <w:t>损伤识别与分类</w:t>
            </w:r>
          </w:p>
        </w:tc>
        <w:tc>
          <w:tcPr>
            <w:tcW w:type="dxa" w:w="2910"/>
          </w:tcPr>
          <w:p>
            <w:pPr>
              <w:spacing w:line="240" w:lineRule="auto" w:after="40"/>
              <w:jc w:val="left"/>
            </w:pPr>
            <w:r/>
            <w:r>
              <w:rPr>
                <w:rFonts w:ascii="Times New Roman" w:hAnsi="Times New Roman" w:eastAsia="宋体"/>
                <w:b w:val="0"/>
                <w:sz w:val="21"/>
              </w:rPr>
              <w:t>YOLOv8n专用模型＋免模型五路CV融合双模式，覆盖6类表观损伤</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尺寸量化</w:t>
            </w:r>
          </w:p>
        </w:tc>
        <w:tc>
          <w:tcPr>
            <w:tcW w:type="dxa" w:w="2910"/>
          </w:tcPr>
          <w:p>
            <w:pPr>
              <w:spacing w:line="240" w:lineRule="auto" w:after="40"/>
              <w:jc w:val="left"/>
            </w:pPr>
            <w:r/>
            <w:r>
              <w:rPr>
                <w:rFonts w:ascii="Times New Roman" w:hAnsi="Times New Roman" w:eastAsia="宋体"/>
                <w:b w:val="0"/>
                <w:sz w:val="21"/>
              </w:rPr>
              <w:t>像素—物理尺度自动换算，输出长度、宽度、面积（预期误差见表 5-2）</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空间定位</w:t>
            </w:r>
          </w:p>
        </w:tc>
        <w:tc>
          <w:tcPr>
            <w:tcW w:type="dxa" w:w="2910"/>
          </w:tcPr>
          <w:p>
            <w:pPr>
              <w:spacing w:line="240" w:lineRule="auto" w:after="40"/>
              <w:jc w:val="left"/>
            </w:pPr>
            <w:r/>
            <w:r>
              <w:rPr>
                <w:rFonts w:ascii="Times New Roman" w:hAnsi="Times New Roman" w:eastAsia="宋体"/>
                <w:b w:val="0"/>
                <w:sz w:val="21"/>
              </w:rPr>
              <w:t>解析式2D→3D面投影，病害归属到具体BIM构件并三维标记</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报告输出</w:t>
            </w:r>
          </w:p>
        </w:tc>
        <w:tc>
          <w:tcPr>
            <w:tcW w:type="dxa" w:w="2910"/>
          </w:tcPr>
          <w:p>
            <w:pPr>
              <w:spacing w:line="240" w:lineRule="auto" w:after="40"/>
              <w:jc w:val="left"/>
            </w:pPr>
            <w:r/>
            <w:r>
              <w:rPr>
                <w:rFonts w:ascii="Times New Roman" w:hAnsi="Times New Roman" w:eastAsia="宋体"/>
                <w:b w:val="0"/>
                <w:sz w:val="21"/>
              </w:rPr>
              <w:t>Qwen-VL诊断＋python-docx一键生成规范Word报告</w:t>
            </w:r>
          </w:p>
        </w:tc>
        <w:tc>
          <w:tcPr>
            <w:tcW w:type="dxa" w:w="2910"/>
          </w:tcPr>
          <w:p>
            <w:pPr>
              <w:spacing w:line="240" w:lineRule="auto" w:after="40"/>
              <w:jc w:val="center"/>
            </w:pPr>
            <w:r/>
            <w:r>
              <w:rPr>
                <w:rFonts w:ascii="Times New Roman" w:hAnsi="Times New Roman" w:eastAsia="宋体"/>
                <w:b w:val="0"/>
                <w:sz w:val="21"/>
              </w:rPr>
              <w:t>第五、六章</w:t>
            </w:r>
          </w:p>
        </w:tc>
      </w:tr>
    </w:tbl>
    <w:p>
      <w:pPr>
        <w:spacing w:after="120"/>
      </w:pPr>
    </w:p>
    <w:p>
      <w:pPr>
        <w:spacing w:before="200" w:after="120" w:line="360" w:lineRule="auto"/>
        <w:outlineLvl w:val="1"/>
      </w:pPr>
      <w:r>
        <w:rPr>
          <w:rFonts w:ascii="黑体" w:hAnsi="黑体" w:eastAsia="黑体"/>
          <w:b/>
          <w:sz w:val="28"/>
        </w:rPr>
        <w:t>1.4  作品介绍</w:t>
      </w:r>
    </w:p>
    <w:p>
      <w:pPr>
        <w:spacing w:line="360" w:lineRule="auto" w:after="80"/>
        <w:jc w:val="both"/>
        <w:ind w:firstLineChars="200" w:firstLine="560"/>
      </w:pPr>
      <w:r>
        <w:rPr>
          <w:rFonts w:ascii="Times New Roman" w:hAnsi="Times New Roman" w:eastAsia="仿宋"/>
          <w:b w:val="0"/>
          <w:sz w:val="28"/>
        </w:rPr>
        <w:t>本作品为“桌面检测插件＋数字孪生网页平台”双形态交付的整体解决方案：</w:t>
      </w:r>
    </w:p>
    <w:p>
      <w:pPr>
        <w:spacing w:line="360" w:lineRule="auto" w:after="80"/>
        <w:jc w:val="both"/>
        <w:ind w:firstLineChars="200" w:firstLine="560"/>
      </w:pPr>
      <w:r>
        <w:rPr>
          <w:rFonts w:ascii="Times New Roman" w:hAnsi="Times New Roman" w:eastAsia="仿宋"/>
          <w:b w:val="0"/>
          <w:sz w:val="28"/>
        </w:rPr>
        <w:t>（1）BIMBase桌面检测插件：承载“导入照片→智能检测→AI诊断→尺寸量化→面投影定位→报告生成”全流程，普通笔记本电脑即可运行，YOLOv8n轻量化模型支持CPU端推理；</w:t>
      </w:r>
    </w:p>
    <w:p>
      <w:pPr>
        <w:spacing w:line="360" w:lineRule="auto" w:after="80"/>
        <w:jc w:val="both"/>
        <w:ind w:firstLineChars="200" w:firstLine="560"/>
      </w:pPr>
      <w:r>
        <w:rPr>
          <w:rFonts w:ascii="Times New Roman" w:hAnsi="Times New Roman" w:eastAsia="仿宋"/>
          <w:b w:val="0"/>
          <w:sz w:val="28"/>
        </w:rPr>
        <w:t>（2）数字孪生网页平台：基于three.js的单文件离线网页，实现常泰长江大桥真实尺度程序化三维重建，支持构件显隐、病害JSON导入与三维贴片可视化，浏览器免安装直接访问，可部署至公网网址，平台三维视角如图 1-3 所示。</w:t>
      </w:r>
    </w:p>
    <w:p>
      <w:pPr>
        <w:spacing w:before="120" w:after="40"/>
        <w:jc w:val="center"/>
      </w:pPr>
      <w:r>
        <w:drawing>
          <wp:inline xmlns:a="http://schemas.openxmlformats.org/drawingml/2006/main" xmlns:pic="http://schemas.openxmlformats.org/drawingml/2006/picture">
            <wp:extent cx="5400000" cy="2908762"/>
            <wp:docPr id="4" name="Picture 4"/>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400000" cy="2908762"/>
                    </a:xfrm>
                    <a:prstGeom prst="rect"/>
                  </pic:spPr>
                </pic:pic>
              </a:graphicData>
            </a:graphic>
          </wp:inline>
        </w:drawing>
      </w:r>
    </w:p>
    <w:p>
      <w:pPr>
        <w:spacing w:after="200" w:line="240" w:lineRule="auto"/>
        <w:jc w:val="center"/>
      </w:pPr>
      <w:r>
        <w:rPr>
          <w:rFonts w:ascii="Times New Roman" w:hAnsi="Times New Roman" w:eastAsia="宋体"/>
          <w:b w:val="0"/>
          <w:sz w:val="18"/>
        </w:rPr>
        <w:t>图 1-3  数字孪生平台三维视角</w:t>
      </w:r>
    </w:p>
    <w:p>
      <w:pPr>
        <w:spacing w:line="360" w:lineRule="auto" w:after="80"/>
        <w:jc w:val="both"/>
        <w:ind w:firstLineChars="200" w:firstLine="560"/>
      </w:pPr>
      <w:r>
        <w:rPr>
          <w:rFonts w:ascii="Times New Roman" w:hAnsi="Times New Roman" w:eastAsia="仿宋"/>
          <w:b w:val="0"/>
          <w:sz w:val="28"/>
        </w:rPr>
        <w:t>两种形态通过病害数据JSON文件衔接：插件完成内业处理并导出数据，平台承载成果展示与病害档案服务，形成“检测工具＋数据平台”的完整交付。</w:t>
      </w:r>
    </w:p>
    <w:p>
      <w:pPr>
        <w:spacing w:before="200" w:after="120" w:line="360" w:lineRule="auto"/>
        <w:outlineLvl w:val="1"/>
      </w:pPr>
      <w:r>
        <w:rPr>
          <w:rFonts w:ascii="黑体" w:hAnsi="黑体" w:eastAsia="黑体"/>
          <w:b/>
          <w:sz w:val="28"/>
        </w:rPr>
        <w:t>1.5  可行性分析</w:t>
      </w:r>
    </w:p>
    <w:p>
      <w:pPr>
        <w:spacing w:line="360" w:lineRule="auto" w:after="80"/>
        <w:jc w:val="both"/>
        <w:ind w:firstLineChars="200" w:firstLine="560"/>
      </w:pPr>
      <w:r>
        <w:rPr>
          <w:rFonts w:ascii="Times New Roman" w:hAnsi="Times New Roman" w:eastAsia="仿宋"/>
          <w:b w:val="0"/>
          <w:sz w:val="28"/>
        </w:rPr>
        <w:t>（1）项目可行性：团队已完成从算法训练、插件开发到数字孪生平台的全流程实现，并在常泰长江大桥真实工程BIM模型上完成贯通验证，基线指标如实可查，项目处于小试阶段，后续路线清晰；</w:t>
      </w:r>
    </w:p>
    <w:p>
      <w:pPr>
        <w:spacing w:line="360" w:lineRule="auto" w:after="80"/>
        <w:jc w:val="both"/>
        <w:ind w:firstLineChars="200" w:firstLine="560"/>
      </w:pPr>
      <w:r>
        <w:rPr>
          <w:rFonts w:ascii="Times New Roman" w:hAnsi="Times New Roman" w:eastAsia="仿宋"/>
          <w:b w:val="0"/>
          <w:sz w:val="28"/>
        </w:rPr>
        <w:t>（2）社会环境可行性：全国公路桥梁超100万座进入运维期，检测养护需求持续增长；交通强国、数字中国战略为基础设施数字化提供政策支撑；国产BIMBase引擎的推广为本作品提供了良好的产业生态；</w:t>
      </w:r>
    </w:p>
    <w:p>
      <w:pPr>
        <w:spacing w:line="360" w:lineRule="auto" w:after="80"/>
        <w:jc w:val="both"/>
        <w:ind w:firstLineChars="200" w:firstLine="560"/>
      </w:pPr>
      <w:r>
        <w:rPr>
          <w:rFonts w:ascii="Times New Roman" w:hAnsi="Times New Roman" w:eastAsia="仿宋"/>
          <w:b w:val="0"/>
          <w:sz w:val="28"/>
        </w:rPr>
        <w:t>（3）技术可行性：YOLOv8、OpenCV、PyTorch、Qwen-VL、three.js等关键技术均为成熟开源生态；解析式面投影直接利用BIM精确几何信息，无需额外硬件，计算量小、确定性强；双模式检测路线保证了无标注场景下的可用性。</w:t>
      </w:r>
    </w:p>
    <w:p>
      <w:pPr>
        <w:spacing w:before="200" w:after="120" w:line="360" w:lineRule="auto"/>
        <w:outlineLvl w:val="1"/>
      </w:pPr>
      <w:r>
        <w:rPr>
          <w:rFonts w:ascii="黑体" w:hAnsi="黑体" w:eastAsia="黑体"/>
          <w:b/>
          <w:sz w:val="28"/>
        </w:rPr>
        <w:t>1.6  项目创新点</w:t>
      </w:r>
    </w:p>
    <w:p>
      <w:pPr>
        <w:spacing w:line="360" w:lineRule="auto" w:after="80"/>
        <w:jc w:val="both"/>
        <w:ind w:firstLineChars="200" w:firstLine="560"/>
      </w:pPr>
      <w:r>
        <w:rPr>
          <w:rFonts w:ascii="Times New Roman" w:hAnsi="Times New Roman" w:eastAsia="仿宋"/>
          <w:b w:val="0"/>
          <w:sz w:val="28"/>
        </w:rPr>
        <w:t>（1）免模型五路CV融合冷启动：黑帽变换、多尺度自适应阈值、K-Means颜色聚类、局部纹理标准差、Canny边缘密度五路掩码融合，配合HSV天空抑制与NMS去重，在无标注数据场景下实现零样本冷启动检测，并可反哺模型预标注；</w:t>
      </w:r>
    </w:p>
    <w:p>
      <w:pPr>
        <w:spacing w:line="360" w:lineRule="auto" w:after="80"/>
        <w:jc w:val="both"/>
        <w:ind w:firstLineChars="200" w:firstLine="560"/>
      </w:pPr>
      <w:r>
        <w:rPr>
          <w:rFonts w:ascii="Times New Roman" w:hAnsi="Times New Roman" w:eastAsia="仿宋"/>
          <w:b w:val="0"/>
          <w:sz w:val="28"/>
        </w:rPr>
        <w:t>（2）Qwen-VL双图多模态诊断：以“原图＋带框图”双图输入Qwen-VL-Max大模型，严格输出病害类型、程度、成因、处置建议、紧迫度五字段结构化JSON，将通用多模态大模型规范化为可归档的工程诊断能力；</w:t>
      </w:r>
    </w:p>
    <w:p>
      <w:pPr>
        <w:spacing w:line="360" w:lineRule="auto" w:after="80"/>
        <w:jc w:val="both"/>
        <w:ind w:firstLineChars="200" w:firstLine="560"/>
      </w:pPr>
      <w:r>
        <w:rPr>
          <w:rFonts w:ascii="Times New Roman" w:hAnsi="Times New Roman" w:eastAsia="仿宋"/>
          <w:b w:val="0"/>
          <w:sz w:val="28"/>
        </w:rPr>
        <w:t>（3）解析式面投影轻量定位：利用BIM模型精确几何信息，以解析公式完成2D→3D等比投影，替代成本高昂的SFM三维重建与点云路线，无需额外硬件，定位颗粒度与构件管理单元一致；</w:t>
      </w:r>
    </w:p>
    <w:p>
      <w:pPr>
        <w:spacing w:line="360" w:lineRule="auto" w:after="80"/>
        <w:jc w:val="both"/>
        <w:ind w:firstLineChars="200" w:firstLine="560"/>
      </w:pPr>
      <w:r>
        <w:rPr>
          <w:rFonts w:ascii="Times New Roman" w:hAnsi="Times New Roman" w:eastAsia="仿宋"/>
          <w:b w:val="0"/>
          <w:sz w:val="28"/>
        </w:rPr>
        <w:t>（4）识别—量化—定位—报告全链路闭环与双形态交付：五环流程在桌面插件内一键贯通；同时已建成基于three.js的数字孪生网页平台，以单文件离线网页形式承载常泰长江大桥真实尺度三维模型与病害贴片档案，实现“桌面检测插件＋已建成数字孪生网页平台”的双形态交付。</w:t>
      </w:r>
    </w:p>
    <w:p>
      <w:pPr>
        <w:spacing w:before="120" w:after="280" w:line="360" w:lineRule="auto"/>
        <w:jc w:val="center"/>
        <w:outlineLvl w:val="0"/>
      </w:pPr>
      <w:r>
        <w:br w:type="page"/>
      </w:r>
      <w:r>
        <w:rPr>
          <w:rFonts w:ascii="黑体" w:hAnsi="黑体" w:eastAsia="黑体"/>
          <w:b/>
          <w:sz w:val="32"/>
        </w:rPr>
        <w:t>二、应用场景</w:t>
      </w:r>
    </w:p>
    <w:p>
      <w:pPr>
        <w:spacing w:line="360" w:lineRule="auto" w:after="80"/>
        <w:jc w:val="both"/>
        <w:ind w:firstLineChars="200" w:firstLine="560"/>
      </w:pPr>
      <w:r>
        <w:rPr>
          <w:rFonts w:ascii="Times New Roman" w:hAnsi="Times New Roman" w:eastAsia="仿宋"/>
          <w:b w:val="0"/>
          <w:sz w:val="28"/>
        </w:rPr>
        <w:t>本系统面向桥梁检测业务的四类典型场景提供数字化支撑，各场景的应用方式与所需补充的演示截图如下。</w:t>
      </w:r>
    </w:p>
    <w:p>
      <w:pPr>
        <w:spacing w:before="200" w:after="120" w:line="360" w:lineRule="auto"/>
        <w:outlineLvl w:val="1"/>
      </w:pPr>
      <w:r>
        <w:rPr>
          <w:rFonts w:ascii="黑体" w:hAnsi="黑体" w:eastAsia="黑体"/>
          <w:b/>
          <w:sz w:val="28"/>
        </w:rPr>
        <w:t>2.1  定期检测辅助</w:t>
      </w:r>
    </w:p>
    <w:p>
      <w:pPr>
        <w:spacing w:line="360" w:lineRule="auto" w:after="80"/>
        <w:jc w:val="both"/>
        <w:ind w:firstLineChars="200" w:firstLine="560"/>
      </w:pPr>
      <w:r>
        <w:rPr>
          <w:rFonts w:ascii="Times New Roman" w:hAnsi="Times New Roman" w:eastAsia="仿宋"/>
          <w:b w:val="0"/>
          <w:sz w:val="28"/>
        </w:rPr>
        <w:t>为依法开展的定期检测提供影像智能判读结果与检测报告初稿：检测单位完成外业影像采集后，由系统批量完成病害识别、尺寸量化与三维定位，内业人员聚焦复核与签认，大幅压缩内业整理时间。</w:t>
      </w:r>
    </w:p>
    <w:p>
      <w:pPr>
        <w:spacing w:line="360" w:lineRule="auto" w:after="160"/>
        <w:jc w:val="center"/>
      </w:pPr>
      <w:r>
        <w:rPr>
          <w:rFonts w:ascii="Times New Roman" w:hAnsi="Times New Roman" w:eastAsia="仿宋"/>
          <w:b w:val="0"/>
          <w:color w:val="808080"/>
          <w:sz w:val="24"/>
        </w:rPr>
        <w:t>【截图线索】定期检测场景：插件批量导入某跨巡检照片并输出病害清单的界面截图</w:t>
      </w:r>
    </w:p>
    <w:p>
      <w:pPr>
        <w:spacing w:before="200" w:after="120" w:line="360" w:lineRule="auto"/>
        <w:outlineLvl w:val="1"/>
      </w:pPr>
      <w:r>
        <w:rPr>
          <w:rFonts w:ascii="黑体" w:hAnsi="黑体" w:eastAsia="黑体"/>
          <w:b/>
          <w:sz w:val="28"/>
        </w:rPr>
        <w:t>2.2  经常性检查</w:t>
      </w:r>
    </w:p>
    <w:p>
      <w:pPr>
        <w:spacing w:line="360" w:lineRule="auto" w:after="80"/>
        <w:jc w:val="both"/>
        <w:ind w:firstLineChars="200" w:firstLine="560"/>
      </w:pPr>
      <w:r>
        <w:rPr>
          <w:rFonts w:ascii="Times New Roman" w:hAnsi="Times New Roman" w:eastAsia="仿宋"/>
          <w:b w:val="0"/>
          <w:sz w:val="28"/>
        </w:rPr>
        <w:t>面向高频次、低成本的日常巡查影像进行批量处理：管养单位巡查人员使用手机或便携相机拍摄的照片即可导入系统，及时发现新增病害及其发展趋势，支撑“早发现、早处置”的预防性养护。</w:t>
      </w:r>
    </w:p>
    <w:p>
      <w:pPr>
        <w:spacing w:line="360" w:lineRule="auto" w:after="160"/>
        <w:jc w:val="center"/>
      </w:pPr>
      <w:r>
        <w:rPr>
          <w:rFonts w:ascii="Times New Roman" w:hAnsi="Times New Roman" w:eastAsia="仿宋"/>
          <w:b w:val="0"/>
          <w:color w:val="808080"/>
          <w:sz w:val="24"/>
        </w:rPr>
        <w:t>【截图线索】经常性检查场景：手机拍摄照片导入插件并完成识别的界面截图</w:t>
      </w:r>
    </w:p>
    <w:p>
      <w:pPr>
        <w:spacing w:before="200" w:after="120" w:line="360" w:lineRule="auto"/>
        <w:outlineLvl w:val="1"/>
      </w:pPr>
      <w:r>
        <w:rPr>
          <w:rFonts w:ascii="黑体" w:hAnsi="黑体" w:eastAsia="黑体"/>
          <w:b/>
          <w:sz w:val="28"/>
        </w:rPr>
        <w:t>2.3  灾后应急排查</w:t>
      </w:r>
    </w:p>
    <w:p>
      <w:pPr>
        <w:spacing w:line="360" w:lineRule="auto" w:after="80"/>
        <w:jc w:val="both"/>
        <w:ind w:firstLineChars="200" w:firstLine="560"/>
      </w:pPr>
      <w:r>
        <w:rPr>
          <w:rFonts w:ascii="Times New Roman" w:hAnsi="Times New Roman" w:eastAsia="仿宋"/>
          <w:b w:val="0"/>
          <w:sz w:val="28"/>
        </w:rPr>
        <w:t>台风、洪水、地震等灾害发生后，对批量巡检影像进行快速初筛：系统在短时间内完成大量影像的病害识别与分布统计，辅助应急人员确定重点复查部位，为抢通保通决策提供参考。</w:t>
      </w:r>
    </w:p>
    <w:p>
      <w:pPr>
        <w:spacing w:line="360" w:lineRule="auto" w:after="160"/>
        <w:jc w:val="center"/>
      </w:pPr>
      <w:r>
        <w:rPr>
          <w:rFonts w:ascii="Times New Roman" w:hAnsi="Times New Roman" w:eastAsia="仿宋"/>
          <w:b w:val="0"/>
          <w:color w:val="808080"/>
          <w:sz w:val="24"/>
        </w:rPr>
        <w:t>【截图线索】灾后应急场景：批量影像初筛结果统计与病害分布的界面截图</w:t>
      </w:r>
    </w:p>
    <w:p>
      <w:pPr>
        <w:spacing w:before="200" w:after="120" w:line="360" w:lineRule="auto"/>
        <w:outlineLvl w:val="1"/>
      </w:pPr>
      <w:r>
        <w:rPr>
          <w:rFonts w:ascii="黑体" w:hAnsi="黑体" w:eastAsia="黑体"/>
          <w:b/>
          <w:sz w:val="28"/>
        </w:rPr>
        <w:t>2.4  无人机航线化巡检</w:t>
      </w:r>
    </w:p>
    <w:p>
      <w:pPr>
        <w:spacing w:line="360" w:lineRule="auto" w:after="80"/>
        <w:jc w:val="both"/>
        <w:ind w:firstLineChars="200" w:firstLine="560"/>
      </w:pPr>
      <w:r>
        <w:rPr>
          <w:rFonts w:ascii="Times New Roman" w:hAnsi="Times New Roman" w:eastAsia="仿宋"/>
          <w:b w:val="0"/>
          <w:sz w:val="28"/>
        </w:rPr>
        <w:t>配合无人机航线规划采集的标准化影像，实现照片批量自动分析与病害自动归档：航线化采集保证拍摄角度与覆盖范围的一致性，与系统的面投影定位能力天然匹配，形成“航线采集—自动分析—三维归档”的标准化作业流。</w:t>
      </w:r>
    </w:p>
    <w:p>
      <w:pPr>
        <w:spacing w:line="360" w:lineRule="auto" w:after="160"/>
        <w:jc w:val="center"/>
      </w:pPr>
      <w:r>
        <w:rPr>
          <w:rFonts w:ascii="Times New Roman" w:hAnsi="Times New Roman" w:eastAsia="仿宋"/>
          <w:b w:val="0"/>
          <w:color w:val="808080"/>
          <w:sz w:val="24"/>
        </w:rPr>
        <w:t>【截图线索】无人机巡检场景：无人机航拍照片与病害三维落位对照的截图</w:t>
      </w:r>
    </w:p>
    <w:p>
      <w:pPr>
        <w:spacing w:before="200" w:after="120" w:line="360" w:lineRule="auto"/>
        <w:outlineLvl w:val="1"/>
      </w:pPr>
      <w:r>
        <w:rPr>
          <w:rFonts w:ascii="黑体" w:hAnsi="黑体" w:eastAsia="黑体"/>
          <w:b/>
          <w:sz w:val="28"/>
        </w:rPr>
        <w:t>2.5  服务对象与系统定位边界</w:t>
      </w:r>
    </w:p>
    <w:p>
      <w:pPr>
        <w:spacing w:line="360" w:lineRule="auto" w:after="80"/>
        <w:jc w:val="both"/>
        <w:ind w:firstLineChars="200" w:firstLine="560"/>
      </w:pPr>
      <w:r>
        <w:rPr>
          <w:rFonts w:ascii="Times New Roman" w:hAnsi="Times New Roman" w:eastAsia="仿宋"/>
          <w:b w:val="0"/>
          <w:sz w:val="28"/>
        </w:rPr>
        <w:t>本系统的服务对象包括：（1）桥梁检测单位：提升影像判读、尺寸量化与报告编制效率，降低外业作业风险；（2）桥梁管养单位：建立可视化的病害数字化档案，支撑养护决策与多期对比；（3）设计施工单位：获取带空间定位的病害数据，为加固设计与维修施工提供数据支撑。</w:t>
      </w:r>
    </w:p>
    <w:p>
      <w:pPr>
        <w:spacing w:line="360" w:lineRule="auto" w:after="80"/>
        <w:jc w:val="both"/>
        <w:ind w:firstLineChars="200" w:firstLine="560"/>
      </w:pPr>
      <w:r>
        <w:rPr>
          <w:rFonts w:ascii="Times New Roman" w:hAnsi="Times New Roman" w:eastAsia="仿宋"/>
          <w:b w:val="0"/>
          <w:sz w:val="28"/>
        </w:rPr>
        <w:t>系统定位为桥梁表观损伤智能检测的数字化辅助决策工具，不替代依法开展的定期检测、特殊检测、荷载试验和结构安全评估。系统输出的识别、量化与定位结果，均需经具有相应资质的专业人员复核确认后，方可作为正式检测成果使用。应用边界的完整声明见附录四。</w:t>
      </w:r>
    </w:p>
    <w:p>
      <w:pPr>
        <w:spacing w:before="120" w:after="280" w:line="360" w:lineRule="auto"/>
        <w:jc w:val="center"/>
        <w:outlineLvl w:val="0"/>
      </w:pPr>
      <w:r>
        <w:br w:type="page"/>
      </w:r>
      <w:r>
        <w:rPr>
          <w:rFonts w:ascii="黑体" w:hAnsi="黑体" w:eastAsia="黑体"/>
          <w:b/>
          <w:sz w:val="32"/>
        </w:rPr>
        <w:t>三、系统结构设计</w:t>
      </w:r>
    </w:p>
    <w:p>
      <w:pPr>
        <w:spacing w:before="200" w:after="120" w:line="360" w:lineRule="auto"/>
        <w:outlineLvl w:val="1"/>
      </w:pPr>
      <w:r>
        <w:rPr>
          <w:rFonts w:ascii="黑体" w:hAnsi="黑体" w:eastAsia="黑体"/>
          <w:b/>
          <w:sz w:val="28"/>
        </w:rPr>
        <w:t>3.1  总体架构</w:t>
      </w:r>
    </w:p>
    <w:p>
      <w:pPr>
        <w:spacing w:line="360" w:lineRule="auto" w:after="80"/>
        <w:jc w:val="both"/>
        <w:ind w:firstLineChars="200" w:firstLine="560"/>
      </w:pPr>
      <w:r>
        <w:rPr>
          <w:rFonts w:ascii="Times New Roman" w:hAnsi="Times New Roman" w:eastAsia="仿宋"/>
          <w:b w:val="0"/>
          <w:sz w:val="28"/>
        </w:rPr>
        <w:t>系统采用“数据层—算法层—引擎层—应用层”四层架构，自下而上逐层支撑，如表 3-1 所示，总体架构如图 3-1 所示。</w:t>
      </w:r>
    </w:p>
    <w:p>
      <w:pPr>
        <w:spacing w:before="120" w:after="40" w:line="240" w:lineRule="auto"/>
        <w:jc w:val="center"/>
      </w:pPr>
      <w:r>
        <w:rPr>
          <w:rFonts w:ascii="Times New Roman" w:hAnsi="Times New Roman" w:eastAsia="宋体"/>
          <w:b w:val="0"/>
          <w:sz w:val="18"/>
        </w:rPr>
        <w:t>表 3-1  系统总体架构</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层次</w:t>
            </w:r>
          </w:p>
        </w:tc>
        <w:tc>
          <w:tcPr>
            <w:tcW w:type="dxa" w:w="2910"/>
            <w:shd w:val="clear" w:fill="D9E2F3"/>
          </w:tcPr>
          <w:p>
            <w:pPr>
              <w:spacing w:line="240" w:lineRule="auto" w:after="40"/>
              <w:jc w:val="center"/>
            </w:pPr>
            <w:r/>
            <w:r>
              <w:rPr>
                <w:rFonts w:ascii="Times New Roman" w:hAnsi="Times New Roman" w:eastAsia="宋体"/>
                <w:b/>
                <w:sz w:val="21"/>
              </w:rPr>
              <w:t>主要组成</w:t>
            </w:r>
          </w:p>
        </w:tc>
        <w:tc>
          <w:tcPr>
            <w:tcW w:type="dxa" w:w="2910"/>
            <w:shd w:val="clear" w:fill="D9E2F3"/>
          </w:tcPr>
          <w:p>
            <w:pPr>
              <w:spacing w:line="240" w:lineRule="auto" w:after="40"/>
              <w:jc w:val="center"/>
            </w:pPr>
            <w:r/>
            <w:r>
              <w:rPr>
                <w:rFonts w:ascii="Times New Roman" w:hAnsi="Times New Roman" w:eastAsia="宋体"/>
                <w:b/>
                <w:sz w:val="21"/>
              </w:rPr>
              <w:t>功能定位</w:t>
            </w:r>
          </w:p>
        </w:tc>
      </w:tr>
      <w:tr>
        <w:tc>
          <w:tcPr>
            <w:tcW w:type="dxa" w:w="2910"/>
          </w:tcPr>
          <w:p>
            <w:pPr>
              <w:spacing w:line="240" w:lineRule="auto" w:after="40"/>
              <w:jc w:val="center"/>
            </w:pPr>
            <w:r/>
            <w:r>
              <w:rPr>
                <w:rFonts w:ascii="Times New Roman" w:hAnsi="Times New Roman" w:eastAsia="宋体"/>
                <w:b w:val="0"/>
                <w:sz w:val="21"/>
              </w:rPr>
              <w:t>应用层</w:t>
            </w:r>
          </w:p>
        </w:tc>
        <w:tc>
          <w:tcPr>
            <w:tcW w:type="dxa" w:w="2910"/>
          </w:tcPr>
          <w:p>
            <w:pPr>
              <w:spacing w:line="240" w:lineRule="auto" w:after="40"/>
              <w:jc w:val="left"/>
            </w:pPr>
            <w:r/>
            <w:r>
              <w:rPr>
                <w:rFonts w:ascii="Times New Roman" w:hAnsi="Times New Roman" w:eastAsia="宋体"/>
                <w:b w:val="0"/>
                <w:sz w:val="21"/>
              </w:rPr>
              <w:t>BIMBase桌面检测插件、Word报告自动生成、网页端数字孪生平台</w:t>
            </w:r>
          </w:p>
        </w:tc>
        <w:tc>
          <w:tcPr>
            <w:tcW w:type="dxa" w:w="2910"/>
          </w:tcPr>
          <w:p>
            <w:pPr>
              <w:spacing w:line="240" w:lineRule="auto" w:after="40"/>
              <w:jc w:val="center"/>
            </w:pPr>
            <w:r/>
            <w:r>
              <w:rPr>
                <w:rFonts w:ascii="Times New Roman" w:hAnsi="Times New Roman" w:eastAsia="宋体"/>
                <w:b w:val="0"/>
                <w:sz w:val="21"/>
              </w:rPr>
              <w:t>面向用户的数字化成果形态</w:t>
            </w:r>
          </w:p>
        </w:tc>
      </w:tr>
      <w:tr>
        <w:tc>
          <w:tcPr>
            <w:tcW w:type="dxa" w:w="2910"/>
          </w:tcPr>
          <w:p>
            <w:pPr>
              <w:spacing w:line="240" w:lineRule="auto" w:after="40"/>
              <w:jc w:val="center"/>
            </w:pPr>
            <w:r/>
            <w:r>
              <w:rPr>
                <w:rFonts w:ascii="Times New Roman" w:hAnsi="Times New Roman" w:eastAsia="宋体"/>
                <w:b w:val="0"/>
                <w:sz w:val="21"/>
              </w:rPr>
              <w:t>引擎层</w:t>
            </w:r>
          </w:p>
        </w:tc>
        <w:tc>
          <w:tcPr>
            <w:tcW w:type="dxa" w:w="2910"/>
          </w:tcPr>
          <w:p>
            <w:pPr>
              <w:spacing w:line="240" w:lineRule="auto" w:after="40"/>
              <w:jc w:val="left"/>
            </w:pPr>
            <w:r/>
            <w:r>
              <w:rPr>
                <w:rFonts w:ascii="Times New Roman" w:hAnsi="Times New Roman" w:eastAsia="宋体"/>
                <w:b w:val="0"/>
                <w:sz w:val="21"/>
              </w:rPr>
              <w:t>BIMBase国产三维图形引擎、pyp3d参数化建模库、three.js网页三维引擎</w:t>
            </w:r>
          </w:p>
        </w:tc>
        <w:tc>
          <w:tcPr>
            <w:tcW w:type="dxa" w:w="2910"/>
          </w:tcPr>
          <w:p>
            <w:pPr>
              <w:spacing w:line="240" w:lineRule="auto" w:after="40"/>
              <w:jc w:val="center"/>
            </w:pPr>
            <w:r/>
            <w:r>
              <w:rPr>
                <w:rFonts w:ascii="Times New Roman" w:hAnsi="Times New Roman" w:eastAsia="宋体"/>
                <w:b w:val="0"/>
                <w:sz w:val="21"/>
              </w:rPr>
              <w:t>三维显示、面投影计算、模型承载</w:t>
            </w:r>
          </w:p>
        </w:tc>
      </w:tr>
      <w:tr>
        <w:tc>
          <w:tcPr>
            <w:tcW w:type="dxa" w:w="2910"/>
          </w:tcPr>
          <w:p>
            <w:pPr>
              <w:spacing w:line="240" w:lineRule="auto" w:after="40"/>
              <w:jc w:val="center"/>
            </w:pPr>
            <w:r/>
            <w:r>
              <w:rPr>
                <w:rFonts w:ascii="Times New Roman" w:hAnsi="Times New Roman" w:eastAsia="宋体"/>
                <w:b w:val="0"/>
                <w:sz w:val="21"/>
              </w:rPr>
              <w:t>算法层</w:t>
            </w:r>
          </w:p>
        </w:tc>
        <w:tc>
          <w:tcPr>
            <w:tcW w:type="dxa" w:w="2910"/>
          </w:tcPr>
          <w:p>
            <w:pPr>
              <w:spacing w:line="240" w:lineRule="auto" w:after="40"/>
              <w:jc w:val="left"/>
            </w:pPr>
            <w:r/>
            <w:r>
              <w:rPr>
                <w:rFonts w:ascii="Times New Roman" w:hAnsi="Times New Roman" w:eastAsia="宋体"/>
                <w:b w:val="0"/>
                <w:sz w:val="21"/>
              </w:rPr>
              <w:t>YOLOv8目标检测（PyTorch）、免模型五路CV掩码融合、Qwen-VL多模态诊断</w:t>
            </w:r>
          </w:p>
        </w:tc>
        <w:tc>
          <w:tcPr>
            <w:tcW w:type="dxa" w:w="2910"/>
          </w:tcPr>
          <w:p>
            <w:pPr>
              <w:spacing w:line="240" w:lineRule="auto" w:after="40"/>
              <w:jc w:val="center"/>
            </w:pPr>
            <w:r/>
            <w:r>
              <w:rPr>
                <w:rFonts w:ascii="Times New Roman" w:hAnsi="Times New Roman" w:eastAsia="宋体"/>
                <w:b w:val="0"/>
                <w:sz w:val="21"/>
              </w:rPr>
              <w:t>损伤识别、量化与诊断核心算法</w:t>
            </w:r>
          </w:p>
        </w:tc>
      </w:tr>
      <w:tr>
        <w:tc>
          <w:tcPr>
            <w:tcW w:type="dxa" w:w="2910"/>
          </w:tcPr>
          <w:p>
            <w:pPr>
              <w:spacing w:line="240" w:lineRule="auto" w:after="40"/>
              <w:jc w:val="center"/>
            </w:pPr>
            <w:r/>
            <w:r>
              <w:rPr>
                <w:rFonts w:ascii="Times New Roman" w:hAnsi="Times New Roman" w:eastAsia="宋体"/>
                <w:b w:val="0"/>
                <w:sz w:val="21"/>
              </w:rPr>
              <w:t>数据层</w:t>
            </w:r>
          </w:p>
        </w:tc>
        <w:tc>
          <w:tcPr>
            <w:tcW w:type="dxa" w:w="2910"/>
          </w:tcPr>
          <w:p>
            <w:pPr>
              <w:spacing w:line="240" w:lineRule="auto" w:after="40"/>
              <w:jc w:val="left"/>
            </w:pPr>
            <w:r/>
            <w:r>
              <w:rPr>
                <w:rFonts w:ascii="Times New Roman" w:hAnsi="Times New Roman" w:eastAsia="宋体"/>
                <w:b w:val="0"/>
                <w:sz w:val="21"/>
              </w:rPr>
              <w:t>GYU-DET（11,123张）、CODEBRIM（1,022张）、本地标注整合集（1,014张）</w:t>
            </w:r>
          </w:p>
        </w:tc>
        <w:tc>
          <w:tcPr>
            <w:tcW w:type="dxa" w:w="2910"/>
          </w:tcPr>
          <w:p>
            <w:pPr>
              <w:spacing w:line="240" w:lineRule="auto" w:after="40"/>
              <w:jc w:val="center"/>
            </w:pPr>
            <w:r/>
            <w:r>
              <w:rPr>
                <w:rFonts w:ascii="Times New Roman" w:hAnsi="Times New Roman" w:eastAsia="宋体"/>
                <w:b w:val="0"/>
                <w:sz w:val="21"/>
              </w:rPr>
              <w:t>训练验证数据与病害档案数据</w:t>
            </w:r>
          </w:p>
        </w:tc>
      </w:tr>
    </w:tbl>
    <w:p>
      <w:pPr>
        <w:spacing w:after="120"/>
      </w:pPr>
    </w:p>
    <w:p>
      <w:pPr>
        <w:spacing w:before="120" w:after="40"/>
        <w:jc w:val="center"/>
      </w:pPr>
      <w:r>
        <w:drawing>
          <wp:inline xmlns:a="http://schemas.openxmlformats.org/drawingml/2006/main" xmlns:pic="http://schemas.openxmlformats.org/drawingml/2006/picture">
            <wp:extent cx="5400000" cy="3436364"/>
            <wp:docPr id="5" name="Picture 5"/>
            <wp:cNvGraphicFramePr>
              <a:graphicFrameLocks noChangeAspect="1"/>
            </wp:cNvGraphicFramePr>
            <a:graphic>
              <a:graphicData uri="http://schemas.openxmlformats.org/drawingml/2006/picture">
                <pic:pic>
                  <pic:nvPicPr>
                    <pic:cNvPr id="0" name="架构图_系统总体架构.png"/>
                    <pic:cNvPicPr/>
                  </pic:nvPicPr>
                  <pic:blipFill>
                    <a:blip r:embed="rId15"/>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3-1  系统总体架构</w:t>
      </w:r>
    </w:p>
    <w:p>
      <w:pPr>
        <w:spacing w:line="360" w:lineRule="auto" w:after="80"/>
        <w:jc w:val="both"/>
        <w:ind w:firstLineChars="200" w:firstLine="560"/>
      </w:pPr>
      <w:r>
        <w:rPr>
          <w:rFonts w:ascii="Times New Roman" w:hAnsi="Times New Roman" w:eastAsia="仿宋"/>
          <w:b w:val="0"/>
          <w:sz w:val="28"/>
        </w:rPr>
        <w:t>四层架构中，数据层为算法层提供训练与验证基础；算法层输出识别、量化与诊断结果；引擎层承载三维模型与空间计算；应用层面向最终用户提供可交互的数字化成果。各层之间通过标准数据接口解耦，便于独立升级与跨平台迁移。</w:t>
      </w:r>
    </w:p>
    <w:p>
      <w:pPr>
        <w:spacing w:before="200" w:after="120" w:line="360" w:lineRule="auto"/>
        <w:outlineLvl w:val="1"/>
      </w:pPr>
      <w:r>
        <w:rPr>
          <w:rFonts w:ascii="黑体" w:hAnsi="黑体" w:eastAsia="黑体"/>
          <w:b/>
          <w:sz w:val="28"/>
        </w:rPr>
        <w:t>3.2  数字化业务流程</w:t>
      </w:r>
    </w:p>
    <w:p>
      <w:pPr>
        <w:spacing w:line="360" w:lineRule="auto" w:after="80"/>
        <w:jc w:val="both"/>
        <w:ind w:firstLineChars="200" w:firstLine="560"/>
      </w:pPr>
      <w:r>
        <w:rPr>
          <w:rFonts w:ascii="Times New Roman" w:hAnsi="Times New Roman" w:eastAsia="仿宋"/>
          <w:b w:val="0"/>
          <w:sz w:val="28"/>
        </w:rPr>
        <w:t>系统将检测业务重构为五环闭环流程，如图 3-2 所示：（1）图像采集：以无人机巡检照片为主要数据来源，兼容手机、相机影像；（2）损伤智能识别与分类：YOLOv8n与五路CV融合双模式；（3）损伤几何尺寸量化：基于面投影标定的像素—物理尺度换算；（4）三维空间定位：解析式2D→3D面投影，病害归属到具体构件；（5）检测报告自动生成：Qwen-VL诊断＋python-docx一键生成Word报告。</w:t>
      </w:r>
    </w:p>
    <w:p>
      <w:pPr>
        <w:spacing w:before="120" w:after="40"/>
        <w:jc w:val="center"/>
      </w:pPr>
      <w:r>
        <w:drawing>
          <wp:inline xmlns:a="http://schemas.openxmlformats.org/drawingml/2006/main" xmlns:pic="http://schemas.openxmlformats.org/drawingml/2006/picture">
            <wp:extent cx="5400000" cy="3927273"/>
            <wp:docPr id="6" name="Picture 6"/>
            <wp:cNvGraphicFramePr>
              <a:graphicFrameLocks noChangeAspect="1"/>
            </wp:cNvGraphicFramePr>
            <a:graphic>
              <a:graphicData uri="http://schemas.openxmlformats.org/drawingml/2006/picture">
                <pic:pic>
                  <pic:nvPicPr>
                    <pic:cNvPr id="0" name="思维导图_数字化业务流程.png"/>
                    <pic:cNvPicPr/>
                  </pic:nvPicPr>
                  <pic:blipFill>
                    <a:blip r:embed="rId16"/>
                    <a:stretch>
                      <a:fillRect/>
                    </a:stretch>
                  </pic:blipFill>
                  <pic:spPr>
                    <a:xfrm>
                      <a:off x="0" y="0"/>
                      <a:ext cx="5400000" cy="3927273"/>
                    </a:xfrm>
                    <a:prstGeom prst="rect"/>
                  </pic:spPr>
                </pic:pic>
              </a:graphicData>
            </a:graphic>
          </wp:inline>
        </w:drawing>
      </w:r>
    </w:p>
    <w:p>
      <w:pPr>
        <w:spacing w:after="200" w:line="240" w:lineRule="auto"/>
        <w:jc w:val="center"/>
      </w:pPr>
      <w:r>
        <w:rPr>
          <w:rFonts w:ascii="Times New Roman" w:hAnsi="Times New Roman" w:eastAsia="宋体"/>
          <w:b w:val="0"/>
          <w:sz w:val="18"/>
        </w:rPr>
        <w:t>图 3-2  数字化业务流程五环闭环</w:t>
      </w:r>
    </w:p>
    <w:p>
      <w:pPr>
        <w:spacing w:line="360" w:lineRule="auto" w:after="80"/>
        <w:jc w:val="both"/>
        <w:ind w:firstLineChars="200" w:firstLine="560"/>
      </w:pPr>
      <w:r>
        <w:rPr>
          <w:rFonts w:ascii="Times New Roman" w:hAnsi="Times New Roman" w:eastAsia="仿宋"/>
          <w:b w:val="0"/>
          <w:sz w:val="28"/>
        </w:rPr>
        <w:t>五环流程在插件内一键贯通，各环节输出均作为下一环节的标准输入，数据不落地、不誊录，从机制上消除了传统模式“多人分步、数据断链”的痛点，如图 3-2 所示。</w:t>
      </w:r>
    </w:p>
    <w:p>
      <w:pPr>
        <w:spacing w:before="200" w:after="120" w:line="360" w:lineRule="auto"/>
        <w:outlineLvl w:val="1"/>
      </w:pPr>
      <w:r>
        <w:rPr>
          <w:rFonts w:ascii="黑体" w:hAnsi="黑体" w:eastAsia="黑体"/>
          <w:b/>
          <w:sz w:val="28"/>
        </w:rPr>
        <w:t>3.3  双形态部署</w:t>
      </w:r>
    </w:p>
    <w:p>
      <w:pPr>
        <w:spacing w:line="360" w:lineRule="auto" w:after="80"/>
        <w:jc w:val="both"/>
        <w:ind w:firstLineChars="200" w:firstLine="560"/>
      </w:pPr>
      <w:r>
        <w:rPr>
          <w:rFonts w:ascii="Times New Roman" w:hAnsi="Times New Roman" w:eastAsia="仿宋"/>
          <w:b w:val="0"/>
          <w:sz w:val="28"/>
        </w:rPr>
        <w:t>系统采用“桌面插件＋在线平台”双形态交付，如图 3-3 所示：</w:t>
      </w:r>
    </w:p>
    <w:p>
      <w:pPr>
        <w:spacing w:line="360" w:lineRule="auto" w:after="80"/>
        <w:jc w:val="both"/>
        <w:ind w:firstLineChars="200" w:firstLine="560"/>
      </w:pPr>
      <w:r>
        <w:rPr>
          <w:rFonts w:ascii="Times New Roman" w:hAnsi="Times New Roman" w:eastAsia="仿宋"/>
          <w:b w:val="0"/>
          <w:sz w:val="28"/>
        </w:rPr>
        <w:t>（1）桌面检测插件：基于BIMBase平台开发的Python插件，普通笔记本电脑即可运行；YOLOv8n轻量化模型支持CPU端推理，无需专业GPU设备，契合基层检测单位硬件条件；</w:t>
      </w:r>
    </w:p>
    <w:p>
      <w:pPr>
        <w:spacing w:line="360" w:lineRule="auto" w:after="80"/>
        <w:jc w:val="both"/>
        <w:ind w:firstLineChars="200" w:firstLine="560"/>
      </w:pPr>
      <w:r>
        <w:rPr>
          <w:rFonts w:ascii="Times New Roman" w:hAnsi="Times New Roman" w:eastAsia="仿宋"/>
          <w:b w:val="0"/>
          <w:sz w:val="28"/>
        </w:rPr>
        <w:t>（2）数字孪生在线平台：团队已建成的网页端桥梁数字孪生平台（基于three.js引擎的单文件离线网页，662KB），已实现常泰长江大桥真实尺度程序化三维重建与病害三维贴片可视化，浏览器免安装直接访问，并支持部署至公网网址对外提供服务。</w:t>
      </w:r>
    </w:p>
    <w:p>
      <w:pPr>
        <w:spacing w:before="120" w:after="40"/>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示意图_双形态交付.png"/>
                    <pic:cNvPicPr/>
                  </pic:nvPicPr>
                  <pic:blipFill>
                    <a:blip r:embed="rId17"/>
                    <a:stretch>
                      <a:fillRect/>
                    </a:stretch>
                  </pic:blipFill>
                  <pic:spPr>
                    <a:xfrm>
                      <a:off x="0" y="0"/>
                      <a:ext cx="5400000" cy="2700000"/>
                    </a:xfrm>
                    <a:prstGeom prst="rect"/>
                  </pic:spPr>
                </pic:pic>
              </a:graphicData>
            </a:graphic>
          </wp:inline>
        </w:drawing>
      </w:r>
    </w:p>
    <w:p>
      <w:pPr>
        <w:spacing w:after="200" w:line="240" w:lineRule="auto"/>
        <w:jc w:val="center"/>
      </w:pPr>
      <w:r>
        <w:rPr>
          <w:rFonts w:ascii="Times New Roman" w:hAnsi="Times New Roman" w:eastAsia="宋体"/>
          <w:b w:val="0"/>
          <w:sz w:val="18"/>
        </w:rPr>
        <w:t>图 3-3  双形态交付示意图</w:t>
      </w:r>
    </w:p>
    <w:p>
      <w:pPr>
        <w:spacing w:line="360" w:lineRule="auto" w:after="80"/>
        <w:jc w:val="both"/>
        <w:ind w:firstLineChars="200" w:firstLine="560"/>
      </w:pPr>
      <w:r>
        <w:rPr>
          <w:rFonts w:ascii="Times New Roman" w:hAnsi="Times New Roman" w:eastAsia="仿宋"/>
          <w:b w:val="0"/>
          <w:sz w:val="28"/>
        </w:rPr>
        <w:t>两种形态通过病害数据JSON文件衔接：插件完成检测、诊断、定位与报告生成后导出JSON，平台导入JSON即在三维场景中还原病害分布，如图 3-3 所示。</w:t>
      </w:r>
    </w:p>
    <w:p>
      <w:pPr>
        <w:spacing w:before="200" w:after="120" w:line="360" w:lineRule="auto"/>
        <w:outlineLvl w:val="1"/>
      </w:pPr>
      <w:r>
        <w:rPr>
          <w:rFonts w:ascii="黑体" w:hAnsi="黑体" w:eastAsia="黑体"/>
          <w:b/>
          <w:sz w:val="28"/>
        </w:rPr>
        <w:t>3.4  参数化构件库</w:t>
      </w:r>
    </w:p>
    <w:p>
      <w:pPr>
        <w:spacing w:line="360" w:lineRule="auto" w:after="80"/>
        <w:jc w:val="both"/>
        <w:ind w:firstLineChars="200" w:firstLine="560"/>
      </w:pPr>
      <w:r>
        <w:rPr>
          <w:rFonts w:ascii="Times New Roman" w:hAnsi="Times New Roman" w:eastAsia="仿宋"/>
          <w:b w:val="0"/>
          <w:sz w:val="28"/>
        </w:rPr>
        <w:t>病害三维定位与数字孪生展示依赖结构化的构件模型。团队围绕常泰长江大桥建立了参数化构件库，全部构件均为原创参数化构件，每个构件有效可调参数不少于4个，参数摘自组件库源码。常泰长江大桥模型共包含16类参数化构件，如图 3-4 所示：上部结构7项（主塔、侧面钢桁架、工字钢梁、斜拉索、支座、自密实混凝土层及隔离层、轨道底座）、下部结构3项（门式桥墩、承台及桩基、扩大基础）、附属设施6项（新泽西护栏、防撞护栏、轨道、接触网、路面及交通标线、铁路封闭网）。</w:t>
      </w:r>
    </w:p>
    <w:p>
      <w:pPr>
        <w:spacing w:before="120" w:after="40"/>
        <w:jc w:val="center"/>
      </w:pPr>
      <w:r>
        <w:drawing>
          <wp:inline xmlns:a="http://schemas.openxmlformats.org/drawingml/2006/main" xmlns:pic="http://schemas.openxmlformats.org/drawingml/2006/picture">
            <wp:extent cx="5400000" cy="3834000"/>
            <wp:docPr id="8" name="Picture 8"/>
            <wp:cNvGraphicFramePr>
              <a:graphicFrameLocks noChangeAspect="1"/>
            </wp:cNvGraphicFramePr>
            <a:graphic>
              <a:graphicData uri="http://schemas.openxmlformats.org/drawingml/2006/picture">
                <pic:pic>
                  <pic:nvPicPr>
                    <pic:cNvPr id="0" name="构件清单表.png"/>
                    <pic:cNvPicPr/>
                  </pic:nvPicPr>
                  <pic:blipFill>
                    <a:blip r:embed="rId18"/>
                    <a:stretch>
                      <a:fillRect/>
                    </a:stretch>
                  </pic:blipFill>
                  <pic:spPr>
                    <a:xfrm>
                      <a:off x="0" y="0"/>
                      <a:ext cx="5400000" cy="3834000"/>
                    </a:xfrm>
                    <a:prstGeom prst="rect"/>
                  </pic:spPr>
                </pic:pic>
              </a:graphicData>
            </a:graphic>
          </wp:inline>
        </w:drawing>
      </w:r>
    </w:p>
    <w:p>
      <w:pPr>
        <w:spacing w:after="200" w:line="240" w:lineRule="auto"/>
        <w:jc w:val="center"/>
      </w:pPr>
      <w:r>
        <w:rPr>
          <w:rFonts w:ascii="Times New Roman" w:hAnsi="Times New Roman" w:eastAsia="宋体"/>
          <w:b w:val="0"/>
          <w:sz w:val="18"/>
        </w:rPr>
        <w:t>图 3-4  常泰长江大桥参数化构件清单</w:t>
      </w:r>
    </w:p>
    <w:p>
      <w:pPr>
        <w:spacing w:line="360" w:lineRule="auto" w:after="80"/>
        <w:jc w:val="both"/>
        <w:ind w:firstLineChars="200" w:firstLine="560"/>
      </w:pPr>
      <w:r>
        <w:rPr>
          <w:rFonts w:ascii="Times New Roman" w:hAnsi="Times New Roman" w:eastAsia="仿宋"/>
          <w:b w:val="0"/>
          <w:sz w:val="28"/>
        </w:rPr>
        <w:t>构件清单同时给出了病害定位路由规则：病害数据按构件关键词（塔/墩/承台/索/桥面板/附属）自动路由至对应构件组，与数字孪生平台的贴片归属规则一一对应，如图 3-4 所示。完整清单说明见附录二。</w:t>
      </w:r>
    </w:p>
    <w:p>
      <w:pPr>
        <w:spacing w:before="120" w:after="280" w:line="360" w:lineRule="auto"/>
        <w:jc w:val="center"/>
        <w:outlineLvl w:val="0"/>
      </w:pPr>
      <w:r>
        <w:br w:type="page"/>
      </w:r>
      <w:r>
        <w:rPr>
          <w:rFonts w:ascii="黑体" w:hAnsi="黑体" w:eastAsia="黑体"/>
          <w:b/>
          <w:sz w:val="32"/>
        </w:rPr>
        <w:t>四、操作说明</w:t>
      </w:r>
    </w:p>
    <w:p>
      <w:pPr>
        <w:spacing w:line="360" w:lineRule="auto" w:after="80"/>
        <w:jc w:val="both"/>
        <w:ind w:firstLineChars="200" w:firstLine="560"/>
      </w:pPr>
      <w:r>
        <w:rPr>
          <w:rFonts w:ascii="Times New Roman" w:hAnsi="Times New Roman" w:eastAsia="仿宋"/>
          <w:b w:val="0"/>
          <w:sz w:val="28"/>
        </w:rPr>
        <w:t>本章按用户实际操作顺序说明系统使用方法。系统主界面如图 4-1 所示：左侧为操作面板，按“导入照片—构件信息—尺寸标定—病害记录—生成报告”分区组织；右侧为照片浏览与已录入病害列表。以下分九步说明完整操作流程。</w:t>
      </w:r>
    </w:p>
    <w:p>
      <w:pPr>
        <w:spacing w:before="120" w:after="40"/>
        <w:jc w:val="center"/>
      </w:pPr>
      <w:r>
        <w:drawing>
          <wp:inline xmlns:a="http://schemas.openxmlformats.org/drawingml/2006/main" xmlns:pic="http://schemas.openxmlformats.org/drawingml/2006/picture">
            <wp:extent cx="4680000" cy="4202499"/>
            <wp:docPr id="9" name="Picture 9"/>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4680000" cy="4202499"/>
                    </a:xfrm>
                    <a:prstGeom prst="rect"/>
                  </pic:spPr>
                </pic:pic>
              </a:graphicData>
            </a:graphic>
          </wp:inline>
        </w:drawing>
      </w:r>
    </w:p>
    <w:p>
      <w:pPr>
        <w:spacing w:after="200" w:line="240" w:lineRule="auto"/>
        <w:jc w:val="center"/>
      </w:pPr>
      <w:r>
        <w:rPr>
          <w:rFonts w:ascii="Times New Roman" w:hAnsi="Times New Roman" w:eastAsia="宋体"/>
          <w:b w:val="0"/>
          <w:sz w:val="18"/>
        </w:rPr>
        <w:t>图 4-1  桥梁病害识别插件主界面</w:t>
      </w:r>
    </w:p>
    <w:p>
      <w:pPr>
        <w:spacing w:before="120" w:after="80" w:line="360" w:lineRule="auto"/>
        <w:outlineLvl w:val="2"/>
      </w:pPr>
      <w:r>
        <w:rPr>
          <w:rFonts w:ascii="黑体" w:hAnsi="黑体" w:eastAsia="黑体"/>
          <w:b/>
          <w:sz w:val="24"/>
        </w:rPr>
        <w:t>4.1  第一步：导入照片</w:t>
      </w:r>
    </w:p>
    <w:p>
      <w:pPr>
        <w:spacing w:line="360" w:lineRule="auto" w:after="80"/>
        <w:jc w:val="both"/>
        <w:ind w:firstLineChars="200" w:firstLine="560"/>
      </w:pPr>
      <w:r>
        <w:rPr>
          <w:rFonts w:ascii="Times New Roman" w:hAnsi="Times New Roman" w:eastAsia="仿宋"/>
          <w:b w:val="0"/>
          <w:sz w:val="28"/>
        </w:rPr>
        <w:t>点击“导入无人机照片”按钮，选择巡检照片导入插件。支持无人机、手机、相机拍摄的常见格式影像，兼容中文路径。导入后照片显示于右侧视图区，可缩放查看细节。</w:t>
      </w:r>
    </w:p>
    <w:p>
      <w:pPr>
        <w:spacing w:line="360" w:lineRule="auto" w:after="160"/>
        <w:jc w:val="center"/>
      </w:pPr>
      <w:r>
        <w:rPr>
          <w:rFonts w:ascii="Times New Roman" w:hAnsi="Times New Roman" w:eastAsia="仿宋"/>
          <w:b w:val="0"/>
          <w:color w:val="808080"/>
          <w:sz w:val="24"/>
        </w:rPr>
        <w:t>【截图线索】步骤1：点击“导入无人机照片”后照片载入视图区的界面截图</w:t>
      </w:r>
    </w:p>
    <w:p>
      <w:pPr>
        <w:spacing w:before="120" w:after="80" w:line="360" w:lineRule="auto"/>
        <w:outlineLvl w:val="2"/>
      </w:pPr>
      <w:r>
        <w:rPr>
          <w:rFonts w:ascii="黑体" w:hAnsi="黑体" w:eastAsia="黑体"/>
          <w:b/>
          <w:sz w:val="24"/>
        </w:rPr>
        <w:t>4.2  第二步：参照物标定</w:t>
      </w:r>
    </w:p>
    <w:p>
      <w:pPr>
        <w:spacing w:line="360" w:lineRule="auto" w:after="80"/>
        <w:jc w:val="both"/>
        <w:ind w:firstLineChars="200" w:firstLine="560"/>
      </w:pPr>
      <w:r>
        <w:rPr>
          <w:rFonts w:ascii="Times New Roman" w:hAnsi="Times New Roman" w:eastAsia="仿宋"/>
          <w:b w:val="0"/>
          <w:sz w:val="28"/>
        </w:rPr>
        <w:t>点击“框选参照物标定”，在照片上框选已知实际尺寸的参照物（如标尺、已知宽度构件），输入参照物实际长度，系统自动计算该照片的像素—物理比例（mm/px），作为尺寸量化的标定基础；可随时“清除标定”重新标定。</w:t>
      </w:r>
    </w:p>
    <w:p>
      <w:pPr>
        <w:spacing w:line="360" w:lineRule="auto" w:after="160"/>
        <w:jc w:val="center"/>
      </w:pPr>
      <w:r>
        <w:rPr>
          <w:rFonts w:ascii="Times New Roman" w:hAnsi="Times New Roman" w:eastAsia="仿宋"/>
          <w:b w:val="0"/>
          <w:color w:val="808080"/>
          <w:sz w:val="24"/>
        </w:rPr>
        <w:t>【截图线索】步骤2：框选参照物并输入实际长度完成标定的界面截图</w:t>
      </w:r>
    </w:p>
    <w:p>
      <w:pPr>
        <w:spacing w:before="120" w:after="80" w:line="360" w:lineRule="auto"/>
        <w:outlineLvl w:val="2"/>
      </w:pPr>
      <w:r>
        <w:rPr>
          <w:rFonts w:ascii="黑体" w:hAnsi="黑体" w:eastAsia="黑体"/>
          <w:b/>
          <w:sz w:val="24"/>
        </w:rPr>
        <w:t>4.3  第三步：智能检测</w:t>
      </w:r>
    </w:p>
    <w:p>
      <w:pPr>
        <w:spacing w:line="360" w:lineRule="auto" w:after="80"/>
        <w:jc w:val="both"/>
        <w:ind w:firstLineChars="200" w:firstLine="560"/>
      </w:pPr>
      <w:r>
        <w:rPr>
          <w:rFonts w:ascii="Times New Roman" w:hAnsi="Times New Roman" w:eastAsia="仿宋"/>
          <w:b w:val="0"/>
          <w:sz w:val="28"/>
        </w:rPr>
        <w:t>点击“自动识别异常区域”，系统按双模式策略执行检测：已加载YOLOv8n模型时输出六类损伤的类别与检测框；无模型环境下自动切换免模型五路CV掩码融合，输出损伤候选区域。检测结果以标注框形式叠加显示在照片上。</w:t>
      </w:r>
    </w:p>
    <w:p>
      <w:pPr>
        <w:spacing w:line="360" w:lineRule="auto" w:after="160"/>
        <w:jc w:val="center"/>
      </w:pPr>
      <w:r>
        <w:rPr>
          <w:rFonts w:ascii="Times New Roman" w:hAnsi="Times New Roman" w:eastAsia="仿宋"/>
          <w:b w:val="0"/>
          <w:color w:val="808080"/>
          <w:sz w:val="24"/>
        </w:rPr>
        <w:t>【截图线索】步骤3：自动识别后照片叠加损伤检测框的界面截图</w:t>
      </w:r>
    </w:p>
    <w:p>
      <w:pPr>
        <w:spacing w:before="120" w:after="80" w:line="360" w:lineRule="auto"/>
        <w:outlineLvl w:val="2"/>
      </w:pPr>
      <w:r>
        <w:rPr>
          <w:rFonts w:ascii="黑体" w:hAnsi="黑体" w:eastAsia="黑体"/>
          <w:b/>
          <w:sz w:val="24"/>
        </w:rPr>
        <w:t>4.4  第四步：AI 智能诊断</w:t>
      </w:r>
    </w:p>
    <w:p>
      <w:pPr>
        <w:spacing w:line="360" w:lineRule="auto" w:after="80"/>
        <w:jc w:val="both"/>
        <w:ind w:firstLineChars="200" w:firstLine="560"/>
      </w:pPr>
      <w:r>
        <w:rPr>
          <w:rFonts w:ascii="Times New Roman" w:hAnsi="Times New Roman" w:eastAsia="仿宋"/>
          <w:b w:val="0"/>
          <w:sz w:val="28"/>
        </w:rPr>
        <w:t>点击“AI 智能诊断”，系统将原图与带框图双图输入Qwen-VL-Max多模态大模型，返回病害类型、程度、成因、处置建议、紧迫度五字段结构化结果，供人工复核。AI诊断需配置DashScope API Key（点击“配置 AI Key”）；离线环境下可跳过本步，直接进入人工录入。</w:t>
      </w:r>
    </w:p>
    <w:p>
      <w:pPr>
        <w:spacing w:line="360" w:lineRule="auto" w:after="160"/>
        <w:jc w:val="center"/>
      </w:pPr>
      <w:r>
        <w:rPr>
          <w:rFonts w:ascii="Times New Roman" w:hAnsi="Times New Roman" w:eastAsia="仿宋"/>
          <w:b w:val="0"/>
          <w:color w:val="808080"/>
          <w:sz w:val="24"/>
        </w:rPr>
        <w:t>【截图线索】步骤4：AI 诊断返回五字段结果的界面截图</w:t>
      </w:r>
    </w:p>
    <w:p>
      <w:pPr>
        <w:spacing w:before="120" w:after="80" w:line="360" w:lineRule="auto"/>
        <w:outlineLvl w:val="2"/>
      </w:pPr>
      <w:r>
        <w:rPr>
          <w:rFonts w:ascii="黑体" w:hAnsi="黑体" w:eastAsia="黑体"/>
          <w:b/>
          <w:sz w:val="24"/>
        </w:rPr>
        <w:t>4.5  第五步：尺寸量化</w:t>
      </w:r>
    </w:p>
    <w:p>
      <w:pPr>
        <w:spacing w:line="360" w:lineRule="auto" w:after="80"/>
        <w:jc w:val="both"/>
        <w:ind w:firstLineChars="200" w:firstLine="560"/>
      </w:pPr>
      <w:r>
        <w:rPr>
          <w:rFonts w:ascii="Times New Roman" w:hAnsi="Times New Roman" w:eastAsia="仿宋"/>
          <w:b w:val="0"/>
          <w:sz w:val="28"/>
        </w:rPr>
        <w:t>系统基于第二步的标定比例，对检测框内的损伤自动完成掩膜细化与骨架提取，输出损伤长度、最大宽度与面积三项几何量，并随病害记录一并保存。</w:t>
      </w:r>
    </w:p>
    <w:p>
      <w:pPr>
        <w:spacing w:line="360" w:lineRule="auto" w:after="160"/>
        <w:jc w:val="center"/>
      </w:pPr>
      <w:r>
        <w:rPr>
          <w:rFonts w:ascii="Times New Roman" w:hAnsi="Times New Roman" w:eastAsia="仿宋"/>
          <w:b w:val="0"/>
          <w:color w:val="808080"/>
          <w:sz w:val="24"/>
        </w:rPr>
        <w:t>【截图线索】步骤5：病害记录中显示长度/宽度/面积量化结果的界面截图</w:t>
      </w:r>
    </w:p>
    <w:p>
      <w:pPr>
        <w:spacing w:before="120" w:after="80" w:line="360" w:lineRule="auto"/>
        <w:outlineLvl w:val="2"/>
      </w:pPr>
      <w:r>
        <w:rPr>
          <w:rFonts w:ascii="黑体" w:hAnsi="黑体" w:eastAsia="黑体"/>
          <w:b/>
          <w:sz w:val="24"/>
        </w:rPr>
        <w:t>4.6  第六步：面投影定位</w:t>
      </w:r>
    </w:p>
    <w:p>
      <w:pPr>
        <w:spacing w:line="360" w:lineRule="auto" w:after="80"/>
        <w:jc w:val="both"/>
        <w:ind w:firstLineChars="200" w:firstLine="560"/>
      </w:pPr>
      <w:r>
        <w:rPr>
          <w:rFonts w:ascii="Times New Roman" w:hAnsi="Times New Roman" w:eastAsia="仿宋"/>
          <w:b w:val="0"/>
          <w:sz w:val="28"/>
        </w:rPr>
        <w:t>在“构件信息”区选择构件类型与桥梁名称、构件编号，或点击“获取当前选中组件”读取BIMBase中选中构件；选择投影面后点击“病害投影”，系统按解析式2D→3D面投影将病害标记落位到构件表面，沿法向偏移2mm防止闪面，投影标记以点云形式合成显示于三维模型。</w:t>
      </w:r>
    </w:p>
    <w:p>
      <w:pPr>
        <w:spacing w:line="360" w:lineRule="auto" w:after="160"/>
        <w:jc w:val="center"/>
      </w:pPr>
      <w:r>
        <w:rPr>
          <w:rFonts w:ascii="Times New Roman" w:hAnsi="Times New Roman" w:eastAsia="仿宋"/>
          <w:b w:val="0"/>
          <w:color w:val="808080"/>
          <w:sz w:val="24"/>
        </w:rPr>
        <w:t>【截图线索】步骤6：病害投影后BIM模型上出现病害标记的三维视图截图</w:t>
      </w:r>
    </w:p>
    <w:p>
      <w:pPr>
        <w:spacing w:before="120" w:after="80" w:line="360" w:lineRule="auto"/>
        <w:outlineLvl w:val="2"/>
      </w:pPr>
      <w:r>
        <w:rPr>
          <w:rFonts w:ascii="黑体" w:hAnsi="黑体" w:eastAsia="黑体"/>
          <w:b/>
          <w:sz w:val="24"/>
        </w:rPr>
        <w:t>4.7  第七步：报告生成</w:t>
      </w:r>
    </w:p>
    <w:p>
      <w:pPr>
        <w:spacing w:line="360" w:lineRule="auto" w:after="80"/>
        <w:jc w:val="both"/>
        <w:ind w:firstLineChars="200" w:firstLine="560"/>
      </w:pPr>
      <w:r>
        <w:rPr>
          <w:rFonts w:ascii="Times New Roman" w:hAnsi="Times New Roman" w:eastAsia="仿宋"/>
          <w:b w:val="0"/>
          <w:sz w:val="28"/>
        </w:rPr>
        <w:t>在“添加病害记录”区复核病害类型、严重程度、位置、尺寸与备注，点击“添加到列表”；全部记录完成后点击“生成诊断报告”，系统基于python-docx一键生成规范Word检测报告，包含封面信息、病害清单、损伤位置分布、成因分析与处置建议。</w:t>
      </w:r>
    </w:p>
    <w:p>
      <w:pPr>
        <w:spacing w:line="360" w:lineRule="auto" w:after="160"/>
        <w:jc w:val="center"/>
      </w:pPr>
      <w:r>
        <w:rPr>
          <w:rFonts w:ascii="Times New Roman" w:hAnsi="Times New Roman" w:eastAsia="仿宋"/>
          <w:b w:val="0"/>
          <w:color w:val="808080"/>
          <w:sz w:val="24"/>
        </w:rPr>
        <w:t>【截图线索】步骤7：生成的Word检测报告首页与病害清单页截图</w:t>
      </w:r>
    </w:p>
    <w:p>
      <w:pPr>
        <w:spacing w:before="120" w:after="80" w:line="360" w:lineRule="auto"/>
        <w:outlineLvl w:val="2"/>
      </w:pPr>
      <w:r>
        <w:rPr>
          <w:rFonts w:ascii="黑体" w:hAnsi="黑体" w:eastAsia="黑体"/>
          <w:b/>
          <w:sz w:val="24"/>
        </w:rPr>
        <w:t>4.8  第八步：导出网页数据</w:t>
      </w:r>
    </w:p>
    <w:p>
      <w:pPr>
        <w:spacing w:line="360" w:lineRule="auto" w:after="80"/>
        <w:jc w:val="both"/>
        <w:ind w:firstLineChars="200" w:firstLine="560"/>
      </w:pPr>
      <w:r>
        <w:rPr>
          <w:rFonts w:ascii="Times New Roman" w:hAnsi="Times New Roman" w:eastAsia="仿宋"/>
          <w:b w:val="0"/>
          <w:sz w:val="28"/>
        </w:rPr>
        <w:t>点击导出功能，将病害记录序列化为标准JSON文件，作为数字孪生平台的数据输入。JSON包含病害类型、所属构件、位置、尺寸、程度与紧迫度等字段，与平台贴片归属规则一一对应。</w:t>
      </w:r>
    </w:p>
    <w:p>
      <w:pPr>
        <w:spacing w:line="360" w:lineRule="auto" w:after="160"/>
        <w:jc w:val="center"/>
      </w:pPr>
      <w:r>
        <w:rPr>
          <w:rFonts w:ascii="Times New Roman" w:hAnsi="Times New Roman" w:eastAsia="仿宋"/>
          <w:b w:val="0"/>
          <w:color w:val="808080"/>
          <w:sz w:val="24"/>
        </w:rPr>
        <w:t>【截图线索】步骤8：导出病害数据JSON文件的界面截图</w:t>
      </w:r>
    </w:p>
    <w:p>
      <w:pPr>
        <w:spacing w:before="120" w:after="80" w:line="360" w:lineRule="auto"/>
        <w:outlineLvl w:val="2"/>
      </w:pPr>
      <w:r>
        <w:rPr>
          <w:rFonts w:ascii="黑体" w:hAnsi="黑体" w:eastAsia="黑体"/>
          <w:b/>
          <w:sz w:val="24"/>
        </w:rPr>
        <w:t>4.9  第九步：数字孪生查看</w:t>
      </w:r>
    </w:p>
    <w:p>
      <w:pPr>
        <w:spacing w:line="360" w:lineRule="auto" w:after="80"/>
        <w:jc w:val="both"/>
        <w:ind w:firstLineChars="200" w:firstLine="560"/>
      </w:pPr>
      <w:r>
        <w:rPr>
          <w:rFonts w:ascii="Times New Roman" w:hAnsi="Times New Roman" w:eastAsia="仿宋"/>
          <w:b w:val="0"/>
          <w:sz w:val="28"/>
        </w:rPr>
        <w:t>用浏览器打开数字孪生平台网页（单文件离线网页，或公网部署地址），点击“导入JSON”选择第八步导出的数据文件，病害即以三维贴片形式落位于全桥模型对应构件；可通过构件复选框分组显隐，点击贴片查看病害详情，或使用“载入示例数据”查看内置示例。</w:t>
      </w:r>
    </w:p>
    <w:p>
      <w:pPr>
        <w:spacing w:line="360" w:lineRule="auto" w:after="160"/>
        <w:jc w:val="center"/>
      </w:pPr>
      <w:r>
        <w:rPr>
          <w:rFonts w:ascii="Times New Roman" w:hAnsi="Times New Roman" w:eastAsia="仿宋"/>
          <w:b w:val="0"/>
          <w:color w:val="808080"/>
          <w:sz w:val="24"/>
        </w:rPr>
        <w:t>【截图线索】步骤9：数字孪生平台导入JSON后病害贴片分布的界面截图</w:t>
      </w:r>
    </w:p>
    <w:p>
      <w:pPr>
        <w:spacing w:line="360" w:lineRule="auto" w:after="80"/>
        <w:jc w:val="both"/>
        <w:ind w:firstLineChars="200" w:firstLine="560"/>
      </w:pPr>
      <w:r>
        <w:rPr>
          <w:rFonts w:ascii="Times New Roman" w:hAnsi="Times New Roman" w:eastAsia="仿宋"/>
          <w:b w:val="0"/>
          <w:sz w:val="28"/>
        </w:rPr>
        <w:t>至此，从照片到报告、再到三维档案的完整业务闭环操作完成，全过程无需人工誊录数据，如图 4-1 所示的主界面即可完成全部操作。</w:t>
      </w:r>
    </w:p>
    <w:p>
      <w:pPr>
        <w:spacing w:before="120" w:after="280" w:line="360" w:lineRule="auto"/>
        <w:jc w:val="center"/>
        <w:outlineLvl w:val="0"/>
      </w:pPr>
      <w:r>
        <w:br w:type="page"/>
      </w:r>
      <w:r>
        <w:rPr>
          <w:rFonts w:ascii="黑体" w:hAnsi="黑体" w:eastAsia="黑体"/>
          <w:b/>
          <w:sz w:val="32"/>
        </w:rPr>
        <w:t>五、核心技术及原理</w:t>
      </w:r>
    </w:p>
    <w:p>
      <w:pPr>
        <w:spacing w:line="360" w:lineRule="auto" w:after="80"/>
        <w:jc w:val="both"/>
        <w:ind w:firstLineChars="200" w:firstLine="560"/>
      </w:pPr>
      <w:r>
        <w:rPr>
          <w:rFonts w:ascii="Times New Roman" w:hAnsi="Times New Roman" w:eastAsia="仿宋"/>
          <w:b w:val="0"/>
          <w:sz w:val="28"/>
        </w:rPr>
        <w:t>本章阐述系统五环流程背后的四项核心技术：损伤智能识别（双模式）、损伤几何尺寸量化、解析式面投影三维定位，以及数字孪生平台技术。全部关键算法均为团队自主实现，核心代码节选见附录三。</w:t>
      </w:r>
    </w:p>
    <w:p>
      <w:pPr>
        <w:spacing w:before="200" w:after="120" w:line="360" w:lineRule="auto"/>
        <w:outlineLvl w:val="1"/>
      </w:pPr>
      <w:r>
        <w:rPr>
          <w:rFonts w:ascii="黑体" w:hAnsi="黑体" w:eastAsia="黑体"/>
          <w:b/>
          <w:sz w:val="28"/>
        </w:rPr>
        <w:t>5.1  基于 YOLOv8 的损伤智能识别</w:t>
      </w:r>
    </w:p>
    <w:p>
      <w:pPr>
        <w:spacing w:line="360" w:lineRule="auto" w:after="80"/>
        <w:jc w:val="both"/>
        <w:ind w:firstLineChars="200" w:firstLine="560"/>
      </w:pPr>
      <w:r>
        <w:rPr>
          <w:rFonts w:ascii="Times New Roman" w:hAnsi="Times New Roman" w:eastAsia="仿宋"/>
          <w:b w:val="0"/>
          <w:sz w:val="28"/>
        </w:rPr>
        <w:t>（1）模型选型：选用YOLOv8n轻量化目标检测模型，基于PyTorch框架构建。n级骨干参数量小、推理速度快，支持在CPU端完成训练与部署，便于在基层检测单位普通办公电脑上运行，契合命题对轻量化部署的要求；</w:t>
      </w:r>
    </w:p>
    <w:p>
      <w:pPr>
        <w:spacing w:line="360" w:lineRule="auto" w:after="80"/>
        <w:jc w:val="both"/>
        <w:ind w:firstLineChars="200" w:firstLine="560"/>
      </w:pPr>
      <w:r>
        <w:rPr>
          <w:rFonts w:ascii="Times New Roman" w:hAnsi="Times New Roman" w:eastAsia="仿宋"/>
          <w:b w:val="0"/>
          <w:sz w:val="28"/>
        </w:rPr>
        <w:t>（2）类别体系：覆盖裂缝、剥落、露筋、蜂窝麻面、渗水、锈蚀6类桥梁典型表观损伤，与GYU-DET、CODEBRIM公开数据集的类别体系兼容，便于训练与对标；</w:t>
      </w:r>
    </w:p>
    <w:p>
      <w:pPr>
        <w:spacing w:line="360" w:lineRule="auto" w:after="80"/>
        <w:jc w:val="both"/>
        <w:ind w:firstLineChars="200" w:firstLine="560"/>
      </w:pPr>
      <w:r>
        <w:rPr>
          <w:rFonts w:ascii="Times New Roman" w:hAnsi="Times New Roman" w:eastAsia="仿宋"/>
          <w:b w:val="0"/>
          <w:sz w:val="28"/>
        </w:rPr>
        <w:t>（3）数据集建设：训练数据由公开数据集与本地自建标注数据集联合构成，如表 5-1 所示。公开数据集提供类别多样性与规模基础；本地标注数据来自真实巡检报告影像的提取与人工标注，使模型更贴近实际业务场景的成像条件与病害形态。</w:t>
      </w:r>
    </w:p>
    <w:p>
      <w:pPr>
        <w:spacing w:before="120" w:after="40" w:line="240" w:lineRule="auto"/>
        <w:jc w:val="center"/>
      </w:pPr>
      <w:r>
        <w:rPr>
          <w:rFonts w:ascii="Times New Roman" w:hAnsi="Times New Roman" w:eastAsia="宋体"/>
          <w:b w:val="0"/>
          <w:sz w:val="18"/>
        </w:rPr>
        <w:t>表 5-1  数据集建设情况</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数据来源</w:t>
            </w:r>
          </w:p>
        </w:tc>
        <w:tc>
          <w:tcPr>
            <w:tcW w:type="dxa" w:w="2183"/>
            <w:shd w:val="clear" w:fill="D9E2F3"/>
          </w:tcPr>
          <w:p>
            <w:pPr>
              <w:spacing w:line="240" w:lineRule="auto" w:after="40"/>
              <w:jc w:val="center"/>
            </w:pPr>
            <w:r/>
            <w:r>
              <w:rPr>
                <w:rFonts w:ascii="Times New Roman" w:hAnsi="Times New Roman" w:eastAsia="宋体"/>
                <w:b/>
                <w:sz w:val="21"/>
              </w:rPr>
              <w:t>规模</w:t>
            </w:r>
          </w:p>
        </w:tc>
        <w:tc>
          <w:tcPr>
            <w:tcW w:type="dxa" w:w="2183"/>
            <w:shd w:val="clear" w:fill="D9E2F3"/>
          </w:tcPr>
          <w:p>
            <w:pPr>
              <w:spacing w:line="240" w:lineRule="auto" w:after="40"/>
              <w:jc w:val="center"/>
            </w:pPr>
            <w:r/>
            <w:r>
              <w:rPr>
                <w:rFonts w:ascii="Times New Roman" w:hAnsi="Times New Roman" w:eastAsia="宋体"/>
                <w:b/>
                <w:sz w:val="21"/>
              </w:rPr>
              <w:t>标注方式</w:t>
            </w:r>
          </w:p>
        </w:tc>
        <w:tc>
          <w:tcPr>
            <w:tcW w:type="dxa" w:w="2183"/>
            <w:shd w:val="clear" w:fill="D9E2F3"/>
          </w:tcPr>
          <w:p>
            <w:pPr>
              <w:spacing w:line="240" w:lineRule="auto" w:after="40"/>
              <w:jc w:val="center"/>
            </w:pPr>
            <w:r/>
            <w:r>
              <w:rPr>
                <w:rFonts w:ascii="Times New Roman" w:hAnsi="Times New Roman" w:eastAsia="宋体"/>
                <w:b/>
                <w:sz w:val="21"/>
              </w:rPr>
              <w:t>用途</w:t>
            </w:r>
          </w:p>
        </w:tc>
      </w:tr>
      <w:tr>
        <w:tc>
          <w:tcPr>
            <w:tcW w:type="dxa" w:w="2183"/>
          </w:tcPr>
          <w:p>
            <w:pPr>
              <w:spacing w:line="240" w:lineRule="auto" w:after="40"/>
              <w:jc w:val="center"/>
            </w:pPr>
            <w:r/>
            <w:r>
              <w:rPr>
                <w:rFonts w:ascii="Times New Roman" w:hAnsi="Times New Roman" w:eastAsia="宋体"/>
                <w:b w:val="0"/>
                <w:sz w:val="21"/>
              </w:rPr>
              <w:t>GYU-DET（公开数据集）</w:t>
            </w:r>
          </w:p>
        </w:tc>
        <w:tc>
          <w:tcPr>
            <w:tcW w:type="dxa" w:w="2183"/>
          </w:tcPr>
          <w:p>
            <w:pPr>
              <w:spacing w:line="240" w:lineRule="auto" w:after="40"/>
              <w:jc w:val="center"/>
            </w:pPr>
            <w:r/>
            <w:r>
              <w:rPr>
                <w:rFonts w:ascii="Times New Roman" w:hAnsi="Times New Roman" w:eastAsia="宋体"/>
                <w:b w:val="0"/>
                <w:sz w:val="21"/>
              </w:rPr>
              <w:t>11,123张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CODEBRIM（公开数据集）</w:t>
            </w:r>
          </w:p>
        </w:tc>
        <w:tc>
          <w:tcPr>
            <w:tcW w:type="dxa" w:w="2183"/>
          </w:tcPr>
          <w:p>
            <w:pPr>
              <w:spacing w:line="240" w:lineRule="auto" w:after="40"/>
              <w:jc w:val="center"/>
            </w:pPr>
            <w:r/>
            <w:r>
              <w:rPr>
                <w:rFonts w:ascii="Times New Roman" w:hAnsi="Times New Roman" w:eastAsia="宋体"/>
                <w:b w:val="0"/>
                <w:sz w:val="21"/>
              </w:rPr>
              <w:t>1,022张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本地巡检报告提取与人工标注</w:t>
            </w:r>
          </w:p>
        </w:tc>
        <w:tc>
          <w:tcPr>
            <w:tcW w:type="dxa" w:w="2183"/>
          </w:tcPr>
          <w:p>
            <w:pPr>
              <w:spacing w:line="240" w:lineRule="auto" w:after="40"/>
              <w:jc w:val="center"/>
            </w:pPr>
            <w:r/>
            <w:r>
              <w:rPr>
                <w:rFonts w:ascii="Times New Roman" w:hAnsi="Times New Roman" w:eastAsia="宋体"/>
                <w:b w:val="0"/>
                <w:sz w:val="21"/>
              </w:rPr>
              <w:t>1,014张（整合集）</w:t>
            </w:r>
          </w:p>
        </w:tc>
        <w:tc>
          <w:tcPr>
            <w:tcW w:type="dxa" w:w="2183"/>
          </w:tcPr>
          <w:p>
            <w:pPr>
              <w:spacing w:line="240" w:lineRule="auto" w:after="40"/>
              <w:jc w:val="center"/>
            </w:pPr>
            <w:r/>
            <w:r>
              <w:rPr>
                <w:rFonts w:ascii="Times New Roman" w:hAnsi="Times New Roman" w:eastAsia="宋体"/>
                <w:b w:val="0"/>
                <w:sz w:val="21"/>
              </w:rPr>
              <w:t>YOLO格式人工标注</w:t>
            </w:r>
          </w:p>
        </w:tc>
        <w:tc>
          <w:tcPr>
            <w:tcW w:type="dxa" w:w="2183"/>
          </w:tcPr>
          <w:p>
            <w:pPr>
              <w:spacing w:line="240" w:lineRule="auto" w:after="40"/>
              <w:jc w:val="center"/>
            </w:pPr>
            <w:r/>
            <w:r>
              <w:rPr>
                <w:rFonts w:ascii="Times New Roman" w:hAnsi="Times New Roman" w:eastAsia="宋体"/>
                <w:b w:val="0"/>
                <w:sz w:val="21"/>
              </w:rPr>
              <w:t>贴近真实业务场景的训练/验证</w:t>
            </w:r>
          </w:p>
        </w:tc>
      </w:tr>
    </w:tbl>
    <w:p>
      <w:pPr>
        <w:spacing w:after="120"/>
      </w:pPr>
    </w:p>
    <w:p>
      <w:pPr>
        <w:spacing w:line="360" w:lineRule="auto" w:after="80"/>
        <w:jc w:val="both"/>
        <w:ind w:firstLineChars="200" w:firstLine="560"/>
      </w:pPr>
      <w:r>
        <w:rPr>
          <w:rFonts w:ascii="Times New Roman" w:hAnsi="Times New Roman" w:eastAsia="仿宋"/>
          <w:b w:val="0"/>
          <w:sz w:val="28"/>
        </w:rPr>
        <w:t>（4）基线性能：基线模型在CPU环境下完成50个epochs训练，实测mAP50约0.336、mAP50-95约0.085，识别准确率与召回率由PR曲线与归一化混淆矩阵佐证，训练曲线完整保存、可复核。上述指标为基线模型的真实水平，本说明书如实呈现、不作夸大，如图 5-1 所示；</w:t>
      </w:r>
    </w:p>
    <w:p>
      <w:pPr>
        <w:spacing w:before="120" w:after="40"/>
        <w:jc w:val="center"/>
      </w:pPr>
      <w:r>
        <w:drawing>
          <wp:inline xmlns:a="http://schemas.openxmlformats.org/drawingml/2006/main" xmlns:pic="http://schemas.openxmlformats.org/drawingml/2006/picture">
            <wp:extent cx="5040000" cy="3024000"/>
            <wp:docPr id="10" name="Picture 10"/>
            <wp:cNvGraphicFramePr>
              <a:graphicFrameLocks noChangeAspect="1"/>
            </wp:cNvGraphicFramePr>
            <a:graphic>
              <a:graphicData uri="http://schemas.openxmlformats.org/drawingml/2006/picture">
                <pic:pic>
                  <pic:nvPicPr>
                    <pic:cNvPr id="0" name="模型性能基线与提升预期.png"/>
                    <pic:cNvPicPr/>
                  </pic:nvPicPr>
                  <pic:blipFill>
                    <a:blip r:embed="rId20"/>
                    <a:stretch>
                      <a:fillRect/>
                    </a:stretch>
                  </pic:blipFill>
                  <pic:spPr>
                    <a:xfrm>
                      <a:off x="0" y="0"/>
                      <a:ext cx="5040000" cy="3024000"/>
                    </a:xfrm>
                    <a:prstGeom prst="rect"/>
                  </pic:spPr>
                </pic:pic>
              </a:graphicData>
            </a:graphic>
          </wp:inline>
        </w:drawing>
      </w:r>
    </w:p>
    <w:p>
      <w:pPr>
        <w:spacing w:after="200" w:line="240" w:lineRule="auto"/>
        <w:jc w:val="center"/>
      </w:pPr>
      <w:r>
        <w:rPr>
          <w:rFonts w:ascii="Times New Roman" w:hAnsi="Times New Roman" w:eastAsia="宋体"/>
          <w:b w:val="0"/>
          <w:sz w:val="18"/>
        </w:rPr>
        <w:t>图 5-1  模型性能基线与提升预期</w:t>
      </w:r>
    </w:p>
    <w:p>
      <w:pPr>
        <w:spacing w:line="360" w:lineRule="auto" w:after="80"/>
        <w:jc w:val="both"/>
        <w:ind w:firstLineChars="200" w:firstLine="560"/>
      </w:pPr>
      <w:r>
        <w:rPr>
          <w:rFonts w:ascii="Times New Roman" w:hAnsi="Times New Roman" w:eastAsia="仿宋"/>
          <w:b w:val="0"/>
          <w:sz w:val="28"/>
        </w:rPr>
        <w:t>（5）提升路线：针对当前基线，拟从数据增强（旋转、翻转、光照扰动、马赛克拼接）、更大骨干网络（YOLOv8s/m迁移学习）、半监督学习（未标注影像伪标签迭代）、补充标注与类别均衡采样、小目标特征层优化五条路径持续提升，预期区间如图 5-1 所示；模型改进训练完成后将以实测值如实更新，原始记录可备查。</w:t>
      </w:r>
    </w:p>
    <w:p>
      <w:pPr>
        <w:spacing w:before="200" w:after="120" w:line="360" w:lineRule="auto"/>
        <w:outlineLvl w:val="1"/>
      </w:pPr>
      <w:r>
        <w:rPr>
          <w:rFonts w:ascii="黑体" w:hAnsi="黑体" w:eastAsia="黑体"/>
          <w:b/>
          <w:sz w:val="28"/>
        </w:rPr>
        <w:t>5.2  免模型五路 CV 掩码融合</w:t>
      </w:r>
    </w:p>
    <w:p>
      <w:pPr>
        <w:spacing w:line="360" w:lineRule="auto" w:after="80"/>
        <w:jc w:val="both"/>
        <w:ind w:firstLineChars="200" w:firstLine="560"/>
      </w:pPr>
      <w:r>
        <w:rPr>
          <w:rFonts w:ascii="Times New Roman" w:hAnsi="Times New Roman" w:eastAsia="仿宋"/>
          <w:b w:val="0"/>
          <w:sz w:val="28"/>
        </w:rPr>
        <w:t>针对冷启动场景（无标注数据、无训练条件），团队设计了免训练的五路CV掩码融合检测方法，五路独立通道从不同图像特征视角刻画损伤：</w:t>
      </w:r>
    </w:p>
    <w:p>
      <w:pPr>
        <w:spacing w:line="360" w:lineRule="auto" w:after="80"/>
        <w:jc w:val="both"/>
        <w:ind w:firstLineChars="200" w:firstLine="560"/>
      </w:pPr>
      <w:r>
        <w:rPr>
          <w:rFonts w:ascii="Times New Roman" w:hAnsi="Times New Roman" w:eastAsia="仿宋"/>
          <w:b w:val="0"/>
          <w:sz w:val="28"/>
        </w:rPr>
        <w:t>（1）黑帽变换通道：利用暗色病害与亮背景的形态学差异，检测细长裂缝类损伤；</w:t>
      </w:r>
    </w:p>
    <w:p>
      <w:pPr>
        <w:spacing w:line="360" w:lineRule="auto" w:after="80"/>
        <w:jc w:val="both"/>
        <w:ind w:firstLineChars="200" w:firstLine="560"/>
      </w:pPr>
      <w:r>
        <w:rPr>
          <w:rFonts w:ascii="Times New Roman" w:hAnsi="Times New Roman" w:eastAsia="仿宋"/>
          <w:b w:val="0"/>
          <w:sz w:val="28"/>
        </w:rPr>
        <w:t>（2）多尺度自适应阈值通道：以三种邻域尺度的自适应阈值并联，检测不同大小的暗色区域；</w:t>
      </w:r>
    </w:p>
    <w:p>
      <w:pPr>
        <w:spacing w:line="360" w:lineRule="auto" w:after="80"/>
        <w:jc w:val="both"/>
        <w:ind w:firstLineChars="200" w:firstLine="560"/>
      </w:pPr>
      <w:r>
        <w:rPr>
          <w:rFonts w:ascii="Times New Roman" w:hAnsi="Times New Roman" w:eastAsia="仿宋"/>
          <w:b w:val="0"/>
          <w:sz w:val="28"/>
        </w:rPr>
        <w:t>（3）K-Means颜色聚类通道：在Lab颜色空间聚类并提取最暗/最亮类，检测颜色明显异常区域；</w:t>
      </w:r>
    </w:p>
    <w:p>
      <w:pPr>
        <w:spacing w:line="360" w:lineRule="auto" w:after="80"/>
        <w:jc w:val="both"/>
        <w:ind w:firstLineChars="200" w:firstLine="560"/>
      </w:pPr>
      <w:r>
        <w:rPr>
          <w:rFonts w:ascii="Times New Roman" w:hAnsi="Times New Roman" w:eastAsia="仿宋"/>
          <w:b w:val="0"/>
          <w:sz w:val="28"/>
        </w:rPr>
        <w:t>（4）局部纹理标准差通道：计算局部纹理标准差并与邻域均值比较，检测剥落、露骨料等粗糙区域；</w:t>
      </w:r>
    </w:p>
    <w:p>
      <w:pPr>
        <w:spacing w:line="360" w:lineRule="auto" w:after="80"/>
        <w:jc w:val="both"/>
        <w:ind w:firstLineChars="200" w:firstLine="560"/>
      </w:pPr>
      <w:r>
        <w:rPr>
          <w:rFonts w:ascii="Times New Roman" w:hAnsi="Times New Roman" w:eastAsia="仿宋"/>
          <w:b w:val="0"/>
          <w:sz w:val="28"/>
        </w:rPr>
        <w:t>（5）Canny边缘密度通道：统计局部边缘密度，检测具有明显边界的病害区域。</w:t>
      </w:r>
    </w:p>
    <w:p>
      <w:pPr>
        <w:spacing w:line="360" w:lineRule="auto" w:after="80"/>
        <w:jc w:val="both"/>
        <w:ind w:firstLineChars="200" w:firstLine="560"/>
      </w:pPr>
      <w:r>
        <w:rPr>
          <w:rFonts w:ascii="Times New Roman" w:hAnsi="Times New Roman" w:eastAsia="仿宋"/>
          <w:b w:val="0"/>
          <w:sz w:val="28"/>
        </w:rPr>
        <w:t>五路掩码经HSV天空抑制剔除无关背景、NMS去重合并重叠候选后融合输出损伤区域。该方案无需任何标注数据与训练过程，在新桥型、新场景下零门槛冷启动；其输出还可作为YOLO模型的预标注辅助，降低数据集建设成本。五路方法的真实代码见附录三。</w:t>
      </w:r>
    </w:p>
    <w:p>
      <w:pPr>
        <w:spacing w:before="200" w:after="120" w:line="360" w:lineRule="auto"/>
        <w:outlineLvl w:val="1"/>
      </w:pPr>
      <w:r>
        <w:rPr>
          <w:rFonts w:ascii="黑体" w:hAnsi="黑体" w:eastAsia="黑体"/>
          <w:b/>
          <w:sz w:val="28"/>
        </w:rPr>
        <w:t>5.3  Qwen-VL 双图多模态诊断</w:t>
      </w:r>
    </w:p>
    <w:p>
      <w:pPr>
        <w:spacing w:line="360" w:lineRule="auto" w:after="80"/>
        <w:jc w:val="both"/>
        <w:ind w:firstLineChars="200" w:firstLine="560"/>
      </w:pPr>
      <w:r>
        <w:rPr>
          <w:rFonts w:ascii="Times New Roman" w:hAnsi="Times New Roman" w:eastAsia="仿宋"/>
          <w:b w:val="0"/>
          <w:sz w:val="28"/>
        </w:rPr>
        <w:t>病害成因诊断采用“原图＋带框图”双图输入范式：将巡检原图与叠加检测框的标注图一并输入Qwen-VL-Max多模态大模型，通过严格提示词约束，输出包含病害类型、程度、成因、处置建议、紧迫度五个字段的结构化JSON。双图输入使模型既能观察原始纹理细节，又能聚焦待诊断区域；结构化输出保证结果可解析、可归档，直接对接检测报告生成环节。调用经DashScope API完成，密钥由用户自行配置，离线环境下可跳过诊断、以人工录入代替。</w:t>
      </w:r>
    </w:p>
    <w:p>
      <w:pPr>
        <w:spacing w:before="200" w:after="120" w:line="360" w:lineRule="auto"/>
        <w:outlineLvl w:val="1"/>
      </w:pPr>
      <w:r>
        <w:rPr>
          <w:rFonts w:ascii="黑体" w:hAnsi="黑体" w:eastAsia="黑体"/>
          <w:b/>
          <w:sz w:val="28"/>
        </w:rPr>
        <w:t>5.4  损伤几何尺寸量化</w:t>
      </w:r>
    </w:p>
    <w:p>
      <w:pPr>
        <w:spacing w:line="360" w:lineRule="auto" w:after="80"/>
        <w:jc w:val="both"/>
        <w:ind w:firstLineChars="200" w:firstLine="560"/>
      </w:pPr>
      <w:r>
        <w:rPr>
          <w:rFonts w:ascii="Times New Roman" w:hAnsi="Times New Roman" w:eastAsia="仿宋"/>
          <w:b w:val="0"/>
          <w:sz w:val="28"/>
        </w:rPr>
        <w:t>（1）尺度换算：损伤几何尺寸量化的核心是像素—物理尺度换算。系统提供两条标定路径：一是参照物标定，用户在照片上框选已知尺寸的参照物，系统按参照物长边计算像素比例（mm/px）；二是面投影标定，利用2D→3D面投影的几何对应关系获得成像面的物理尺度。两条路径共用同一套换算逻辑，无需现场布设额外标定物；</w:t>
      </w:r>
    </w:p>
    <w:p>
      <w:pPr>
        <w:spacing w:line="360" w:lineRule="auto" w:after="80"/>
        <w:jc w:val="both"/>
        <w:ind w:firstLineChars="200" w:firstLine="560"/>
      </w:pPr>
      <w:r>
        <w:rPr>
          <w:rFonts w:ascii="Times New Roman" w:hAnsi="Times New Roman" w:eastAsia="仿宋"/>
          <w:b w:val="0"/>
          <w:sz w:val="28"/>
        </w:rPr>
        <w:t>（2）计算流程：尺寸量化按“检测框→掩膜细化→骨架提取→量化输出”四步处理，如图 5-2 所示。检测框定位损伤感兴趣区域；掩膜细化获得贴合真实轮廓的损伤区域；骨架提取获得裂缝中轴线；最终损伤长度取骨架长度乘以像素物理尺寸，最大宽度沿骨架法向逐点扫描取最大值，面积取掩膜像素数乘以像素物理尺寸的平方；</w:t>
      </w:r>
    </w:p>
    <w:p>
      <w:pPr>
        <w:spacing w:before="120" w:after="40"/>
        <w:jc w:val="center"/>
      </w:pPr>
      <w:r>
        <w:drawing>
          <wp:inline xmlns:a="http://schemas.openxmlformats.org/drawingml/2006/main" xmlns:pic="http://schemas.openxmlformats.org/drawingml/2006/picture">
            <wp:extent cx="5400000" cy="3190909"/>
            <wp:docPr id="11" name="Picture 11"/>
            <wp:cNvGraphicFramePr>
              <a:graphicFrameLocks noChangeAspect="1"/>
            </wp:cNvGraphicFramePr>
            <a:graphic>
              <a:graphicData uri="http://schemas.openxmlformats.org/drawingml/2006/picture">
                <pic:pic>
                  <pic:nvPicPr>
                    <pic:cNvPr id="0" name="思维导图_尺寸计算流程.png"/>
                    <pic:cNvPicPr/>
                  </pic:nvPicPr>
                  <pic:blipFill>
                    <a:blip r:embed="rId21"/>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5-2  损伤尺寸计算流程</w:t>
      </w:r>
    </w:p>
    <w:p>
      <w:pPr>
        <w:spacing w:line="360" w:lineRule="auto" w:after="80"/>
        <w:jc w:val="both"/>
        <w:ind w:firstLineChars="200" w:firstLine="560"/>
      </w:pPr>
      <w:r>
        <w:rPr>
          <w:rFonts w:ascii="Times New Roman" w:hAnsi="Times New Roman" w:eastAsia="仿宋"/>
          <w:b w:val="0"/>
          <w:sz w:val="28"/>
        </w:rPr>
        <w:t>（3）精度目标：量化精度采用与人工测量对比的方式验证，选取覆盖各损伤类型的典型样本，由检测人员按现行规程现场测量作为基准值，计算系统量化值的相对误差。预期目标如表 5-2 所示。</w:t>
      </w:r>
    </w:p>
    <w:p>
      <w:pPr>
        <w:spacing w:before="120" w:after="40" w:line="240" w:lineRule="auto"/>
        <w:jc w:val="center"/>
      </w:pPr>
      <w:r>
        <w:rPr>
          <w:rFonts w:ascii="Times New Roman" w:hAnsi="Times New Roman" w:eastAsia="宋体"/>
          <w:b w:val="0"/>
          <w:sz w:val="18"/>
        </w:rPr>
        <w:t>表 5-2  损伤尺寸量化精度预期目标（预期口径，测试完成后以实测回填）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预期误差目标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裂缝长度</w:t>
            </w:r>
          </w:p>
        </w:tc>
        <w:tc>
          <w:tcPr>
            <w:tcW w:type="dxa" w:w="2183"/>
          </w:tcPr>
          <w:p>
            <w:pPr>
              <w:spacing w:line="240" w:lineRule="auto" w:after="40"/>
              <w:jc w:val="center"/>
            </w:pPr>
            <w:r/>
            <w:r>
              <w:rPr>
                <w:rFonts w:ascii="Times New Roman" w:hAnsi="Times New Roman" w:eastAsia="宋体"/>
                <w:b w:val="0"/>
                <w:sz w:val="21"/>
              </w:rPr>
              <w:t>相对误差≤3.5%</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损伤最大宽度</w:t>
            </w:r>
          </w:p>
        </w:tc>
        <w:tc>
          <w:tcPr>
            <w:tcW w:type="dxa" w:w="2183"/>
          </w:tcPr>
          <w:p>
            <w:pPr>
              <w:spacing w:line="240" w:lineRule="auto" w:after="40"/>
              <w:jc w:val="center"/>
            </w:pPr>
            <w:r/>
            <w:r>
              <w:rPr>
                <w:rFonts w:ascii="Times New Roman" w:hAnsi="Times New Roman" w:eastAsia="宋体"/>
                <w:b w:val="0"/>
                <w:sz w:val="21"/>
              </w:rPr>
              <w:t>相对误差≤6%</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损伤面积</w:t>
            </w:r>
          </w:p>
        </w:tc>
        <w:tc>
          <w:tcPr>
            <w:tcW w:type="dxa" w:w="2183"/>
          </w:tcPr>
          <w:p>
            <w:pPr>
              <w:spacing w:line="240" w:lineRule="auto" w:after="40"/>
              <w:jc w:val="center"/>
            </w:pPr>
            <w:r/>
            <w:r>
              <w:rPr>
                <w:rFonts w:ascii="Times New Roman" w:hAnsi="Times New Roman" w:eastAsia="宋体"/>
                <w:b w:val="0"/>
                <w:sz w:val="21"/>
              </w:rPr>
              <w:t>相对误差≤7%</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5-2 为预期目标口径，系统测试完成后以实测数据如实回填，测试脚本与原始测量记录同步归档、可备查。</w:t>
      </w:r>
    </w:p>
    <w:p>
      <w:pPr>
        <w:spacing w:before="200" w:after="120" w:line="360" w:lineRule="auto"/>
        <w:outlineLvl w:val="1"/>
      </w:pPr>
      <w:r>
        <w:rPr>
          <w:rFonts w:ascii="黑体" w:hAnsi="黑体" w:eastAsia="黑体"/>
          <w:b/>
          <w:sz w:val="28"/>
        </w:rPr>
        <w:t>5.5  解析式面投影三维定位</w:t>
      </w:r>
    </w:p>
    <w:p>
      <w:pPr>
        <w:spacing w:line="360" w:lineRule="auto" w:after="80"/>
        <w:jc w:val="both"/>
        <w:ind w:firstLineChars="200" w:firstLine="560"/>
      </w:pPr>
      <w:r>
        <w:rPr>
          <w:rFonts w:ascii="Times New Roman" w:hAnsi="Times New Roman" w:eastAsia="仿宋"/>
          <w:b w:val="0"/>
          <w:sz w:val="28"/>
        </w:rPr>
        <w:t>（1）方法原理：对BIM模型中的构件面，以面中心为原点、面法向与外轮廓U/V轴建立局部坐标系，通过解析公式将图像中的损伤像素坐标等比投影到构件表面，实现损伤从二维图像到三维模型的空间映射。投影标记沿构件面法向偏移2mm，避免与构件表面渲染重叠产生闪面；全部投影标记以点云形式经Combine合成，在三维模型中持久化展示。投影运行效果如图 5-3 所示；</w:t>
      </w:r>
    </w:p>
    <w:p>
      <w:pPr>
        <w:spacing w:before="120" w:after="40"/>
        <w:jc w:val="center"/>
      </w:pPr>
      <w:r>
        <w:drawing>
          <wp:inline xmlns:a="http://schemas.openxmlformats.org/drawingml/2006/main" xmlns:pic="http://schemas.openxmlformats.org/drawingml/2006/picture">
            <wp:extent cx="5400000" cy="3374297"/>
            <wp:docPr id="12" name="Picture 12"/>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400000" cy="3374297"/>
                    </a:xfrm>
                    <a:prstGeom prst="rect"/>
                  </pic:spPr>
                </pic:pic>
              </a:graphicData>
            </a:graphic>
          </wp:inline>
        </w:drawing>
      </w:r>
    </w:p>
    <w:p>
      <w:pPr>
        <w:spacing w:after="200" w:line="240" w:lineRule="auto"/>
        <w:jc w:val="center"/>
      </w:pPr>
      <w:r>
        <w:rPr>
          <w:rFonts w:ascii="Times New Roman" w:hAnsi="Times New Roman" w:eastAsia="宋体"/>
          <w:b w:val="0"/>
          <w:sz w:val="18"/>
        </w:rPr>
        <w:t>图 5-3  病害面投影定位效果（BIMBase 内运行）</w:t>
      </w:r>
    </w:p>
    <w:p>
      <w:pPr>
        <w:spacing w:line="360" w:lineRule="auto" w:after="80"/>
        <w:jc w:val="both"/>
        <w:ind w:firstLineChars="200" w:firstLine="560"/>
      </w:pPr>
      <w:r>
        <w:rPr>
          <w:rFonts w:ascii="Times New Roman" w:hAnsi="Times New Roman" w:eastAsia="仿宋"/>
          <w:b w:val="0"/>
          <w:sz w:val="28"/>
        </w:rPr>
        <w:t>（2）构件联动：系统内置构件类型识别能力，覆盖19种构件参数签名；病害投影后自动归属到具体构件，与16类参数化构件清单联动，形成“构件—病害”对应的数字化档案，支持按构件检索病害、按病害跳转定位；</w:t>
      </w:r>
    </w:p>
    <w:p>
      <w:pPr>
        <w:spacing w:line="360" w:lineRule="auto" w:after="80"/>
        <w:jc w:val="both"/>
        <w:ind w:firstLineChars="200" w:firstLine="560"/>
      </w:pPr>
      <w:r>
        <w:rPr>
          <w:rFonts w:ascii="Times New Roman" w:hAnsi="Times New Roman" w:eastAsia="仿宋"/>
          <w:b w:val="0"/>
          <w:sz w:val="28"/>
        </w:rPr>
        <w:t>（3）方法对比：与常见定位路线相比，解析式面投影直接利用BIM模型已有的精确几何信息，计算量小、结果确定性强，且投影过程参数化、可解释、可复核，对比如表 5-3 所示。</w:t>
      </w:r>
    </w:p>
    <w:p>
      <w:pPr>
        <w:spacing w:before="120" w:after="40" w:line="240" w:lineRule="auto"/>
        <w:jc w:val="center"/>
      </w:pPr>
      <w:r>
        <w:rPr>
          <w:rFonts w:ascii="Times New Roman" w:hAnsi="Times New Roman" w:eastAsia="宋体"/>
          <w:b w:val="0"/>
          <w:sz w:val="18"/>
        </w:rPr>
        <w:t>表 5-3  三维空间定位方法对比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定位方法</w:t>
            </w:r>
          </w:p>
        </w:tc>
        <w:tc>
          <w:tcPr>
            <w:tcW w:type="dxa" w:w="1746"/>
            <w:shd w:val="clear" w:fill="D9E2F3"/>
          </w:tcPr>
          <w:p>
            <w:pPr>
              <w:spacing w:line="240" w:lineRule="auto" w:after="40"/>
              <w:jc w:val="center"/>
            </w:pPr>
            <w:r/>
            <w:r>
              <w:rPr>
                <w:rFonts w:ascii="Times New Roman" w:hAnsi="Times New Roman" w:eastAsia="宋体"/>
                <w:b/>
                <w:sz w:val="21"/>
              </w:rPr>
              <w:t>硬件成本</w:t>
            </w:r>
          </w:p>
        </w:tc>
        <w:tc>
          <w:tcPr>
            <w:tcW w:type="dxa" w:w="1746"/>
            <w:shd w:val="clear" w:fill="D9E2F3"/>
          </w:tcPr>
          <w:p>
            <w:pPr>
              <w:spacing w:line="240" w:lineRule="auto" w:after="40"/>
              <w:jc w:val="center"/>
            </w:pPr>
            <w:r/>
            <w:r>
              <w:rPr>
                <w:rFonts w:ascii="Times New Roman" w:hAnsi="Times New Roman" w:eastAsia="宋体"/>
                <w:b/>
                <w:sz w:val="21"/>
              </w:rPr>
              <w:t>精度水平</w:t>
            </w:r>
          </w:p>
        </w:tc>
        <w:tc>
          <w:tcPr>
            <w:tcW w:type="dxa" w:w="1746"/>
            <w:shd w:val="clear" w:fill="D9E2F3"/>
          </w:tcPr>
          <w:p>
            <w:pPr>
              <w:spacing w:line="240" w:lineRule="auto" w:after="40"/>
              <w:jc w:val="center"/>
            </w:pPr>
            <w:r/>
            <w:r>
              <w:rPr>
                <w:rFonts w:ascii="Times New Roman" w:hAnsi="Times New Roman" w:eastAsia="宋体"/>
                <w:b/>
                <w:sz w:val="21"/>
              </w:rPr>
              <w:t>部署门槛</w:t>
            </w:r>
          </w:p>
        </w:tc>
        <w:tc>
          <w:tcPr>
            <w:tcW w:type="dxa" w:w="1746"/>
            <w:shd w:val="clear" w:fill="D9E2F3"/>
          </w:tcPr>
          <w:p>
            <w:pPr>
              <w:spacing w:line="240" w:lineRule="auto" w:after="40"/>
              <w:jc w:val="center"/>
            </w:pPr>
            <w:r/>
            <w:r>
              <w:rPr>
                <w:rFonts w:ascii="Times New Roman" w:hAnsi="Times New Roman" w:eastAsia="宋体"/>
                <w:b/>
                <w:sz w:val="21"/>
              </w:rPr>
              <w:t>适用场景</w:t>
            </w:r>
          </w:p>
        </w:tc>
      </w:tr>
      <w:tr>
        <w:tc>
          <w:tcPr>
            <w:tcW w:type="dxa" w:w="1746"/>
          </w:tcPr>
          <w:p>
            <w:pPr>
              <w:spacing w:line="240" w:lineRule="auto" w:after="40"/>
              <w:jc w:val="center"/>
            </w:pPr>
            <w:r/>
            <w:r>
              <w:rPr>
                <w:rFonts w:ascii="Times New Roman" w:hAnsi="Times New Roman" w:eastAsia="宋体"/>
                <w:b w:val="0"/>
                <w:sz w:val="21"/>
              </w:rPr>
              <w:t>本方案（解析式面投影）</w:t>
            </w:r>
          </w:p>
        </w:tc>
        <w:tc>
          <w:tcPr>
            <w:tcW w:type="dxa" w:w="1746"/>
          </w:tcPr>
          <w:p>
            <w:pPr>
              <w:spacing w:line="240" w:lineRule="auto" w:after="40"/>
              <w:jc w:val="center"/>
            </w:pPr>
            <w:r/>
            <w:r>
              <w:rPr>
                <w:rFonts w:ascii="Times New Roman" w:hAnsi="Times New Roman" w:eastAsia="宋体"/>
                <w:b w:val="0"/>
                <w:sz w:val="21"/>
              </w:rPr>
              <w:t>无额外硬件</w:t>
            </w:r>
          </w:p>
        </w:tc>
        <w:tc>
          <w:tcPr>
            <w:tcW w:type="dxa" w:w="1746"/>
          </w:tcPr>
          <w:p>
            <w:pPr>
              <w:spacing w:line="240" w:lineRule="auto" w:after="40"/>
              <w:jc w:val="center"/>
            </w:pPr>
            <w:r/>
            <w:r>
              <w:rPr>
                <w:rFonts w:ascii="Times New Roman" w:hAnsi="Times New Roman" w:eastAsia="宋体"/>
                <w:b w:val="0"/>
                <w:sz w:val="21"/>
              </w:rPr>
              <w:t>以构件为单元</w:t>
            </w:r>
          </w:p>
        </w:tc>
        <w:tc>
          <w:tcPr>
            <w:tcW w:type="dxa" w:w="1746"/>
          </w:tcPr>
          <w:p>
            <w:pPr>
              <w:spacing w:line="240" w:lineRule="auto" w:after="40"/>
              <w:jc w:val="center"/>
            </w:pPr>
            <w:r/>
            <w:r>
              <w:rPr>
                <w:rFonts w:ascii="Times New Roman" w:hAnsi="Times New Roman" w:eastAsia="宋体"/>
                <w:b w:val="0"/>
                <w:sz w:val="21"/>
              </w:rPr>
              <w:t>低，普通笔记本即可</w:t>
            </w:r>
          </w:p>
        </w:tc>
        <w:tc>
          <w:tcPr>
            <w:tcW w:type="dxa" w:w="1746"/>
          </w:tcPr>
          <w:p>
            <w:pPr>
              <w:spacing w:line="240" w:lineRule="auto" w:after="40"/>
              <w:jc w:val="center"/>
            </w:pPr>
            <w:r/>
            <w:r>
              <w:rPr>
                <w:rFonts w:ascii="Times New Roman" w:hAnsi="Times New Roman" w:eastAsia="宋体"/>
                <w:b w:val="0"/>
                <w:sz w:val="21"/>
              </w:rPr>
              <w:t>基层管养单位常态化检测</w:t>
            </w:r>
          </w:p>
        </w:tc>
      </w:tr>
      <w:tr>
        <w:tc>
          <w:tcPr>
            <w:tcW w:type="dxa" w:w="1746"/>
          </w:tcPr>
          <w:p>
            <w:pPr>
              <w:spacing w:line="240" w:lineRule="auto" w:after="40"/>
              <w:jc w:val="center"/>
            </w:pPr>
            <w:r/>
            <w:r>
              <w:rPr>
                <w:rFonts w:ascii="Times New Roman" w:hAnsi="Times New Roman" w:eastAsia="宋体"/>
                <w:b w:val="0"/>
                <w:sz w:val="21"/>
              </w:rPr>
              <w:t>SFM三维重建</w:t>
            </w:r>
          </w:p>
        </w:tc>
        <w:tc>
          <w:tcPr>
            <w:tcW w:type="dxa" w:w="1746"/>
          </w:tcPr>
          <w:p>
            <w:pPr>
              <w:spacing w:line="240" w:lineRule="auto" w:after="40"/>
              <w:jc w:val="center"/>
            </w:pPr>
            <w:r/>
            <w:r>
              <w:rPr>
                <w:rFonts w:ascii="Times New Roman" w:hAnsi="Times New Roman" w:eastAsia="宋体"/>
                <w:b w:val="0"/>
                <w:sz w:val="21"/>
              </w:rPr>
              <w:t>需大量影像与较高算力</w:t>
            </w:r>
          </w:p>
        </w:tc>
        <w:tc>
          <w:tcPr>
            <w:tcW w:type="dxa" w:w="1746"/>
          </w:tcPr>
          <w:p>
            <w:pPr>
              <w:spacing w:line="240" w:lineRule="auto" w:after="40"/>
              <w:jc w:val="center"/>
            </w:pPr>
            <w:r/>
            <w:r>
              <w:rPr>
                <w:rFonts w:ascii="Times New Roman" w:hAnsi="Times New Roman" w:eastAsia="宋体"/>
                <w:b w:val="0"/>
                <w:sz w:val="21"/>
              </w:rPr>
              <w:t>较高</w:t>
            </w:r>
          </w:p>
        </w:tc>
        <w:tc>
          <w:tcPr>
            <w:tcW w:type="dxa" w:w="1746"/>
          </w:tcPr>
          <w:p>
            <w:pPr>
              <w:spacing w:line="240" w:lineRule="auto" w:after="40"/>
              <w:jc w:val="center"/>
            </w:pPr>
            <w:r/>
            <w:r>
              <w:rPr>
                <w:rFonts w:ascii="Times New Roman" w:hAnsi="Times New Roman" w:eastAsia="宋体"/>
                <w:b w:val="0"/>
                <w:sz w:val="21"/>
              </w:rPr>
              <w:t>高，重建耗时较长</w:t>
            </w:r>
          </w:p>
        </w:tc>
        <w:tc>
          <w:tcPr>
            <w:tcW w:type="dxa" w:w="1746"/>
          </w:tcPr>
          <w:p>
            <w:pPr>
              <w:spacing w:line="240" w:lineRule="auto" w:after="40"/>
              <w:jc w:val="center"/>
            </w:pPr>
            <w:r/>
            <w:r>
              <w:rPr>
                <w:rFonts w:ascii="Times New Roman" w:hAnsi="Times New Roman" w:eastAsia="宋体"/>
                <w:b w:val="0"/>
                <w:sz w:val="21"/>
              </w:rPr>
              <w:t>科研与重点工程精细分析</w:t>
            </w:r>
          </w:p>
        </w:tc>
      </w:tr>
      <w:tr>
        <w:tc>
          <w:tcPr>
            <w:tcW w:type="dxa" w:w="1746"/>
          </w:tcPr>
          <w:p>
            <w:pPr>
              <w:spacing w:line="240" w:lineRule="auto" w:after="40"/>
              <w:jc w:val="center"/>
            </w:pPr>
            <w:r/>
            <w:r>
              <w:rPr>
                <w:rFonts w:ascii="Times New Roman" w:hAnsi="Times New Roman" w:eastAsia="宋体"/>
                <w:b w:val="0"/>
                <w:sz w:val="21"/>
              </w:rPr>
              <w:t>GPS定位</w:t>
            </w:r>
          </w:p>
        </w:tc>
        <w:tc>
          <w:tcPr>
            <w:tcW w:type="dxa" w:w="1746"/>
          </w:tcPr>
          <w:p>
            <w:pPr>
              <w:spacing w:line="240" w:lineRule="auto" w:after="40"/>
              <w:jc w:val="center"/>
            </w:pPr>
            <w:r/>
            <w:r>
              <w:rPr>
                <w:rFonts w:ascii="Times New Roman" w:hAnsi="Times New Roman" w:eastAsia="宋体"/>
                <w:b w:val="0"/>
                <w:sz w:val="21"/>
              </w:rPr>
              <w:t>依赖差分设备与信号条件</w:t>
            </w:r>
          </w:p>
        </w:tc>
        <w:tc>
          <w:tcPr>
            <w:tcW w:type="dxa" w:w="1746"/>
          </w:tcPr>
          <w:p>
            <w:pPr>
              <w:spacing w:line="240" w:lineRule="auto" w:after="40"/>
              <w:jc w:val="center"/>
            </w:pPr>
            <w:r/>
            <w:r>
              <w:rPr>
                <w:rFonts w:ascii="Times New Roman" w:hAnsi="Times New Roman" w:eastAsia="宋体"/>
                <w:b w:val="0"/>
                <w:sz w:val="21"/>
              </w:rPr>
              <w:t>普通GPS为米级</w:t>
            </w:r>
          </w:p>
        </w:tc>
        <w:tc>
          <w:tcPr>
            <w:tcW w:type="dxa" w:w="1746"/>
          </w:tcPr>
          <w:p>
            <w:pPr>
              <w:spacing w:line="240" w:lineRule="auto" w:after="40"/>
              <w:jc w:val="center"/>
            </w:pPr>
            <w:r/>
            <w:r>
              <w:rPr>
                <w:rFonts w:ascii="Times New Roman" w:hAnsi="Times New Roman" w:eastAsia="宋体"/>
                <w:b w:val="0"/>
                <w:sz w:val="21"/>
              </w:rPr>
              <w:t>中</w:t>
            </w:r>
          </w:p>
        </w:tc>
        <w:tc>
          <w:tcPr>
            <w:tcW w:type="dxa" w:w="1746"/>
          </w:tcPr>
          <w:p>
            <w:pPr>
              <w:spacing w:line="240" w:lineRule="auto" w:after="40"/>
              <w:jc w:val="center"/>
            </w:pPr>
            <w:r/>
            <w:r>
              <w:rPr>
                <w:rFonts w:ascii="Times New Roman" w:hAnsi="Times New Roman" w:eastAsia="宋体"/>
                <w:b w:val="0"/>
                <w:sz w:val="21"/>
              </w:rPr>
              <w:t>开阔场景粗略定位</w:t>
            </w:r>
          </w:p>
        </w:tc>
      </w:tr>
      <w:tr>
        <w:tc>
          <w:tcPr>
            <w:tcW w:type="dxa" w:w="1746"/>
          </w:tcPr>
          <w:p>
            <w:pPr>
              <w:spacing w:line="240" w:lineRule="auto" w:after="40"/>
              <w:jc w:val="center"/>
            </w:pPr>
            <w:r/>
            <w:r>
              <w:rPr>
                <w:rFonts w:ascii="Times New Roman" w:hAnsi="Times New Roman" w:eastAsia="宋体"/>
                <w:b w:val="0"/>
                <w:sz w:val="21"/>
              </w:rPr>
              <w:t>人工参考点测量</w:t>
            </w:r>
          </w:p>
        </w:tc>
        <w:tc>
          <w:tcPr>
            <w:tcW w:type="dxa" w:w="1746"/>
          </w:tcPr>
          <w:p>
            <w:pPr>
              <w:spacing w:line="240" w:lineRule="auto" w:after="40"/>
              <w:jc w:val="center"/>
            </w:pPr>
            <w:r/>
            <w:r>
              <w:rPr>
                <w:rFonts w:ascii="Times New Roman" w:hAnsi="Times New Roman" w:eastAsia="宋体"/>
                <w:b w:val="0"/>
                <w:sz w:val="21"/>
              </w:rPr>
              <w:t>全站仪等测量设备</w:t>
            </w:r>
          </w:p>
        </w:tc>
        <w:tc>
          <w:tcPr>
            <w:tcW w:type="dxa" w:w="1746"/>
          </w:tcPr>
          <w:p>
            <w:pPr>
              <w:spacing w:line="240" w:lineRule="auto" w:after="40"/>
              <w:jc w:val="center"/>
            </w:pPr>
            <w:r/>
            <w:r>
              <w:rPr>
                <w:rFonts w:ascii="Times New Roman" w:hAnsi="Times New Roman" w:eastAsia="宋体"/>
                <w:b w:val="0"/>
                <w:sz w:val="21"/>
              </w:rPr>
              <w:t>高</w:t>
            </w:r>
          </w:p>
        </w:tc>
        <w:tc>
          <w:tcPr>
            <w:tcW w:type="dxa" w:w="1746"/>
          </w:tcPr>
          <w:p>
            <w:pPr>
              <w:spacing w:line="240" w:lineRule="auto" w:after="40"/>
              <w:jc w:val="center"/>
            </w:pPr>
            <w:r/>
            <w:r>
              <w:rPr>
                <w:rFonts w:ascii="Times New Roman" w:hAnsi="Times New Roman" w:eastAsia="宋体"/>
                <w:b w:val="0"/>
                <w:sz w:val="21"/>
              </w:rPr>
              <w:t>中，需专业测量人员</w:t>
            </w:r>
          </w:p>
        </w:tc>
        <w:tc>
          <w:tcPr>
            <w:tcW w:type="dxa" w:w="1746"/>
          </w:tcPr>
          <w:p>
            <w:pPr>
              <w:spacing w:line="240" w:lineRule="auto" w:after="40"/>
              <w:jc w:val="center"/>
            </w:pPr>
            <w:r/>
            <w:r>
              <w:rPr>
                <w:rFonts w:ascii="Times New Roman" w:hAnsi="Times New Roman" w:eastAsia="宋体"/>
                <w:b w:val="0"/>
                <w:sz w:val="21"/>
              </w:rPr>
              <w:t>局部精细测量</w:t>
            </w:r>
          </w:p>
        </w:tc>
      </w:tr>
    </w:tbl>
    <w:p>
      <w:pPr>
        <w:spacing w:after="120"/>
      </w:pPr>
    </w:p>
    <w:p>
      <w:pPr>
        <w:spacing w:line="360" w:lineRule="auto" w:after="80"/>
        <w:jc w:val="both"/>
        <w:ind w:firstLineChars="200" w:firstLine="560"/>
      </w:pPr>
      <w:r>
        <w:rPr>
          <w:rFonts w:ascii="Times New Roman" w:hAnsi="Times New Roman" w:eastAsia="仿宋"/>
          <w:b w:val="0"/>
          <w:sz w:val="28"/>
        </w:rPr>
        <w:t>（4）精度目标：定位精度通过在BIM模型中预设已知坐标标记点、对比投影坐标与真实坐标偏差的方式测试，预期目标如表 5-4 所示。</w:t>
      </w:r>
    </w:p>
    <w:p>
      <w:pPr>
        <w:spacing w:before="120" w:after="40" w:line="240" w:lineRule="auto"/>
        <w:jc w:val="center"/>
      </w:pPr>
      <w:r>
        <w:rPr>
          <w:rFonts w:ascii="Times New Roman" w:hAnsi="Times New Roman" w:eastAsia="宋体"/>
          <w:b w:val="0"/>
          <w:sz w:val="18"/>
        </w:rPr>
        <w:t>表 5-4  三维定位精度预期目标（预期口径，测试完成后以实测回填）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构件归属正确率</w:t>
            </w:r>
          </w:p>
        </w:tc>
        <w:tc>
          <w:tcPr>
            <w:tcW w:type="dxa" w:w="2183"/>
          </w:tcPr>
          <w:p>
            <w:pPr>
              <w:spacing w:line="240" w:lineRule="auto" w:after="40"/>
              <w:jc w:val="center"/>
            </w:pPr>
            <w:r/>
            <w:r>
              <w:rPr>
                <w:rFonts w:ascii="Times New Roman" w:hAnsi="Times New Roman" w:eastAsia="宋体"/>
                <w:b w:val="0"/>
                <w:sz w:val="21"/>
              </w:rPr>
              <w:t>≥95%</w:t>
            </w:r>
          </w:p>
        </w:tc>
        <w:tc>
          <w:tcPr>
            <w:tcW w:type="dxa" w:w="2183"/>
          </w:tcPr>
          <w:p>
            <w:pPr>
              <w:spacing w:line="240" w:lineRule="auto" w:after="40"/>
              <w:jc w:val="center"/>
            </w:pPr>
            <w:r/>
            <w:r>
              <w:rPr>
                <w:rFonts w:ascii="Times New Roman" w:hAnsi="Times New Roman" w:eastAsia="宋体"/>
                <w:b w:val="0"/>
                <w:sz w:val="21"/>
              </w:rPr>
              <w:t>投影落位构件与人工指定构件比对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面内平均定位误差</w:t>
            </w:r>
          </w:p>
        </w:tc>
        <w:tc>
          <w:tcPr>
            <w:tcW w:type="dxa" w:w="2183"/>
          </w:tcPr>
          <w:p>
            <w:pPr>
              <w:spacing w:line="240" w:lineRule="auto" w:after="40"/>
              <w:jc w:val="center"/>
            </w:pPr>
            <w:r/>
            <w:r>
              <w:rPr>
                <w:rFonts w:ascii="Times New Roman" w:hAnsi="Times New Roman" w:eastAsia="宋体"/>
                <w:b w:val="0"/>
                <w:sz w:val="21"/>
              </w:rPr>
              <w:t>≤8cm</w:t>
            </w:r>
          </w:p>
        </w:tc>
        <w:tc>
          <w:tcPr>
            <w:tcW w:type="dxa" w:w="2183"/>
          </w:tcPr>
          <w:p>
            <w:pPr>
              <w:spacing w:line="240" w:lineRule="auto" w:after="40"/>
              <w:jc w:val="center"/>
            </w:pPr>
            <w:r/>
            <w:r>
              <w:rPr>
                <w:rFonts w:ascii="Times New Roman" w:hAnsi="Times New Roman" w:eastAsia="宋体"/>
                <w:b w:val="0"/>
                <w:sz w:val="21"/>
              </w:rPr>
              <w:t>预设标记点投影坐标与真实坐标比对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面内最大定位误差</w:t>
            </w:r>
          </w:p>
        </w:tc>
        <w:tc>
          <w:tcPr>
            <w:tcW w:type="dxa" w:w="2183"/>
          </w:tcPr>
          <w:p>
            <w:pPr>
              <w:spacing w:line="240" w:lineRule="auto" w:after="40"/>
              <w:jc w:val="center"/>
            </w:pPr>
            <w:r/>
            <w:r>
              <w:rPr>
                <w:rFonts w:ascii="Times New Roman" w:hAnsi="Times New Roman" w:eastAsia="宋体"/>
                <w:b w:val="0"/>
                <w:sz w:val="21"/>
              </w:rPr>
              <w:t>≤20cm</w:t>
            </w:r>
          </w:p>
        </w:tc>
        <w:tc>
          <w:tcPr>
            <w:tcW w:type="dxa" w:w="2183"/>
          </w:tcPr>
          <w:p>
            <w:pPr>
              <w:spacing w:line="240" w:lineRule="auto" w:after="40"/>
              <w:jc w:val="center"/>
            </w:pPr>
            <w:r/>
            <w:r>
              <w:rPr>
                <w:rFonts w:ascii="Times New Roman" w:hAnsi="Times New Roman" w:eastAsia="宋体"/>
                <w:b w:val="0"/>
                <w:sz w:val="21"/>
              </w:rPr>
              <w:t>同上</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5-4 为预期目标口径，测试完成后以实测数据如实回填，原始记录可备查。</w:t>
      </w:r>
    </w:p>
    <w:p>
      <w:pPr>
        <w:spacing w:before="200" w:after="120" w:line="360" w:lineRule="auto"/>
        <w:outlineLvl w:val="1"/>
      </w:pPr>
      <w:r>
        <w:rPr>
          <w:rFonts w:ascii="黑体" w:hAnsi="黑体" w:eastAsia="黑体"/>
          <w:b/>
          <w:sz w:val="28"/>
        </w:rPr>
        <w:t>5.6  数字孪生平台技术</w:t>
      </w:r>
    </w:p>
    <w:p>
      <w:pPr>
        <w:spacing w:line="360" w:lineRule="auto" w:after="80"/>
        <w:jc w:val="both"/>
        <w:ind w:firstLineChars="200" w:firstLine="560"/>
      </w:pPr>
      <w:r>
        <w:rPr>
          <w:rFonts w:ascii="Times New Roman" w:hAnsi="Times New Roman" w:eastAsia="仿宋"/>
          <w:b w:val="0"/>
          <w:sz w:val="28"/>
        </w:rPr>
        <w:t>（1）平台形态：团队已建成常泰长江大桥数字孪生平台，平台为662KB的单文件离线网页，基于three.js三维引擎开发，无需安装任何软件，浏览器打开即可使用，同时支持部署至公网网址，实现免安装直接访问；</w:t>
      </w:r>
    </w:p>
    <w:p>
      <w:pPr>
        <w:spacing w:line="360" w:lineRule="auto" w:after="80"/>
        <w:jc w:val="both"/>
        <w:ind w:firstLineChars="200" w:firstLine="560"/>
      </w:pPr>
      <w:r>
        <w:rPr>
          <w:rFonts w:ascii="Times New Roman" w:hAnsi="Times New Roman" w:eastAsia="仿宋"/>
          <w:b w:val="0"/>
          <w:sz w:val="28"/>
        </w:rPr>
        <w:t>（2）真实尺度重建：按设计资料对常泰长江大桥进行程序化三维重建——主航道桥为双塔双索面钢桁梁斜拉桥，桥梁全长2440m，跨径布置142+490+1176+490+142m，空间钻石型主塔总高352m，双层钢桁梁宽39m、高16m，上层为双向6车道高速公路，下层为双线城际铁路加4车道公路；墩位里程按-1220/-1078/-588/+588/+1078/+1220m真实布置，如图 5-4 所示；</w:t>
      </w:r>
    </w:p>
    <w:p>
      <w:pPr>
        <w:spacing w:line="360" w:lineRule="auto" w:after="80"/>
        <w:jc w:val="both"/>
        <w:ind w:firstLineChars="200" w:firstLine="560"/>
      </w:pPr>
      <w:r>
        <w:rPr>
          <w:rFonts w:ascii="Times New Roman" w:hAnsi="Times New Roman" w:eastAsia="仿宋"/>
          <w:b w:val="0"/>
          <w:sz w:val="28"/>
        </w:rPr>
        <w:t>（3）病害可视化：平台支持病害数据JSON导入，按构件关键词（塔/墩/承台/索/桥面）自动路由落位，在三维模型上以贴片形式展示病害位置，点击贴片可查看病害类型、程度、成因与处置建议等详情；内置8条示例病害数据便于演示；提供照片覆盖尺度换算滑块与工程概况卡；15组构件复选框与参数化构件库一一对应，支持分组显隐。</w:t>
      </w:r>
    </w:p>
    <w:p>
      <w:pPr>
        <w:spacing w:before="120" w:after="40"/>
        <w:jc w:val="center"/>
      </w:pPr>
      <w:r>
        <w:drawing>
          <wp:inline xmlns:a="http://schemas.openxmlformats.org/drawingml/2006/main" xmlns:pic="http://schemas.openxmlformats.org/drawingml/2006/picture">
            <wp:extent cx="5400000" cy="3037500"/>
            <wp:docPr id="13" name="Picture 13"/>
            <wp:cNvGraphicFramePr>
              <a:graphicFrameLocks noChangeAspect="1"/>
            </wp:cNvGraphicFramePr>
            <a:graphic>
              <a:graphicData uri="http://schemas.openxmlformats.org/drawingml/2006/picture">
                <pic:pic>
                  <pic:nvPicPr>
                    <pic:cNvPr id="0" name="平台总览.png"/>
                    <pic:cNvPicPr/>
                  </pic:nvPicPr>
                  <pic:blipFill>
                    <a:blip r:embed="rId11"/>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5-4  数字孪生平台界面（常泰长江大桥全桥总览）</w:t>
      </w:r>
    </w:p>
    <w:p>
      <w:pPr>
        <w:spacing w:line="360" w:lineRule="auto" w:after="80"/>
        <w:jc w:val="both"/>
        <w:ind w:firstLineChars="200" w:firstLine="560"/>
      </w:pPr>
      <w:r>
        <w:rPr>
          <w:rFonts w:ascii="Times New Roman" w:hAnsi="Times New Roman" w:eastAsia="仿宋"/>
          <w:b w:val="0"/>
          <w:sz w:val="28"/>
        </w:rPr>
        <w:t>平台与桌面插件通过病害数据JSON衔接，构成“内业处理＋成果展示”的完整链路，如图 5-4 所示。</w:t>
      </w:r>
    </w:p>
    <w:p>
      <w:pPr>
        <w:spacing w:before="120" w:after="280" w:line="360" w:lineRule="auto"/>
        <w:jc w:val="center"/>
        <w:outlineLvl w:val="0"/>
      </w:pPr>
      <w:r>
        <w:br w:type="page"/>
      </w:r>
      <w:r>
        <w:rPr>
          <w:rFonts w:ascii="黑体" w:hAnsi="黑体" w:eastAsia="黑体"/>
          <w:b/>
          <w:sz w:val="32"/>
        </w:rPr>
        <w:t>六、项目实现与案例验证</w:t>
      </w:r>
    </w:p>
    <w:p>
      <w:pPr>
        <w:spacing w:before="200" w:after="120" w:line="360" w:lineRule="auto"/>
        <w:outlineLvl w:val="1"/>
      </w:pPr>
      <w:r>
        <w:rPr>
          <w:rFonts w:ascii="黑体" w:hAnsi="黑体" w:eastAsia="黑体"/>
          <w:b/>
          <w:sz w:val="28"/>
        </w:rPr>
        <w:t>6.1  实现过程与迭代</w:t>
      </w:r>
    </w:p>
    <w:p>
      <w:pPr>
        <w:spacing w:line="360" w:lineRule="auto" w:after="80"/>
        <w:jc w:val="both"/>
        <w:ind w:firstLineChars="200" w:firstLine="560"/>
      </w:pPr>
      <w:r>
        <w:rPr>
          <w:rFonts w:ascii="Times New Roman" w:hAnsi="Times New Roman" w:eastAsia="仿宋"/>
          <w:b w:val="0"/>
          <w:sz w:val="28"/>
        </w:rPr>
        <w:t>项目按“数据集建设→基线模型→插件开发→面投影定位→报告生成→数字孪生平台”的路径迭代推进，里程碑如图 6-1 所示：（1）完成GYU-DET、CODEBRIM公开数据集格式转换与本地巡检影像人工标注，形成整合训练集；（2）完成YOLOv8n基线模型训练（50 epochs，CPU），指标如实记录；（3）完成BIMBase桌面插件五环流程开发并联调；（4）建成数字孪生网页平台，实现真实尺度重建与病害贴片可视化。后续节点（模型优化训练、量化与定位实测回填、公网部署与试用）为规划节点，已在图 6-1 中明确标注“规划”。</w:t>
      </w:r>
    </w:p>
    <w:p>
      <w:pPr>
        <w:spacing w:before="120" w:after="40"/>
        <w:jc w:val="center"/>
      </w:pPr>
      <w:r>
        <w:drawing>
          <wp:inline xmlns:a="http://schemas.openxmlformats.org/drawingml/2006/main" xmlns:pic="http://schemas.openxmlformats.org/drawingml/2006/picture">
            <wp:extent cx="5400000" cy="2209091"/>
            <wp:docPr id="14" name="Picture 14"/>
            <wp:cNvGraphicFramePr>
              <a:graphicFrameLocks noChangeAspect="1"/>
            </wp:cNvGraphicFramePr>
            <a:graphic>
              <a:graphicData uri="http://schemas.openxmlformats.org/drawingml/2006/picture">
                <pic:pic>
                  <pic:nvPicPr>
                    <pic:cNvPr id="0" name="示意图_里程碑.png"/>
                    <pic:cNvPicPr/>
                  </pic:nvPicPr>
                  <pic:blipFill>
                    <a:blip r:embed="rId23"/>
                    <a:stretch>
                      <a:fillRect/>
                    </a:stretch>
                  </pic:blipFill>
                  <pic:spPr>
                    <a:xfrm>
                      <a:off x="0" y="0"/>
                      <a:ext cx="5400000" cy="2209091"/>
                    </a:xfrm>
                    <a:prstGeom prst="rect"/>
                  </pic:spPr>
                </pic:pic>
              </a:graphicData>
            </a:graphic>
          </wp:inline>
        </w:drawing>
      </w:r>
    </w:p>
    <w:p>
      <w:pPr>
        <w:spacing w:after="200" w:line="240" w:lineRule="auto"/>
        <w:jc w:val="center"/>
      </w:pPr>
      <w:r>
        <w:rPr>
          <w:rFonts w:ascii="Times New Roman" w:hAnsi="Times New Roman" w:eastAsia="宋体"/>
          <w:b w:val="0"/>
          <w:sz w:val="18"/>
        </w:rPr>
        <w:t>图 6-1  项目实施里程碑</w:t>
      </w:r>
    </w:p>
    <w:p>
      <w:pPr>
        <w:spacing w:before="200" w:after="120" w:line="360" w:lineRule="auto"/>
        <w:outlineLvl w:val="1"/>
      </w:pPr>
      <w:r>
        <w:rPr>
          <w:rFonts w:ascii="黑体" w:hAnsi="黑体" w:eastAsia="黑体"/>
          <w:b/>
          <w:sz w:val="28"/>
        </w:rPr>
        <w:t>6.2  常泰长江大桥案例验证</w:t>
      </w:r>
    </w:p>
    <w:p>
      <w:pPr>
        <w:spacing w:line="360" w:lineRule="auto" w:after="80"/>
        <w:jc w:val="both"/>
        <w:ind w:firstLineChars="200" w:firstLine="560"/>
      </w:pPr>
      <w:r>
        <w:rPr>
          <w:rFonts w:ascii="Times New Roman" w:hAnsi="Times New Roman" w:eastAsia="仿宋"/>
          <w:b w:val="0"/>
          <w:sz w:val="28"/>
        </w:rPr>
        <w:t>（1）验证对象：常泰长江大桥为双层公铁两用斜拉桥，团队已建立其BIM参数化模型，P3D工程文件244.9MB，包含16类参数化构件（清单见图 3-4 及附录二）。模型按真实工程数据构建：桥梁全长2440m（主航道桥），跨径布置142+490+1176+490+142m，空间钻石型主塔总高352m，双层钢桁梁宽39m、高16m，墩位里程-1220/-1078/-588/+588/+1078/+1220m，模型正立面如图 6-2 所示；</w:t>
      </w:r>
    </w:p>
    <w:p>
      <w:pPr>
        <w:spacing w:before="120" w:after="40"/>
        <w:jc w:val="center"/>
      </w:pPr>
      <w:r>
        <w:drawing>
          <wp:inline xmlns:a="http://schemas.openxmlformats.org/drawingml/2006/main" xmlns:pic="http://schemas.openxmlformats.org/drawingml/2006/picture">
            <wp:extent cx="5400000" cy="3419519"/>
            <wp:docPr id="15" name="Picture 15"/>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5400000" cy="3419519"/>
                    </a:xfrm>
                    <a:prstGeom prst="rect"/>
                  </pic:spPr>
                </pic:pic>
              </a:graphicData>
            </a:graphic>
          </wp:inline>
        </w:drawing>
      </w:r>
    </w:p>
    <w:p>
      <w:pPr>
        <w:spacing w:after="200" w:line="240" w:lineRule="auto"/>
        <w:jc w:val="center"/>
      </w:pPr>
      <w:r>
        <w:rPr>
          <w:rFonts w:ascii="Times New Roman" w:hAnsi="Times New Roman" w:eastAsia="宋体"/>
          <w:b w:val="0"/>
          <w:sz w:val="18"/>
        </w:rPr>
        <w:t>图 6-2  常泰长江大桥 BIM 模型正立面</w:t>
      </w:r>
    </w:p>
    <w:p>
      <w:pPr>
        <w:spacing w:line="360" w:lineRule="auto" w:after="80"/>
        <w:jc w:val="both"/>
        <w:ind w:firstLineChars="200" w:firstLine="560"/>
      </w:pPr>
      <w:r>
        <w:rPr>
          <w:rFonts w:ascii="Times New Roman" w:hAnsi="Times New Roman" w:eastAsia="仿宋"/>
          <w:b w:val="0"/>
          <w:sz w:val="28"/>
        </w:rPr>
        <w:t>（2）验证过程：以巡检影像为输入，在BIMBase中运行桌面插件，完成“导入照片→智能检测→AI诊断→尺寸量化→面投影定位→报告生成”全流程贯通验证，病害标记成功落位至对应构件表面并与构件清单联动；随后将病害数据JSON导入数字孪生平台，三维贴片正确分布于对应构件，验证了双形态链路的完整性（投影效果见图 5-3，平台效果见图 5-4）。</w:t>
      </w:r>
    </w:p>
    <w:p>
      <w:pPr>
        <w:spacing w:before="200" w:after="120" w:line="360" w:lineRule="auto"/>
        <w:outlineLvl w:val="1"/>
      </w:pPr>
      <w:r>
        <w:rPr>
          <w:rFonts w:ascii="黑体" w:hAnsi="黑体" w:eastAsia="黑体"/>
          <w:b/>
          <w:sz w:val="28"/>
        </w:rPr>
        <w:t>6.3  效果评价指标</w:t>
      </w:r>
    </w:p>
    <w:p>
      <w:pPr>
        <w:spacing w:line="360" w:lineRule="auto" w:after="80"/>
        <w:jc w:val="both"/>
        <w:ind w:firstLineChars="200" w:firstLine="560"/>
      </w:pPr>
      <w:r>
        <w:rPr>
          <w:rFonts w:ascii="Times New Roman" w:hAnsi="Times New Roman" w:eastAsia="仿宋"/>
          <w:b w:val="0"/>
          <w:sz w:val="28"/>
        </w:rPr>
        <w:t>案例验证的效果评价指标如表 6-1 所示。已完成的指标如实填写；预期口径的指标统一在表中标注“预期”，测试完成后以实测数据如实回填。全部评价数据真实、清晰、可复核，测试脚本与原始记录可备查。</w:t>
      </w:r>
    </w:p>
    <w:p>
      <w:pPr>
        <w:spacing w:before="120" w:after="40" w:line="240" w:lineRule="auto"/>
        <w:jc w:val="center"/>
      </w:pPr>
      <w:r>
        <w:rPr>
          <w:rFonts w:ascii="Times New Roman" w:hAnsi="Times New Roman" w:eastAsia="宋体"/>
          <w:b w:val="0"/>
          <w:sz w:val="18"/>
        </w:rPr>
        <w:t>表 6-1  案例验证效果评价指标</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shd w:val="clear" w:fill="D9E2F3"/>
          </w:tcPr>
          <w:p>
            <w:pPr>
              <w:spacing w:line="240" w:lineRule="auto" w:after="40"/>
              <w:jc w:val="center"/>
            </w:pPr>
            <w:r/>
            <w:r>
              <w:rPr>
                <w:rFonts w:ascii="Times New Roman" w:hAnsi="Times New Roman" w:eastAsia="宋体"/>
                <w:b/>
                <w:sz w:val="21"/>
              </w:rPr>
              <w:t>评价指标</w:t>
            </w:r>
          </w:p>
        </w:tc>
        <w:tc>
          <w:tcPr>
            <w:tcW w:type="dxa" w:w="4365"/>
            <w:shd w:val="clear" w:fill="D9E2F3"/>
          </w:tcPr>
          <w:p>
            <w:pPr>
              <w:spacing w:line="240" w:lineRule="auto" w:after="40"/>
              <w:jc w:val="center"/>
            </w:pPr>
            <w:r/>
            <w:r>
              <w:rPr>
                <w:rFonts w:ascii="Times New Roman" w:hAnsi="Times New Roman" w:eastAsia="宋体"/>
                <w:b/>
                <w:sz w:val="21"/>
              </w:rPr>
              <w:t>结果</w:t>
            </w:r>
          </w:p>
        </w:tc>
      </w:tr>
      <w:tr>
        <w:tc>
          <w:tcPr>
            <w:tcW w:type="dxa" w:w="4365"/>
          </w:tcPr>
          <w:p>
            <w:pPr>
              <w:spacing w:line="240" w:lineRule="auto" w:after="40"/>
              <w:jc w:val="center"/>
            </w:pPr>
            <w:r/>
            <w:r>
              <w:rPr>
                <w:rFonts w:ascii="Times New Roman" w:hAnsi="Times New Roman" w:eastAsia="宋体"/>
                <w:b w:val="0"/>
                <w:sz w:val="21"/>
              </w:rPr>
              <w:t>损伤识别准确率与召回率</w:t>
            </w:r>
          </w:p>
        </w:tc>
        <w:tc>
          <w:tcPr>
            <w:tcW w:type="dxa" w:w="4365"/>
          </w:tcPr>
          <w:p>
            <w:pPr>
              <w:spacing w:line="240" w:lineRule="auto" w:after="40"/>
              <w:jc w:val="left"/>
            </w:pPr>
            <w:r/>
            <w:r>
              <w:rPr>
                <w:rFonts w:ascii="Times New Roman" w:hAnsi="Times New Roman" w:eastAsia="宋体"/>
                <w:b w:val="0"/>
                <w:sz w:val="21"/>
              </w:rPr>
              <w:t>实测：mAP50约0.336、mAP50-95约0.085（基线模型，PR曲线与混淆矩阵佐证，见5.1节）</w:t>
            </w:r>
          </w:p>
        </w:tc>
      </w:tr>
      <w:tr>
        <w:tc>
          <w:tcPr>
            <w:tcW w:type="dxa" w:w="4365"/>
          </w:tcPr>
          <w:p>
            <w:pPr>
              <w:spacing w:line="240" w:lineRule="auto" w:after="40"/>
              <w:jc w:val="center"/>
            </w:pPr>
            <w:r/>
            <w:r>
              <w:rPr>
                <w:rFonts w:ascii="Times New Roman" w:hAnsi="Times New Roman" w:eastAsia="宋体"/>
                <w:b w:val="0"/>
                <w:sz w:val="21"/>
              </w:rPr>
              <w:t>单张图像平均检测时间</w:t>
            </w:r>
          </w:p>
        </w:tc>
        <w:tc>
          <w:tcPr>
            <w:tcW w:type="dxa" w:w="4365"/>
          </w:tcPr>
          <w:p>
            <w:pPr>
              <w:spacing w:line="240" w:lineRule="auto" w:after="40"/>
              <w:jc w:val="left"/>
            </w:pPr>
            <w:r/>
            <w:r>
              <w:rPr>
                <w:rFonts w:ascii="Times New Roman" w:hAnsi="Times New Roman" w:eastAsia="宋体"/>
                <w:b w:val="0"/>
                <w:sz w:val="21"/>
              </w:rPr>
              <w:t>预期：YOLOv8n约0.2～0.5秒/张（CPU），五路CV融合约1～3秒/张；待补充实测数据回填</w:t>
            </w:r>
          </w:p>
        </w:tc>
      </w:tr>
      <w:tr>
        <w:tc>
          <w:tcPr>
            <w:tcW w:type="dxa" w:w="4365"/>
          </w:tcPr>
          <w:p>
            <w:pPr>
              <w:spacing w:line="240" w:lineRule="auto" w:after="40"/>
              <w:jc w:val="center"/>
            </w:pPr>
            <w:r/>
            <w:r>
              <w:rPr>
                <w:rFonts w:ascii="Times New Roman" w:hAnsi="Times New Roman" w:eastAsia="宋体"/>
                <w:b w:val="0"/>
                <w:sz w:val="21"/>
              </w:rPr>
              <w:t>尺寸量化与人工测量差异</w:t>
            </w:r>
          </w:p>
        </w:tc>
        <w:tc>
          <w:tcPr>
            <w:tcW w:type="dxa" w:w="4365"/>
          </w:tcPr>
          <w:p>
            <w:pPr>
              <w:spacing w:line="240" w:lineRule="auto" w:after="40"/>
              <w:jc w:val="left"/>
            </w:pPr>
            <w:r/>
            <w:r>
              <w:rPr>
                <w:rFonts w:ascii="Times New Roman" w:hAnsi="Times New Roman" w:eastAsia="宋体"/>
                <w:b w:val="0"/>
                <w:sz w:val="21"/>
              </w:rPr>
              <w:t>预期：长度≤3.5%、宽度≤6%、面积≤7%（相对误差）；待补充实测数据回填</w:t>
            </w:r>
          </w:p>
        </w:tc>
      </w:tr>
      <w:tr>
        <w:tc>
          <w:tcPr>
            <w:tcW w:type="dxa" w:w="4365"/>
          </w:tcPr>
          <w:p>
            <w:pPr>
              <w:spacing w:line="240" w:lineRule="auto" w:after="40"/>
              <w:jc w:val="center"/>
            </w:pPr>
            <w:r/>
            <w:r>
              <w:rPr>
                <w:rFonts w:ascii="Times New Roman" w:hAnsi="Times New Roman" w:eastAsia="宋体"/>
                <w:b w:val="0"/>
                <w:sz w:val="21"/>
              </w:rPr>
              <w:t>空间定位精度</w:t>
            </w:r>
          </w:p>
        </w:tc>
        <w:tc>
          <w:tcPr>
            <w:tcW w:type="dxa" w:w="4365"/>
          </w:tcPr>
          <w:p>
            <w:pPr>
              <w:spacing w:line="240" w:lineRule="auto" w:after="40"/>
              <w:jc w:val="left"/>
            </w:pPr>
            <w:r/>
            <w:r>
              <w:rPr>
                <w:rFonts w:ascii="Times New Roman" w:hAnsi="Times New Roman" w:eastAsia="宋体"/>
                <w:b w:val="0"/>
                <w:sz w:val="21"/>
              </w:rPr>
              <w:t>预期：构件归属正确率≥95%、面内平均误差≤8cm；待补充实测数据回填</w:t>
            </w:r>
          </w:p>
        </w:tc>
      </w:tr>
      <w:tr>
        <w:tc>
          <w:tcPr>
            <w:tcW w:type="dxa" w:w="4365"/>
          </w:tcPr>
          <w:p>
            <w:pPr>
              <w:spacing w:line="240" w:lineRule="auto" w:after="40"/>
              <w:jc w:val="center"/>
            </w:pPr>
            <w:r/>
            <w:r>
              <w:rPr>
                <w:rFonts w:ascii="Times New Roman" w:hAnsi="Times New Roman" w:eastAsia="宋体"/>
                <w:b w:val="0"/>
                <w:sz w:val="21"/>
              </w:rPr>
              <w:t>人工判读环节减少情况</w:t>
            </w:r>
          </w:p>
        </w:tc>
        <w:tc>
          <w:tcPr>
            <w:tcW w:type="dxa" w:w="4365"/>
          </w:tcPr>
          <w:p>
            <w:pPr>
              <w:spacing w:line="240" w:lineRule="auto" w:after="40"/>
              <w:jc w:val="left"/>
            </w:pPr>
            <w:r/>
            <w:r>
              <w:rPr>
                <w:rFonts w:ascii="Times New Roman" w:hAnsi="Times New Roman" w:eastAsia="宋体"/>
                <w:b w:val="0"/>
                <w:sz w:val="21"/>
              </w:rPr>
              <w:t>判读、测量、定位、报告编制四个环节由多人分步完成转变为一人一键流转（定性）</w:t>
            </w:r>
          </w:p>
        </w:tc>
      </w:tr>
      <w:tr>
        <w:tc>
          <w:tcPr>
            <w:tcW w:type="dxa" w:w="4365"/>
          </w:tcPr>
          <w:p>
            <w:pPr>
              <w:spacing w:line="240" w:lineRule="auto" w:after="40"/>
              <w:jc w:val="center"/>
            </w:pPr>
            <w:r/>
            <w:r>
              <w:rPr>
                <w:rFonts w:ascii="Times New Roman" w:hAnsi="Times New Roman" w:eastAsia="宋体"/>
                <w:b w:val="0"/>
                <w:sz w:val="21"/>
              </w:rPr>
              <w:t>检测报告生成效率改善</w:t>
            </w:r>
          </w:p>
        </w:tc>
        <w:tc>
          <w:tcPr>
            <w:tcW w:type="dxa" w:w="4365"/>
          </w:tcPr>
          <w:p>
            <w:pPr>
              <w:spacing w:line="240" w:lineRule="auto" w:after="40"/>
              <w:jc w:val="left"/>
            </w:pPr>
            <w:r/>
            <w:r>
              <w:rPr>
                <w:rFonts w:ascii="Times New Roman" w:hAnsi="Times New Roman" w:eastAsia="宋体"/>
                <w:b w:val="0"/>
                <w:sz w:val="21"/>
              </w:rPr>
              <w:t>一键自动生成规范Word报告，替代手工编制（定性）</w:t>
            </w:r>
          </w:p>
        </w:tc>
      </w:tr>
    </w:tbl>
    <w:p>
      <w:pPr>
        <w:spacing w:after="120"/>
      </w:pPr>
    </w:p>
    <w:p>
      <w:pPr>
        <w:spacing w:before="120" w:after="280" w:line="360" w:lineRule="auto"/>
        <w:jc w:val="center"/>
        <w:outlineLvl w:val="0"/>
      </w:pPr>
      <w:r>
        <w:br w:type="page"/>
      </w:r>
      <w:r>
        <w:rPr>
          <w:rFonts w:ascii="黑体" w:hAnsi="黑体" w:eastAsia="黑体"/>
          <w:b/>
          <w:sz w:val="32"/>
        </w:rPr>
        <w:t>七、运行环境</w:t>
      </w:r>
    </w:p>
    <w:p>
      <w:pPr>
        <w:spacing w:before="200" w:after="120" w:line="360" w:lineRule="auto"/>
        <w:outlineLvl w:val="1"/>
      </w:pPr>
      <w:r>
        <w:rPr>
          <w:rFonts w:ascii="黑体" w:hAnsi="黑体" w:eastAsia="黑体"/>
          <w:b/>
          <w:sz w:val="28"/>
        </w:rPr>
        <w:t>7.1  软件环境</w:t>
      </w:r>
    </w:p>
    <w:p>
      <w:pPr>
        <w:spacing w:line="360" w:lineRule="auto" w:after="80"/>
        <w:jc w:val="both"/>
        <w:ind w:firstLineChars="200" w:firstLine="560"/>
      </w:pPr>
      <w:r>
        <w:rPr>
          <w:rFonts w:ascii="Times New Roman" w:hAnsi="Times New Roman" w:eastAsia="仿宋"/>
          <w:b w:val="0"/>
          <w:sz w:val="28"/>
        </w:rPr>
        <w:t>系统软件环境如表 7-1 所示。桌面插件运行于国产BIMBase三维图形平台，算法基于成熟开源生态，数字孪生平台基于three.js且无需安装。</w:t>
      </w:r>
    </w:p>
    <w:p>
      <w:pPr>
        <w:spacing w:before="120" w:after="40" w:line="240" w:lineRule="auto"/>
        <w:jc w:val="center"/>
      </w:pPr>
      <w:r>
        <w:rPr>
          <w:rFonts w:ascii="Times New Roman" w:hAnsi="Times New Roman" w:eastAsia="宋体"/>
          <w:b w:val="0"/>
          <w:sz w:val="18"/>
        </w:rPr>
        <w:t>表 7-1  软件环境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名称与版本</w:t>
            </w:r>
          </w:p>
        </w:tc>
        <w:tc>
          <w:tcPr>
            <w:tcW w:type="dxa" w:w="2910"/>
            <w:shd w:val="clear" w:fill="D9E2F3"/>
          </w:tcPr>
          <w:p>
            <w:pPr>
              <w:spacing w:line="240" w:lineRule="auto" w:after="40"/>
              <w:jc w:val="center"/>
            </w:pPr>
            <w:r/>
            <w:r>
              <w:rPr>
                <w:rFonts w:ascii="Times New Roman" w:hAnsi="Times New Roman" w:eastAsia="宋体"/>
                <w:b/>
                <w:sz w:val="21"/>
              </w:rPr>
              <w:t>用途</w:t>
            </w:r>
          </w:p>
        </w:tc>
      </w:tr>
      <w:tr>
        <w:tc>
          <w:tcPr>
            <w:tcW w:type="dxa" w:w="2910"/>
          </w:tcPr>
          <w:p>
            <w:pPr>
              <w:spacing w:line="240" w:lineRule="auto" w:after="40"/>
              <w:jc w:val="center"/>
            </w:pPr>
            <w:r/>
            <w:r>
              <w:rPr>
                <w:rFonts w:ascii="Times New Roman" w:hAnsi="Times New Roman" w:eastAsia="宋体"/>
                <w:b w:val="0"/>
                <w:sz w:val="21"/>
              </w:rPr>
              <w:t>三维平台</w:t>
            </w:r>
          </w:p>
        </w:tc>
        <w:tc>
          <w:tcPr>
            <w:tcW w:type="dxa" w:w="2910"/>
          </w:tcPr>
          <w:p>
            <w:pPr>
              <w:spacing w:line="240" w:lineRule="auto" w:after="40"/>
              <w:jc w:val="left"/>
            </w:pPr>
            <w:r/>
            <w:r>
              <w:rPr>
                <w:rFonts w:ascii="Times New Roman" w:hAnsi="Times New Roman" w:eastAsia="宋体"/>
                <w:b w:val="0"/>
                <w:sz w:val="21"/>
              </w:rPr>
              <w:t>BIMBase（国产三维图形引擎，支持pyp3d）</w:t>
            </w:r>
          </w:p>
        </w:tc>
        <w:tc>
          <w:tcPr>
            <w:tcW w:type="dxa" w:w="2910"/>
          </w:tcPr>
          <w:p>
            <w:pPr>
              <w:spacing w:line="240" w:lineRule="auto" w:after="40"/>
              <w:jc w:val="center"/>
            </w:pPr>
            <w:r/>
            <w:r>
              <w:rPr>
                <w:rFonts w:ascii="Times New Roman" w:hAnsi="Times New Roman" w:eastAsia="宋体"/>
                <w:b w:val="0"/>
                <w:sz w:val="21"/>
              </w:rPr>
              <w:t>插件运行底座、模型承载</w:t>
            </w:r>
          </w:p>
        </w:tc>
      </w:tr>
      <w:tr>
        <w:tc>
          <w:tcPr>
            <w:tcW w:type="dxa" w:w="2910"/>
          </w:tcPr>
          <w:p>
            <w:pPr>
              <w:spacing w:line="240" w:lineRule="auto" w:after="40"/>
              <w:jc w:val="center"/>
            </w:pPr>
            <w:r/>
            <w:r>
              <w:rPr>
                <w:rFonts w:ascii="Times New Roman" w:hAnsi="Times New Roman" w:eastAsia="宋体"/>
                <w:b w:val="0"/>
                <w:sz w:val="21"/>
              </w:rPr>
              <w:t>运行环境</w:t>
            </w:r>
          </w:p>
        </w:tc>
        <w:tc>
          <w:tcPr>
            <w:tcW w:type="dxa" w:w="2910"/>
          </w:tcPr>
          <w:p>
            <w:pPr>
              <w:spacing w:line="240" w:lineRule="auto" w:after="40"/>
              <w:jc w:val="left"/>
            </w:pPr>
            <w:r/>
            <w:r>
              <w:rPr>
                <w:rFonts w:ascii="Times New Roman" w:hAnsi="Times New Roman" w:eastAsia="宋体"/>
                <w:b w:val="0"/>
                <w:sz w:val="21"/>
              </w:rPr>
              <w:t>Python 3.x（BIMBase插件环境）</w:t>
            </w:r>
          </w:p>
        </w:tc>
        <w:tc>
          <w:tcPr>
            <w:tcW w:type="dxa" w:w="2910"/>
          </w:tcPr>
          <w:p>
            <w:pPr>
              <w:spacing w:line="240" w:lineRule="auto" w:after="40"/>
              <w:jc w:val="center"/>
            </w:pPr>
            <w:r/>
            <w:r>
              <w:rPr>
                <w:rFonts w:ascii="Times New Roman" w:hAnsi="Times New Roman" w:eastAsia="宋体"/>
                <w:b w:val="0"/>
                <w:sz w:val="21"/>
              </w:rPr>
              <w:t>插件与算法运行</w:t>
            </w:r>
          </w:p>
        </w:tc>
      </w:tr>
      <w:tr>
        <w:tc>
          <w:tcPr>
            <w:tcW w:type="dxa" w:w="2910"/>
          </w:tcPr>
          <w:p>
            <w:pPr>
              <w:spacing w:line="240" w:lineRule="auto" w:after="40"/>
              <w:jc w:val="center"/>
            </w:pPr>
            <w:r/>
            <w:r>
              <w:rPr>
                <w:rFonts w:ascii="Times New Roman" w:hAnsi="Times New Roman" w:eastAsia="宋体"/>
                <w:b w:val="0"/>
                <w:sz w:val="21"/>
              </w:rPr>
              <w:t>深度学习</w:t>
            </w:r>
          </w:p>
        </w:tc>
        <w:tc>
          <w:tcPr>
            <w:tcW w:type="dxa" w:w="2910"/>
          </w:tcPr>
          <w:p>
            <w:pPr>
              <w:spacing w:line="240" w:lineRule="auto" w:after="40"/>
              <w:jc w:val="left"/>
            </w:pPr>
            <w:r/>
            <w:r>
              <w:rPr>
                <w:rFonts w:ascii="Times New Roman" w:hAnsi="Times New Roman" w:eastAsia="宋体"/>
                <w:b w:val="0"/>
                <w:sz w:val="21"/>
              </w:rPr>
              <w:t>PyTorch、ultralytics（YOLOv8）</w:t>
            </w:r>
          </w:p>
        </w:tc>
        <w:tc>
          <w:tcPr>
            <w:tcW w:type="dxa" w:w="2910"/>
          </w:tcPr>
          <w:p>
            <w:pPr>
              <w:spacing w:line="240" w:lineRule="auto" w:after="40"/>
              <w:jc w:val="center"/>
            </w:pPr>
            <w:r/>
            <w:r>
              <w:rPr>
                <w:rFonts w:ascii="Times New Roman" w:hAnsi="Times New Roman" w:eastAsia="宋体"/>
                <w:b w:val="0"/>
                <w:sz w:val="21"/>
              </w:rPr>
              <w:t>损伤识别模型训练与推理</w:t>
            </w:r>
          </w:p>
        </w:tc>
      </w:tr>
      <w:tr>
        <w:tc>
          <w:tcPr>
            <w:tcW w:type="dxa" w:w="2910"/>
          </w:tcPr>
          <w:p>
            <w:pPr>
              <w:spacing w:line="240" w:lineRule="auto" w:after="40"/>
              <w:jc w:val="center"/>
            </w:pPr>
            <w:r/>
            <w:r>
              <w:rPr>
                <w:rFonts w:ascii="Times New Roman" w:hAnsi="Times New Roman" w:eastAsia="宋体"/>
                <w:b w:val="0"/>
                <w:sz w:val="21"/>
              </w:rPr>
              <w:t>计算机视觉</w:t>
            </w:r>
          </w:p>
        </w:tc>
        <w:tc>
          <w:tcPr>
            <w:tcW w:type="dxa" w:w="2910"/>
          </w:tcPr>
          <w:p>
            <w:pPr>
              <w:spacing w:line="240" w:lineRule="auto" w:after="40"/>
              <w:jc w:val="center"/>
            </w:pPr>
            <w:r/>
            <w:r>
              <w:rPr>
                <w:rFonts w:ascii="Times New Roman" w:hAnsi="Times New Roman" w:eastAsia="宋体"/>
                <w:b w:val="0"/>
                <w:sz w:val="21"/>
              </w:rPr>
              <w:t>OpenCV</w:t>
            </w:r>
          </w:p>
        </w:tc>
        <w:tc>
          <w:tcPr>
            <w:tcW w:type="dxa" w:w="2910"/>
          </w:tcPr>
          <w:p>
            <w:pPr>
              <w:spacing w:line="240" w:lineRule="auto" w:after="40"/>
              <w:jc w:val="left"/>
            </w:pPr>
            <w:r/>
            <w:r>
              <w:rPr>
                <w:rFonts w:ascii="Times New Roman" w:hAnsi="Times New Roman" w:eastAsia="宋体"/>
                <w:b w:val="0"/>
                <w:sz w:val="21"/>
              </w:rPr>
              <w:t>五路CV掩码融合、掩膜细化与骨架提取</w:t>
            </w:r>
          </w:p>
        </w:tc>
      </w:tr>
      <w:tr>
        <w:tc>
          <w:tcPr>
            <w:tcW w:type="dxa" w:w="2910"/>
          </w:tcPr>
          <w:p>
            <w:pPr>
              <w:spacing w:line="240" w:lineRule="auto" w:after="40"/>
              <w:jc w:val="center"/>
            </w:pPr>
            <w:r/>
            <w:r>
              <w:rPr>
                <w:rFonts w:ascii="Times New Roman" w:hAnsi="Times New Roman" w:eastAsia="宋体"/>
                <w:b w:val="0"/>
                <w:sz w:val="21"/>
              </w:rPr>
              <w:t>界面框架</w:t>
            </w:r>
          </w:p>
        </w:tc>
        <w:tc>
          <w:tcPr>
            <w:tcW w:type="dxa" w:w="2910"/>
          </w:tcPr>
          <w:p>
            <w:pPr>
              <w:spacing w:line="240" w:lineRule="auto" w:after="40"/>
              <w:jc w:val="center"/>
            </w:pPr>
            <w:r/>
            <w:r>
              <w:rPr>
                <w:rFonts w:ascii="Times New Roman" w:hAnsi="Times New Roman" w:eastAsia="宋体"/>
                <w:b w:val="0"/>
                <w:sz w:val="21"/>
              </w:rPr>
              <w:t>PyQt5</w:t>
            </w:r>
          </w:p>
        </w:tc>
        <w:tc>
          <w:tcPr>
            <w:tcW w:type="dxa" w:w="2910"/>
          </w:tcPr>
          <w:p>
            <w:pPr>
              <w:spacing w:line="240" w:lineRule="auto" w:after="40"/>
              <w:jc w:val="center"/>
            </w:pPr>
            <w:r/>
            <w:r>
              <w:rPr>
                <w:rFonts w:ascii="Times New Roman" w:hAnsi="Times New Roman" w:eastAsia="宋体"/>
                <w:b w:val="0"/>
                <w:sz w:val="21"/>
              </w:rPr>
              <w:t>插件交互界面</w:t>
            </w:r>
          </w:p>
        </w:tc>
      </w:tr>
      <w:tr>
        <w:tc>
          <w:tcPr>
            <w:tcW w:type="dxa" w:w="2910"/>
          </w:tcPr>
          <w:p>
            <w:pPr>
              <w:spacing w:line="240" w:lineRule="auto" w:after="40"/>
              <w:jc w:val="center"/>
            </w:pPr>
            <w:r/>
            <w:r>
              <w:rPr>
                <w:rFonts w:ascii="Times New Roman" w:hAnsi="Times New Roman" w:eastAsia="宋体"/>
                <w:b w:val="0"/>
                <w:sz w:val="21"/>
              </w:rPr>
              <w:t>报告生成</w:t>
            </w:r>
          </w:p>
        </w:tc>
        <w:tc>
          <w:tcPr>
            <w:tcW w:type="dxa" w:w="2910"/>
          </w:tcPr>
          <w:p>
            <w:pPr>
              <w:spacing w:line="240" w:lineRule="auto" w:after="40"/>
              <w:jc w:val="center"/>
            </w:pPr>
            <w:r/>
            <w:r>
              <w:rPr>
                <w:rFonts w:ascii="Times New Roman" w:hAnsi="Times New Roman" w:eastAsia="宋体"/>
                <w:b w:val="0"/>
                <w:sz w:val="21"/>
              </w:rPr>
              <w:t>python-docx</w:t>
            </w:r>
          </w:p>
        </w:tc>
        <w:tc>
          <w:tcPr>
            <w:tcW w:type="dxa" w:w="2910"/>
          </w:tcPr>
          <w:p>
            <w:pPr>
              <w:spacing w:line="240" w:lineRule="auto" w:after="40"/>
              <w:jc w:val="center"/>
            </w:pPr>
            <w:r/>
            <w:r>
              <w:rPr>
                <w:rFonts w:ascii="Times New Roman" w:hAnsi="Times New Roman" w:eastAsia="宋体"/>
                <w:b w:val="0"/>
                <w:sz w:val="21"/>
              </w:rPr>
              <w:t>Word检测报告自动生成</w:t>
            </w:r>
          </w:p>
        </w:tc>
      </w:tr>
      <w:tr>
        <w:tc>
          <w:tcPr>
            <w:tcW w:type="dxa" w:w="2910"/>
          </w:tcPr>
          <w:p>
            <w:pPr>
              <w:spacing w:line="240" w:lineRule="auto" w:after="40"/>
              <w:jc w:val="center"/>
            </w:pPr>
            <w:r/>
            <w:r>
              <w:rPr>
                <w:rFonts w:ascii="Times New Roman" w:hAnsi="Times New Roman" w:eastAsia="宋体"/>
                <w:b w:val="0"/>
                <w:sz w:val="21"/>
              </w:rPr>
              <w:t>多模态诊断</w:t>
            </w:r>
          </w:p>
        </w:tc>
        <w:tc>
          <w:tcPr>
            <w:tcW w:type="dxa" w:w="2910"/>
          </w:tcPr>
          <w:p>
            <w:pPr>
              <w:spacing w:line="240" w:lineRule="auto" w:after="40"/>
              <w:jc w:val="left"/>
            </w:pPr>
            <w:r/>
            <w:r>
              <w:rPr>
                <w:rFonts w:ascii="Times New Roman" w:hAnsi="Times New Roman" w:eastAsia="宋体"/>
                <w:b w:val="0"/>
                <w:sz w:val="21"/>
              </w:rPr>
              <w:t>Qwen-VL-Max（DashScope API）</w:t>
            </w:r>
          </w:p>
        </w:tc>
        <w:tc>
          <w:tcPr>
            <w:tcW w:type="dxa" w:w="2910"/>
          </w:tcPr>
          <w:p>
            <w:pPr>
              <w:spacing w:line="240" w:lineRule="auto" w:after="40"/>
              <w:jc w:val="center"/>
            </w:pPr>
            <w:r/>
            <w:r>
              <w:rPr>
                <w:rFonts w:ascii="Times New Roman" w:hAnsi="Times New Roman" w:eastAsia="宋体"/>
                <w:b w:val="0"/>
                <w:sz w:val="21"/>
              </w:rPr>
              <w:t>病害成因与处置建议诊断</w:t>
            </w:r>
          </w:p>
        </w:tc>
      </w:tr>
      <w:tr>
        <w:tc>
          <w:tcPr>
            <w:tcW w:type="dxa" w:w="2910"/>
          </w:tcPr>
          <w:p>
            <w:pPr>
              <w:spacing w:line="240" w:lineRule="auto" w:after="40"/>
              <w:jc w:val="center"/>
            </w:pPr>
            <w:r/>
            <w:r>
              <w:rPr>
                <w:rFonts w:ascii="Times New Roman" w:hAnsi="Times New Roman" w:eastAsia="宋体"/>
                <w:b w:val="0"/>
                <w:sz w:val="21"/>
              </w:rPr>
              <w:t>网页三维</w:t>
            </w:r>
          </w:p>
        </w:tc>
        <w:tc>
          <w:tcPr>
            <w:tcW w:type="dxa" w:w="2910"/>
          </w:tcPr>
          <w:p>
            <w:pPr>
              <w:spacing w:line="240" w:lineRule="auto" w:after="40"/>
              <w:jc w:val="left"/>
            </w:pPr>
            <w:r/>
            <w:r>
              <w:rPr>
                <w:rFonts w:ascii="Times New Roman" w:hAnsi="Times New Roman" w:eastAsia="宋体"/>
                <w:b w:val="0"/>
                <w:sz w:val="21"/>
              </w:rPr>
              <w:t>three.js（单文件离线网页内置）</w:t>
            </w:r>
          </w:p>
        </w:tc>
        <w:tc>
          <w:tcPr>
            <w:tcW w:type="dxa" w:w="2910"/>
          </w:tcPr>
          <w:p>
            <w:pPr>
              <w:spacing w:line="240" w:lineRule="auto" w:after="40"/>
              <w:jc w:val="center"/>
            </w:pPr>
            <w:r/>
            <w:r>
              <w:rPr>
                <w:rFonts w:ascii="Times New Roman" w:hAnsi="Times New Roman" w:eastAsia="宋体"/>
                <w:b w:val="0"/>
                <w:sz w:val="21"/>
              </w:rPr>
              <w:t>数字孪生平台三维渲染</w:t>
            </w:r>
          </w:p>
        </w:tc>
      </w:tr>
    </w:tbl>
    <w:p>
      <w:pPr>
        <w:spacing w:after="120"/>
      </w:pPr>
    </w:p>
    <w:p>
      <w:pPr>
        <w:spacing w:before="200" w:after="120" w:line="360" w:lineRule="auto"/>
        <w:outlineLvl w:val="1"/>
      </w:pPr>
      <w:r>
        <w:rPr>
          <w:rFonts w:ascii="黑体" w:hAnsi="黑体" w:eastAsia="黑体"/>
          <w:b/>
          <w:sz w:val="28"/>
        </w:rPr>
        <w:t>7.2  硬件环境</w:t>
      </w:r>
    </w:p>
    <w:p>
      <w:pPr>
        <w:spacing w:line="360" w:lineRule="auto" w:after="80"/>
        <w:jc w:val="both"/>
        <w:ind w:firstLineChars="200" w:firstLine="560"/>
      </w:pPr>
      <w:r>
        <w:rPr>
          <w:rFonts w:ascii="Times New Roman" w:hAnsi="Times New Roman" w:eastAsia="仿宋"/>
          <w:b w:val="0"/>
          <w:sz w:val="28"/>
        </w:rPr>
        <w:t>系统面向基层检测单位硬件条件设计，无需专业GPU与测量设备，如表 7-2 所示。</w:t>
      </w:r>
    </w:p>
    <w:p>
      <w:pPr>
        <w:spacing w:before="120" w:after="40" w:line="240" w:lineRule="auto"/>
        <w:jc w:val="center"/>
      </w:pPr>
      <w:r>
        <w:rPr>
          <w:rFonts w:ascii="Times New Roman" w:hAnsi="Times New Roman" w:eastAsia="宋体"/>
          <w:b w:val="0"/>
          <w:sz w:val="18"/>
        </w:rPr>
        <w:t>表 7-2  硬件环境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配置</w:t>
            </w:r>
          </w:p>
        </w:tc>
        <w:tc>
          <w:tcPr>
            <w:tcW w:type="dxa" w:w="2910"/>
            <w:shd w:val="clear" w:fill="D9E2F3"/>
          </w:tcPr>
          <w:p>
            <w:pPr>
              <w:spacing w:line="240" w:lineRule="auto" w:after="40"/>
              <w:jc w:val="center"/>
            </w:pPr>
            <w:r/>
            <w:r>
              <w:rPr>
                <w:rFonts w:ascii="Times New Roman" w:hAnsi="Times New Roman" w:eastAsia="宋体"/>
                <w:b/>
                <w:sz w:val="21"/>
              </w:rPr>
              <w:t>说明</w:t>
            </w:r>
          </w:p>
        </w:tc>
      </w:tr>
      <w:tr>
        <w:tc>
          <w:tcPr>
            <w:tcW w:type="dxa" w:w="2910"/>
          </w:tcPr>
          <w:p>
            <w:pPr>
              <w:spacing w:line="240" w:lineRule="auto" w:after="40"/>
              <w:jc w:val="center"/>
            </w:pPr>
            <w:r/>
            <w:r>
              <w:rPr>
                <w:rFonts w:ascii="Times New Roman" w:hAnsi="Times New Roman" w:eastAsia="宋体"/>
                <w:b w:val="0"/>
                <w:sz w:val="21"/>
              </w:rPr>
              <w:t>影像采集</w:t>
            </w:r>
          </w:p>
        </w:tc>
        <w:tc>
          <w:tcPr>
            <w:tcW w:type="dxa" w:w="2910"/>
          </w:tcPr>
          <w:p>
            <w:pPr>
              <w:spacing w:line="240" w:lineRule="auto" w:after="40"/>
              <w:jc w:val="center"/>
            </w:pPr>
            <w:r/>
            <w:r>
              <w:rPr>
                <w:rFonts w:ascii="Times New Roman" w:hAnsi="Times New Roman" w:eastAsia="宋体"/>
                <w:b w:val="0"/>
                <w:sz w:val="21"/>
              </w:rPr>
              <w:t>消费级无人机/手机/数码相机</w:t>
            </w:r>
          </w:p>
        </w:tc>
        <w:tc>
          <w:tcPr>
            <w:tcW w:type="dxa" w:w="2910"/>
          </w:tcPr>
          <w:p>
            <w:pPr>
              <w:spacing w:line="240" w:lineRule="auto" w:after="40"/>
              <w:jc w:val="center"/>
            </w:pPr>
            <w:r/>
            <w:r>
              <w:rPr>
                <w:rFonts w:ascii="Times New Roman" w:hAnsi="Times New Roman" w:eastAsia="宋体"/>
                <w:b w:val="0"/>
                <w:sz w:val="21"/>
              </w:rPr>
              <w:t>对接既有巡检作业模式</w:t>
            </w:r>
          </w:p>
        </w:tc>
      </w:tr>
      <w:tr>
        <w:tc>
          <w:tcPr>
            <w:tcW w:type="dxa" w:w="2910"/>
          </w:tcPr>
          <w:p>
            <w:pPr>
              <w:spacing w:line="240" w:lineRule="auto" w:after="40"/>
              <w:jc w:val="center"/>
            </w:pPr>
            <w:r/>
            <w:r>
              <w:rPr>
                <w:rFonts w:ascii="Times New Roman" w:hAnsi="Times New Roman" w:eastAsia="宋体"/>
                <w:b w:val="0"/>
                <w:sz w:val="21"/>
              </w:rPr>
              <w:t>运行终端</w:t>
            </w:r>
          </w:p>
        </w:tc>
        <w:tc>
          <w:tcPr>
            <w:tcW w:type="dxa" w:w="2910"/>
          </w:tcPr>
          <w:p>
            <w:pPr>
              <w:spacing w:line="240" w:lineRule="auto" w:after="40"/>
              <w:jc w:val="left"/>
            </w:pPr>
            <w:r/>
            <w:r>
              <w:rPr>
                <w:rFonts w:ascii="Times New Roman" w:hAnsi="Times New Roman" w:eastAsia="宋体"/>
                <w:b w:val="0"/>
                <w:sz w:val="21"/>
              </w:rPr>
              <w:t>普通办公笔记本/台式机（CPU即可）</w:t>
            </w:r>
          </w:p>
        </w:tc>
        <w:tc>
          <w:tcPr>
            <w:tcW w:type="dxa" w:w="2910"/>
          </w:tcPr>
          <w:p>
            <w:pPr>
              <w:spacing w:line="240" w:lineRule="auto" w:after="40"/>
              <w:jc w:val="center"/>
            </w:pPr>
            <w:r/>
            <w:r>
              <w:rPr>
                <w:rFonts w:ascii="Times New Roman" w:hAnsi="Times New Roman" w:eastAsia="宋体"/>
                <w:b w:val="0"/>
                <w:sz w:val="21"/>
              </w:rPr>
              <w:t>YOLOv8n支持CPU推理</w:t>
            </w:r>
          </w:p>
        </w:tc>
      </w:tr>
      <w:tr>
        <w:tc>
          <w:tcPr>
            <w:tcW w:type="dxa" w:w="2910"/>
          </w:tcPr>
          <w:p>
            <w:pPr>
              <w:spacing w:line="240" w:lineRule="auto" w:after="40"/>
              <w:jc w:val="center"/>
            </w:pPr>
            <w:r/>
            <w:r>
              <w:rPr>
                <w:rFonts w:ascii="Times New Roman" w:hAnsi="Times New Roman" w:eastAsia="宋体"/>
                <w:b w:val="0"/>
                <w:sz w:val="21"/>
              </w:rPr>
              <w:t>三维展示</w:t>
            </w:r>
          </w:p>
        </w:tc>
        <w:tc>
          <w:tcPr>
            <w:tcW w:type="dxa" w:w="2910"/>
          </w:tcPr>
          <w:p>
            <w:pPr>
              <w:spacing w:line="240" w:lineRule="auto" w:after="40"/>
              <w:jc w:val="center"/>
            </w:pPr>
            <w:r/>
            <w:r>
              <w:rPr>
                <w:rFonts w:ascii="Times New Roman" w:hAnsi="Times New Roman" w:eastAsia="宋体"/>
                <w:b w:val="0"/>
                <w:sz w:val="21"/>
              </w:rPr>
              <w:t>支持WebGL的浏览器终端</w:t>
            </w:r>
          </w:p>
        </w:tc>
        <w:tc>
          <w:tcPr>
            <w:tcW w:type="dxa" w:w="2910"/>
          </w:tcPr>
          <w:p>
            <w:pPr>
              <w:spacing w:line="240" w:lineRule="auto" w:after="40"/>
              <w:jc w:val="center"/>
            </w:pPr>
            <w:r/>
            <w:r>
              <w:rPr>
                <w:rFonts w:ascii="Times New Roman" w:hAnsi="Times New Roman" w:eastAsia="宋体"/>
                <w:b w:val="0"/>
                <w:sz w:val="21"/>
              </w:rPr>
              <w:t>数字孪生平台免安装访问</w:t>
            </w:r>
          </w:p>
        </w:tc>
      </w:tr>
      <w:tr>
        <w:tc>
          <w:tcPr>
            <w:tcW w:type="dxa" w:w="2910"/>
          </w:tcPr>
          <w:p>
            <w:pPr>
              <w:spacing w:line="240" w:lineRule="auto" w:after="40"/>
              <w:jc w:val="center"/>
            </w:pPr>
            <w:r/>
            <w:r>
              <w:rPr>
                <w:rFonts w:ascii="Times New Roman" w:hAnsi="Times New Roman" w:eastAsia="宋体"/>
                <w:b w:val="0"/>
                <w:sz w:val="21"/>
              </w:rPr>
              <w:t>网络</w:t>
            </w:r>
          </w:p>
        </w:tc>
        <w:tc>
          <w:tcPr>
            <w:tcW w:type="dxa" w:w="2910"/>
          </w:tcPr>
          <w:p>
            <w:pPr>
              <w:spacing w:line="240" w:lineRule="auto" w:after="40"/>
              <w:jc w:val="center"/>
            </w:pPr>
            <w:r/>
            <w:r>
              <w:rPr>
                <w:rFonts w:ascii="Times New Roman" w:hAnsi="Times New Roman" w:eastAsia="宋体"/>
                <w:b w:val="0"/>
                <w:sz w:val="21"/>
              </w:rPr>
              <w:t>可选</w:t>
            </w:r>
          </w:p>
        </w:tc>
        <w:tc>
          <w:tcPr>
            <w:tcW w:type="dxa" w:w="2910"/>
          </w:tcPr>
          <w:p>
            <w:pPr>
              <w:spacing w:line="240" w:lineRule="auto" w:after="40"/>
              <w:jc w:val="center"/>
            </w:pPr>
            <w:r/>
            <w:r>
              <w:rPr>
                <w:rFonts w:ascii="Times New Roman" w:hAnsi="Times New Roman" w:eastAsia="宋体"/>
                <w:b w:val="0"/>
                <w:sz w:val="21"/>
              </w:rPr>
              <w:t>仅AI诊断环节需要联网</w:t>
            </w:r>
          </w:p>
        </w:tc>
      </w:tr>
    </w:tbl>
    <w:p>
      <w:pPr>
        <w:spacing w:after="120"/>
      </w:pPr>
    </w:p>
    <w:p>
      <w:pPr>
        <w:spacing w:before="200" w:after="120" w:line="360" w:lineRule="auto"/>
        <w:outlineLvl w:val="1"/>
      </w:pPr>
      <w:r>
        <w:rPr>
          <w:rFonts w:ascii="黑体" w:hAnsi="黑体" w:eastAsia="黑体"/>
          <w:b/>
          <w:sz w:val="28"/>
        </w:rPr>
        <w:t>7.3  数据接入与通信</w:t>
      </w:r>
    </w:p>
    <w:p>
      <w:pPr>
        <w:spacing w:line="360" w:lineRule="auto" w:after="80"/>
        <w:jc w:val="both"/>
        <w:ind w:firstLineChars="200" w:firstLine="560"/>
      </w:pPr>
      <w:r>
        <w:rPr>
          <w:rFonts w:ascii="Times New Roman" w:hAnsi="Times New Roman" w:eastAsia="仿宋"/>
          <w:b w:val="0"/>
          <w:sz w:val="28"/>
        </w:rPr>
        <w:t>（1）AI诊断通信：Qwen-VL诊断通过阿里云DashScope API完成，需用户自行配置API Key并联网调用；影像数据经API传输时由用户按所在单位数据管理要求执行授权与脱敏；</w:t>
      </w:r>
    </w:p>
    <w:p>
      <w:pPr>
        <w:spacing w:line="360" w:lineRule="auto" w:after="80"/>
        <w:jc w:val="both"/>
        <w:ind w:firstLineChars="200" w:firstLine="560"/>
      </w:pPr>
      <w:r>
        <w:rPr>
          <w:rFonts w:ascii="Times New Roman" w:hAnsi="Times New Roman" w:eastAsia="仿宋"/>
          <w:b w:val="0"/>
          <w:sz w:val="28"/>
        </w:rPr>
        <w:t>（2）本地离线模式：YOLOv8n检测、五路CV融合、尺寸量化、面投影定位与报告生成全部支持本地离线运行；离线环境下可跳过AI诊断环节，以人工录入病害信息代替，核心闭环不中断；</w:t>
      </w:r>
    </w:p>
    <w:p>
      <w:pPr>
        <w:spacing w:line="360" w:lineRule="auto" w:after="80"/>
        <w:jc w:val="both"/>
        <w:ind w:firstLineChars="200" w:firstLine="560"/>
      </w:pPr>
      <w:r>
        <w:rPr>
          <w:rFonts w:ascii="Times New Roman" w:hAnsi="Times New Roman" w:eastAsia="仿宋"/>
          <w:b w:val="0"/>
          <w:sz w:val="28"/>
        </w:rPr>
        <w:t>（3）双形态数据衔接：插件与数字孪生平台之间通过病害数据JSON文件衔接，字段规范、可校验，便于留痕与归档。</w:t>
      </w:r>
    </w:p>
    <w:p>
      <w:pPr>
        <w:spacing w:before="120" w:after="280" w:line="360" w:lineRule="auto"/>
        <w:jc w:val="center"/>
        <w:outlineLvl w:val="0"/>
      </w:pPr>
      <w:r>
        <w:br w:type="page"/>
      </w:r>
      <w:r>
        <w:rPr>
          <w:rFonts w:ascii="黑体" w:hAnsi="黑体" w:eastAsia="黑体"/>
          <w:b/>
          <w:sz w:val="32"/>
        </w:rPr>
        <w:t>八、市场与竞争性分析</w:t>
      </w:r>
    </w:p>
    <w:p>
      <w:pPr>
        <w:spacing w:before="200" w:after="120" w:line="360" w:lineRule="auto"/>
        <w:outlineLvl w:val="1"/>
      </w:pPr>
      <w:r>
        <w:rPr>
          <w:rFonts w:ascii="黑体" w:hAnsi="黑体" w:eastAsia="黑体"/>
          <w:b/>
          <w:sz w:val="28"/>
        </w:rPr>
        <w:t>8.1  行业与市场需求</w:t>
      </w:r>
    </w:p>
    <w:p>
      <w:pPr>
        <w:spacing w:line="360" w:lineRule="auto" w:after="80"/>
        <w:jc w:val="both"/>
        <w:ind w:firstLineChars="200" w:firstLine="560"/>
      </w:pPr>
      <w:r>
        <w:rPr>
          <w:rFonts w:ascii="Times New Roman" w:hAnsi="Times New Roman" w:eastAsia="仿宋"/>
          <w:b w:val="0"/>
          <w:sz w:val="28"/>
        </w:rPr>
        <w:t>（1）存量规模：截至2025年底，全国公路桥梁已超过100万座，大量桥梁进入运维期，定期检测与经常性检查任务繁重（本说明书仅引用公开总量口径，不估算具体市场金额）；</w:t>
      </w:r>
    </w:p>
    <w:p>
      <w:pPr>
        <w:spacing w:line="360" w:lineRule="auto" w:after="80"/>
        <w:jc w:val="both"/>
        <w:ind w:firstLineChars="200" w:firstLine="560"/>
      </w:pPr>
      <w:r>
        <w:rPr>
          <w:rFonts w:ascii="Times New Roman" w:hAnsi="Times New Roman" w:eastAsia="仿宋"/>
          <w:b w:val="0"/>
          <w:sz w:val="28"/>
        </w:rPr>
        <w:t>（2）需求驱动：检测资质管理趋严、养护决策精细化要求提升，推动检测业务从“人工经验驱动”向“数据驱动”转型；无人机低空采集装备的普及使影像数据获取成本显著降低，为影像智能分析创造了条件；</w:t>
      </w:r>
    </w:p>
    <w:p>
      <w:pPr>
        <w:spacing w:line="360" w:lineRule="auto" w:after="80"/>
        <w:jc w:val="both"/>
        <w:ind w:firstLineChars="200" w:firstLine="560"/>
      </w:pPr>
      <w:r>
        <w:rPr>
          <w:rFonts w:ascii="Times New Roman" w:hAnsi="Times New Roman" w:eastAsia="仿宋"/>
          <w:b w:val="0"/>
          <w:sz w:val="28"/>
        </w:rPr>
        <w:t>（3）基层缺口：基层管养单位普遍存在“设备买得起、软件用不起、人才留不住”的现实约束，低成本、轻量化、免GPU的智能检测工具存在明确需求缺口。</w:t>
      </w:r>
    </w:p>
    <w:p>
      <w:pPr>
        <w:spacing w:before="200" w:after="120" w:line="360" w:lineRule="auto"/>
        <w:outlineLvl w:val="1"/>
      </w:pPr>
      <w:r>
        <w:rPr>
          <w:rFonts w:ascii="黑体" w:hAnsi="黑体" w:eastAsia="黑体"/>
          <w:b/>
          <w:sz w:val="28"/>
        </w:rPr>
        <w:t>8.2  PEST 宏观环境分析</w:t>
      </w:r>
    </w:p>
    <w:p>
      <w:pPr>
        <w:spacing w:line="360" w:lineRule="auto" w:after="80"/>
        <w:jc w:val="both"/>
        <w:ind w:firstLineChars="200" w:firstLine="560"/>
      </w:pPr>
      <w:r>
        <w:rPr>
          <w:rFonts w:ascii="Times New Roman" w:hAnsi="Times New Roman" w:eastAsia="仿宋"/>
          <w:b w:val="0"/>
          <w:sz w:val="28"/>
        </w:rPr>
        <w:t>从政治、经济、社会、技术四个维度分析项目宏观环境，如图 8-1 所示：</w:t>
      </w:r>
    </w:p>
    <w:p>
      <w:pPr>
        <w:spacing w:line="360" w:lineRule="auto" w:after="80"/>
        <w:jc w:val="both"/>
        <w:ind w:firstLineChars="200" w:firstLine="560"/>
      </w:pPr>
      <w:r>
        <w:rPr>
          <w:rFonts w:ascii="Times New Roman" w:hAnsi="Times New Roman" w:eastAsia="仿宋"/>
          <w:b w:val="0"/>
          <w:sz w:val="28"/>
        </w:rPr>
        <w:t>（1）政治（P）：交通强国、数字中国战略持续推进，基础设施数字化与养护智能化获政策支持；关键软件自主可控导向为国产BIM引擎生态带来发展机遇；</w:t>
      </w:r>
    </w:p>
    <w:p>
      <w:pPr>
        <w:spacing w:line="360" w:lineRule="auto" w:after="80"/>
        <w:jc w:val="both"/>
        <w:ind w:firstLineChars="200" w:firstLine="560"/>
      </w:pPr>
      <w:r>
        <w:rPr>
          <w:rFonts w:ascii="Times New Roman" w:hAnsi="Times New Roman" w:eastAsia="仿宋"/>
          <w:b w:val="0"/>
          <w:sz w:val="28"/>
        </w:rPr>
        <w:t>（2）经济（E）：基础设施存量运维期到来，检测养护投入持续增长；降本增效诉求推动检测单位采用数字化工具；</w:t>
      </w:r>
    </w:p>
    <w:p>
      <w:pPr>
        <w:spacing w:line="360" w:lineRule="auto" w:after="80"/>
        <w:jc w:val="both"/>
        <w:ind w:firstLineChars="200" w:firstLine="560"/>
      </w:pPr>
      <w:r>
        <w:rPr>
          <w:rFonts w:ascii="Times New Roman" w:hAnsi="Times New Roman" w:eastAsia="仿宋"/>
          <w:b w:val="0"/>
          <w:sz w:val="28"/>
        </w:rPr>
        <w:t>（3）社会（S）：公众出行安全意识提升，桥梁安全事件社会关注度高；检测人员高空作业风险与老龄化和用工短缺问题凸显，机器换人需求迫切；</w:t>
      </w:r>
    </w:p>
    <w:p>
      <w:pPr>
        <w:spacing w:line="360" w:lineRule="auto" w:after="80"/>
        <w:jc w:val="both"/>
        <w:ind w:firstLineChars="200" w:firstLine="560"/>
      </w:pPr>
      <w:r>
        <w:rPr>
          <w:rFonts w:ascii="Times New Roman" w:hAnsi="Times New Roman" w:eastAsia="仿宋"/>
          <w:b w:val="0"/>
          <w:sz w:val="28"/>
        </w:rPr>
        <w:t>（4）技术（T）：深度学习目标检测、多模态大模型、WebGL三维渲染等技术成熟并开源化，为轻量级工程落地提供了技术底座。</w:t>
      </w:r>
    </w:p>
    <w:p>
      <w:pPr>
        <w:spacing w:before="120" w:after="40"/>
        <w:jc w:val="center"/>
      </w:pPr>
      <w:r>
        <w:drawing>
          <wp:inline xmlns:a="http://schemas.openxmlformats.org/drawingml/2006/main" xmlns:pic="http://schemas.openxmlformats.org/drawingml/2006/picture">
            <wp:extent cx="5400000" cy="3780000"/>
            <wp:docPr id="16" name="Picture 16"/>
            <wp:cNvGraphicFramePr>
              <a:graphicFrameLocks noChangeAspect="1"/>
            </wp:cNvGraphicFramePr>
            <a:graphic>
              <a:graphicData uri="http://schemas.openxmlformats.org/drawingml/2006/picture">
                <pic:pic>
                  <pic:nvPicPr>
                    <pic:cNvPr id="0" name="分析图_PEST.png"/>
                    <pic:cNvPicPr/>
                  </pic:nvPicPr>
                  <pic:blipFill>
                    <a:blip r:embed="rId25"/>
                    <a:stretch>
                      <a:fillRect/>
                    </a:stretch>
                  </pic:blipFill>
                  <pic:spPr>
                    <a:xfrm>
                      <a:off x="0" y="0"/>
                      <a:ext cx="5400000" cy="3780000"/>
                    </a:xfrm>
                    <a:prstGeom prst="rect"/>
                  </pic:spPr>
                </pic:pic>
              </a:graphicData>
            </a:graphic>
          </wp:inline>
        </w:drawing>
      </w:r>
    </w:p>
    <w:p>
      <w:pPr>
        <w:spacing w:after="200" w:line="240" w:lineRule="auto"/>
        <w:jc w:val="center"/>
      </w:pPr>
      <w:r>
        <w:rPr>
          <w:rFonts w:ascii="Times New Roman" w:hAnsi="Times New Roman" w:eastAsia="宋体"/>
          <w:b w:val="0"/>
          <w:sz w:val="18"/>
        </w:rPr>
        <w:t>图 8-1  PEST 宏观环境分析</w:t>
      </w:r>
    </w:p>
    <w:p>
      <w:pPr>
        <w:spacing w:before="200" w:after="120" w:line="360" w:lineRule="auto"/>
        <w:outlineLvl w:val="1"/>
      </w:pPr>
      <w:r>
        <w:rPr>
          <w:rFonts w:ascii="黑体" w:hAnsi="黑体" w:eastAsia="黑体"/>
          <w:b/>
          <w:sz w:val="28"/>
        </w:rPr>
        <w:t>8.3  竞争格局与差异化对比</w:t>
      </w:r>
    </w:p>
    <w:p>
      <w:pPr>
        <w:spacing w:line="360" w:lineRule="auto" w:after="80"/>
        <w:jc w:val="both"/>
        <w:ind w:firstLineChars="200" w:firstLine="560"/>
      </w:pPr>
      <w:r>
        <w:rPr>
          <w:rFonts w:ascii="Times New Roman" w:hAnsi="Times New Roman" w:eastAsia="仿宋"/>
          <w:b w:val="0"/>
          <w:sz w:val="28"/>
        </w:rPr>
        <w:t>本方案与三类现有路线的差异化对比如表 8-1 所示。</w:t>
      </w:r>
    </w:p>
    <w:p>
      <w:pPr>
        <w:spacing w:before="120" w:after="40" w:line="240" w:lineRule="auto"/>
        <w:jc w:val="center"/>
      </w:pPr>
      <w:r>
        <w:rPr>
          <w:rFonts w:ascii="Times New Roman" w:hAnsi="Times New Roman" w:eastAsia="宋体"/>
          <w:b w:val="0"/>
          <w:sz w:val="18"/>
        </w:rPr>
        <w:t>表 8-1  竞争格局差异化对比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对比维度</w:t>
            </w:r>
          </w:p>
        </w:tc>
        <w:tc>
          <w:tcPr>
            <w:tcW w:type="dxa" w:w="1746"/>
            <w:shd w:val="clear" w:fill="D9E2F3"/>
          </w:tcPr>
          <w:p>
            <w:pPr>
              <w:spacing w:line="240" w:lineRule="auto" w:after="40"/>
              <w:jc w:val="center"/>
            </w:pPr>
            <w:r/>
            <w:r>
              <w:rPr>
                <w:rFonts w:ascii="Times New Roman" w:hAnsi="Times New Roman" w:eastAsia="宋体"/>
                <w:b/>
                <w:sz w:val="21"/>
              </w:rPr>
              <w:t>国外商业BIM软件</w:t>
            </w:r>
          </w:p>
        </w:tc>
        <w:tc>
          <w:tcPr>
            <w:tcW w:type="dxa" w:w="1746"/>
            <w:shd w:val="clear" w:fill="D9E2F3"/>
          </w:tcPr>
          <w:p>
            <w:pPr>
              <w:spacing w:line="240" w:lineRule="auto" w:after="40"/>
              <w:jc w:val="center"/>
            </w:pPr>
            <w:r/>
            <w:r>
              <w:rPr>
                <w:rFonts w:ascii="Times New Roman" w:hAnsi="Times New Roman" w:eastAsia="宋体"/>
                <w:b/>
                <w:sz w:val="21"/>
              </w:rPr>
              <w:t>传统人工检测</w:t>
            </w:r>
          </w:p>
        </w:tc>
        <w:tc>
          <w:tcPr>
            <w:tcW w:type="dxa" w:w="1746"/>
            <w:shd w:val="clear" w:fill="D9E2F3"/>
          </w:tcPr>
          <w:p>
            <w:pPr>
              <w:spacing w:line="240" w:lineRule="auto" w:after="40"/>
              <w:jc w:val="center"/>
            </w:pPr>
            <w:r/>
            <w:r>
              <w:rPr>
                <w:rFonts w:ascii="Times New Roman" w:hAnsi="Times New Roman" w:eastAsia="宋体"/>
                <w:b/>
                <w:sz w:val="21"/>
              </w:rPr>
              <w:t>点云摄影测量方案</w:t>
            </w:r>
          </w:p>
        </w:tc>
        <w:tc>
          <w:tcPr>
            <w:tcW w:type="dxa" w:w="1746"/>
            <w:shd w:val="clear" w:fill="D9E2F3"/>
          </w:tcPr>
          <w:p>
            <w:pPr>
              <w:spacing w:line="240" w:lineRule="auto" w:after="40"/>
              <w:jc w:val="center"/>
            </w:pPr>
            <w:r/>
            <w:r>
              <w:rPr>
                <w:rFonts w:ascii="Times New Roman" w:hAnsi="Times New Roman" w:eastAsia="宋体"/>
                <w:b/>
                <w:sz w:val="21"/>
              </w:rPr>
              <w:t>本方案</w:t>
            </w:r>
          </w:p>
        </w:tc>
      </w:tr>
      <w:tr>
        <w:tc>
          <w:tcPr>
            <w:tcW w:type="dxa" w:w="1746"/>
          </w:tcPr>
          <w:p>
            <w:pPr>
              <w:spacing w:line="240" w:lineRule="auto" w:after="40"/>
              <w:jc w:val="center"/>
            </w:pPr>
            <w:r/>
            <w:r>
              <w:rPr>
                <w:rFonts w:ascii="Times New Roman" w:hAnsi="Times New Roman" w:eastAsia="宋体"/>
                <w:b w:val="0"/>
                <w:sz w:val="21"/>
              </w:rPr>
              <w:t>软件成本</w:t>
            </w:r>
          </w:p>
        </w:tc>
        <w:tc>
          <w:tcPr>
            <w:tcW w:type="dxa" w:w="1746"/>
          </w:tcPr>
          <w:p>
            <w:pPr>
              <w:spacing w:line="240" w:lineRule="auto" w:after="40"/>
              <w:jc w:val="center"/>
            </w:pPr>
            <w:r/>
            <w:r>
              <w:rPr>
                <w:rFonts w:ascii="Times New Roman" w:hAnsi="Times New Roman" w:eastAsia="宋体"/>
                <w:b w:val="0"/>
                <w:sz w:val="21"/>
              </w:rPr>
              <w:t>授权费用高</w:t>
            </w:r>
          </w:p>
        </w:tc>
        <w:tc>
          <w:tcPr>
            <w:tcW w:type="dxa" w:w="1746"/>
          </w:tcPr>
          <w:p>
            <w:pPr>
              <w:spacing w:line="240" w:lineRule="auto" w:after="40"/>
              <w:jc w:val="center"/>
            </w:pPr>
            <w:r/>
            <w:r>
              <w:rPr>
                <w:rFonts w:ascii="Times New Roman" w:hAnsi="Times New Roman" w:eastAsia="宋体"/>
                <w:b w:val="0"/>
                <w:sz w:val="21"/>
              </w:rPr>
              <w:t>无软件成本</w:t>
            </w:r>
          </w:p>
        </w:tc>
        <w:tc>
          <w:tcPr>
            <w:tcW w:type="dxa" w:w="1746"/>
          </w:tcPr>
          <w:p>
            <w:pPr>
              <w:spacing w:line="240" w:lineRule="auto" w:after="40"/>
              <w:jc w:val="center"/>
            </w:pPr>
            <w:r/>
            <w:r>
              <w:rPr>
                <w:rFonts w:ascii="Times New Roman" w:hAnsi="Times New Roman" w:eastAsia="宋体"/>
                <w:b w:val="0"/>
                <w:sz w:val="21"/>
              </w:rPr>
              <w:t>重建软件与算力成本高</w:t>
            </w:r>
          </w:p>
        </w:tc>
        <w:tc>
          <w:tcPr>
            <w:tcW w:type="dxa" w:w="1746"/>
          </w:tcPr>
          <w:p>
            <w:pPr>
              <w:spacing w:line="240" w:lineRule="auto" w:after="40"/>
              <w:jc w:val="center"/>
            </w:pPr>
            <w:r/>
            <w:r>
              <w:rPr>
                <w:rFonts w:ascii="Times New Roman" w:hAnsi="Times New Roman" w:eastAsia="宋体"/>
                <w:b w:val="0"/>
                <w:sz w:val="21"/>
              </w:rPr>
              <w:t>插件轻量、平台免安装</w:t>
            </w:r>
          </w:p>
        </w:tc>
      </w:tr>
      <w:tr>
        <w:tc>
          <w:tcPr>
            <w:tcW w:type="dxa" w:w="1746"/>
          </w:tcPr>
          <w:p>
            <w:pPr>
              <w:spacing w:line="240" w:lineRule="auto" w:after="40"/>
              <w:jc w:val="center"/>
            </w:pPr>
            <w:r/>
            <w:r>
              <w:rPr>
                <w:rFonts w:ascii="Times New Roman" w:hAnsi="Times New Roman" w:eastAsia="宋体"/>
                <w:b w:val="0"/>
                <w:sz w:val="21"/>
              </w:rPr>
              <w:t>硬件门槛</w:t>
            </w:r>
          </w:p>
        </w:tc>
        <w:tc>
          <w:tcPr>
            <w:tcW w:type="dxa" w:w="1746"/>
          </w:tcPr>
          <w:p>
            <w:pPr>
              <w:spacing w:line="240" w:lineRule="auto" w:after="40"/>
              <w:jc w:val="center"/>
            </w:pPr>
            <w:r/>
            <w:r>
              <w:rPr>
                <w:rFonts w:ascii="Times New Roman" w:hAnsi="Times New Roman" w:eastAsia="宋体"/>
                <w:b w:val="0"/>
                <w:sz w:val="21"/>
              </w:rPr>
              <w:t>需高配工作站</w:t>
            </w:r>
          </w:p>
        </w:tc>
        <w:tc>
          <w:tcPr>
            <w:tcW w:type="dxa" w:w="1746"/>
          </w:tcPr>
          <w:p>
            <w:pPr>
              <w:spacing w:line="240" w:lineRule="auto" w:after="40"/>
              <w:jc w:val="center"/>
            </w:pPr>
            <w:r/>
            <w:r>
              <w:rPr>
                <w:rFonts w:ascii="Times New Roman" w:hAnsi="Times New Roman" w:eastAsia="宋体"/>
                <w:b w:val="0"/>
                <w:sz w:val="21"/>
              </w:rPr>
              <w:t>桥检车等装备</w:t>
            </w:r>
          </w:p>
        </w:tc>
        <w:tc>
          <w:tcPr>
            <w:tcW w:type="dxa" w:w="1746"/>
          </w:tcPr>
          <w:p>
            <w:pPr>
              <w:spacing w:line="240" w:lineRule="auto" w:after="40"/>
              <w:jc w:val="center"/>
            </w:pPr>
            <w:r/>
            <w:r>
              <w:rPr>
                <w:rFonts w:ascii="Times New Roman" w:hAnsi="Times New Roman" w:eastAsia="宋体"/>
                <w:b w:val="0"/>
                <w:sz w:val="21"/>
              </w:rPr>
              <w:t>需扫描设备与算力</w:t>
            </w:r>
          </w:p>
        </w:tc>
        <w:tc>
          <w:tcPr>
            <w:tcW w:type="dxa" w:w="1746"/>
          </w:tcPr>
          <w:p>
            <w:pPr>
              <w:spacing w:line="240" w:lineRule="auto" w:after="40"/>
              <w:jc w:val="center"/>
            </w:pPr>
            <w:r/>
            <w:r>
              <w:rPr>
                <w:rFonts w:ascii="Times New Roman" w:hAnsi="Times New Roman" w:eastAsia="宋体"/>
                <w:b w:val="0"/>
                <w:sz w:val="21"/>
              </w:rPr>
              <w:t>普通笔记本＋消费级无人机</w:t>
            </w:r>
          </w:p>
        </w:tc>
      </w:tr>
      <w:tr>
        <w:tc>
          <w:tcPr>
            <w:tcW w:type="dxa" w:w="1746"/>
          </w:tcPr>
          <w:p>
            <w:pPr>
              <w:spacing w:line="240" w:lineRule="auto" w:after="40"/>
              <w:jc w:val="center"/>
            </w:pPr>
            <w:r/>
            <w:r>
              <w:rPr>
                <w:rFonts w:ascii="Times New Roman" w:hAnsi="Times New Roman" w:eastAsia="宋体"/>
                <w:b w:val="0"/>
                <w:sz w:val="21"/>
              </w:rPr>
              <w:t>智能识别</w:t>
            </w:r>
          </w:p>
        </w:tc>
        <w:tc>
          <w:tcPr>
            <w:tcW w:type="dxa" w:w="1746"/>
          </w:tcPr>
          <w:p>
            <w:pPr>
              <w:spacing w:line="240" w:lineRule="auto" w:after="40"/>
              <w:jc w:val="center"/>
            </w:pPr>
            <w:r/>
            <w:r>
              <w:rPr>
                <w:rFonts w:ascii="Times New Roman" w:hAnsi="Times New Roman" w:eastAsia="宋体"/>
                <w:b w:val="0"/>
                <w:sz w:val="21"/>
              </w:rPr>
              <w:t>多需二次开发</w:t>
            </w:r>
          </w:p>
        </w:tc>
        <w:tc>
          <w:tcPr>
            <w:tcW w:type="dxa" w:w="1746"/>
          </w:tcPr>
          <w:p>
            <w:pPr>
              <w:spacing w:line="240" w:lineRule="auto" w:after="40"/>
              <w:jc w:val="center"/>
            </w:pPr>
            <w:r/>
            <w:r>
              <w:rPr>
                <w:rFonts w:ascii="Times New Roman" w:hAnsi="Times New Roman" w:eastAsia="宋体"/>
                <w:b w:val="0"/>
                <w:sz w:val="21"/>
              </w:rPr>
              <w:t>依赖人工经验</w:t>
            </w:r>
          </w:p>
        </w:tc>
        <w:tc>
          <w:tcPr>
            <w:tcW w:type="dxa" w:w="1746"/>
          </w:tcPr>
          <w:p>
            <w:pPr>
              <w:spacing w:line="240" w:lineRule="auto" w:after="40"/>
              <w:jc w:val="center"/>
            </w:pPr>
            <w:r/>
            <w:r>
              <w:rPr>
                <w:rFonts w:ascii="Times New Roman" w:hAnsi="Times New Roman" w:eastAsia="宋体"/>
                <w:b w:val="0"/>
                <w:sz w:val="21"/>
              </w:rPr>
              <w:t>侧重几何重建</w:t>
            </w:r>
          </w:p>
        </w:tc>
        <w:tc>
          <w:tcPr>
            <w:tcW w:type="dxa" w:w="1746"/>
          </w:tcPr>
          <w:p>
            <w:pPr>
              <w:spacing w:line="240" w:lineRule="auto" w:after="40"/>
              <w:jc w:val="center"/>
            </w:pPr>
            <w:r/>
            <w:r>
              <w:rPr>
                <w:rFonts w:ascii="Times New Roman" w:hAnsi="Times New Roman" w:eastAsia="宋体"/>
                <w:b w:val="0"/>
                <w:sz w:val="21"/>
              </w:rPr>
              <w:t>YOLOv8＋五路CV双模式内置</w:t>
            </w:r>
          </w:p>
        </w:tc>
      </w:tr>
      <w:tr>
        <w:tc>
          <w:tcPr>
            <w:tcW w:type="dxa" w:w="1746"/>
          </w:tcPr>
          <w:p>
            <w:pPr>
              <w:spacing w:line="240" w:lineRule="auto" w:after="40"/>
              <w:jc w:val="center"/>
            </w:pPr>
            <w:r/>
            <w:r>
              <w:rPr>
                <w:rFonts w:ascii="Times New Roman" w:hAnsi="Times New Roman" w:eastAsia="宋体"/>
                <w:b w:val="0"/>
                <w:sz w:val="21"/>
              </w:rPr>
              <w:t>三维定位</w:t>
            </w:r>
          </w:p>
        </w:tc>
        <w:tc>
          <w:tcPr>
            <w:tcW w:type="dxa" w:w="1746"/>
          </w:tcPr>
          <w:p>
            <w:pPr>
              <w:spacing w:line="240" w:lineRule="auto" w:after="40"/>
              <w:jc w:val="center"/>
            </w:pPr>
            <w:r/>
            <w:r>
              <w:rPr>
                <w:rFonts w:ascii="Times New Roman" w:hAnsi="Times New Roman" w:eastAsia="宋体"/>
                <w:b w:val="0"/>
                <w:sz w:val="21"/>
              </w:rPr>
              <w:t>依赖完整BIM流程</w:t>
            </w:r>
          </w:p>
        </w:tc>
        <w:tc>
          <w:tcPr>
            <w:tcW w:type="dxa" w:w="1746"/>
          </w:tcPr>
          <w:p>
            <w:pPr>
              <w:spacing w:line="240" w:lineRule="auto" w:after="40"/>
              <w:jc w:val="center"/>
            </w:pPr>
            <w:r/>
            <w:r>
              <w:rPr>
                <w:rFonts w:ascii="Times New Roman" w:hAnsi="Times New Roman" w:eastAsia="宋体"/>
                <w:b w:val="0"/>
                <w:sz w:val="21"/>
              </w:rPr>
              <w:t>文字描述位置</w:t>
            </w:r>
          </w:p>
        </w:tc>
        <w:tc>
          <w:tcPr>
            <w:tcW w:type="dxa" w:w="1746"/>
          </w:tcPr>
          <w:p>
            <w:pPr>
              <w:spacing w:line="240" w:lineRule="auto" w:after="40"/>
              <w:jc w:val="center"/>
            </w:pPr>
            <w:r/>
            <w:r>
              <w:rPr>
                <w:rFonts w:ascii="Times New Roman" w:hAnsi="Times New Roman" w:eastAsia="宋体"/>
                <w:b w:val="0"/>
                <w:sz w:val="21"/>
              </w:rPr>
              <w:t>点云配准复杂</w:t>
            </w:r>
          </w:p>
        </w:tc>
        <w:tc>
          <w:tcPr>
            <w:tcW w:type="dxa" w:w="1746"/>
          </w:tcPr>
          <w:p>
            <w:pPr>
              <w:spacing w:line="240" w:lineRule="auto" w:after="40"/>
              <w:jc w:val="center"/>
            </w:pPr>
            <w:r/>
            <w:r>
              <w:rPr>
                <w:rFonts w:ascii="Times New Roman" w:hAnsi="Times New Roman" w:eastAsia="宋体"/>
                <w:b w:val="0"/>
                <w:sz w:val="21"/>
              </w:rPr>
              <w:t>解析式面投影，病害直达构件</w:t>
            </w:r>
          </w:p>
        </w:tc>
      </w:tr>
      <w:tr>
        <w:tc>
          <w:tcPr>
            <w:tcW w:type="dxa" w:w="1746"/>
          </w:tcPr>
          <w:p>
            <w:pPr>
              <w:spacing w:line="240" w:lineRule="auto" w:after="40"/>
              <w:jc w:val="center"/>
            </w:pPr>
            <w:r/>
            <w:r>
              <w:rPr>
                <w:rFonts w:ascii="Times New Roman" w:hAnsi="Times New Roman" w:eastAsia="宋体"/>
                <w:b w:val="0"/>
                <w:sz w:val="21"/>
              </w:rPr>
              <w:t>自主可控</w:t>
            </w:r>
          </w:p>
        </w:tc>
        <w:tc>
          <w:tcPr>
            <w:tcW w:type="dxa" w:w="1746"/>
          </w:tcPr>
          <w:p>
            <w:pPr>
              <w:spacing w:line="240" w:lineRule="auto" w:after="40"/>
              <w:jc w:val="center"/>
            </w:pPr>
            <w:r/>
            <w:r>
              <w:rPr>
                <w:rFonts w:ascii="Times New Roman" w:hAnsi="Times New Roman" w:eastAsia="宋体"/>
                <w:b w:val="0"/>
                <w:sz w:val="21"/>
              </w:rPr>
              <w:t>国外引擎</w:t>
            </w:r>
          </w:p>
        </w:tc>
        <w:tc>
          <w:tcPr>
            <w:tcW w:type="dxa" w:w="1746"/>
          </w:tcPr>
          <w:p>
            <w:pPr>
              <w:spacing w:line="240" w:lineRule="auto" w:after="40"/>
              <w:jc w:val="center"/>
            </w:pPr>
            <w:r/>
            <w:r>
              <w:rPr>
                <w:rFonts w:ascii="Times New Roman" w:hAnsi="Times New Roman" w:eastAsia="宋体"/>
                <w:b w:val="0"/>
                <w:sz w:val="21"/>
              </w:rPr>
              <w:t>—</w:t>
            </w:r>
          </w:p>
        </w:tc>
        <w:tc>
          <w:tcPr>
            <w:tcW w:type="dxa" w:w="1746"/>
          </w:tcPr>
          <w:p>
            <w:pPr>
              <w:spacing w:line="240" w:lineRule="auto" w:after="40"/>
              <w:jc w:val="center"/>
            </w:pPr>
            <w:r/>
            <w:r>
              <w:rPr>
                <w:rFonts w:ascii="Times New Roman" w:hAnsi="Times New Roman" w:eastAsia="宋体"/>
                <w:b w:val="0"/>
                <w:sz w:val="21"/>
              </w:rPr>
              <w:t>部分依赖国外软件</w:t>
            </w:r>
          </w:p>
        </w:tc>
        <w:tc>
          <w:tcPr>
            <w:tcW w:type="dxa" w:w="1746"/>
          </w:tcPr>
          <w:p>
            <w:pPr>
              <w:spacing w:line="240" w:lineRule="auto" w:after="40"/>
              <w:jc w:val="center"/>
            </w:pPr>
            <w:r/>
            <w:r>
              <w:rPr>
                <w:rFonts w:ascii="Times New Roman" w:hAnsi="Times New Roman" w:eastAsia="宋体"/>
                <w:b w:val="0"/>
                <w:sz w:val="21"/>
              </w:rPr>
              <w:t>国产BIMBase引擎＋开源生态</w:t>
            </w:r>
          </w:p>
        </w:tc>
      </w:tr>
      <w:tr>
        <w:tc>
          <w:tcPr>
            <w:tcW w:type="dxa" w:w="1746"/>
          </w:tcPr>
          <w:p>
            <w:pPr>
              <w:spacing w:line="240" w:lineRule="auto" w:after="40"/>
              <w:jc w:val="center"/>
            </w:pPr>
            <w:r/>
            <w:r>
              <w:rPr>
                <w:rFonts w:ascii="Times New Roman" w:hAnsi="Times New Roman" w:eastAsia="宋体"/>
                <w:b w:val="0"/>
                <w:sz w:val="21"/>
              </w:rPr>
              <w:t>报告输出</w:t>
            </w:r>
          </w:p>
        </w:tc>
        <w:tc>
          <w:tcPr>
            <w:tcW w:type="dxa" w:w="1746"/>
          </w:tcPr>
          <w:p>
            <w:pPr>
              <w:spacing w:line="240" w:lineRule="auto" w:after="40"/>
              <w:jc w:val="center"/>
            </w:pPr>
            <w:r/>
            <w:r>
              <w:rPr>
                <w:rFonts w:ascii="Times New Roman" w:hAnsi="Times New Roman" w:eastAsia="宋体"/>
                <w:b w:val="0"/>
                <w:sz w:val="21"/>
              </w:rPr>
              <w:t>需定制开发</w:t>
            </w:r>
          </w:p>
        </w:tc>
        <w:tc>
          <w:tcPr>
            <w:tcW w:type="dxa" w:w="1746"/>
          </w:tcPr>
          <w:p>
            <w:pPr>
              <w:spacing w:line="240" w:lineRule="auto" w:after="40"/>
              <w:jc w:val="center"/>
            </w:pPr>
            <w:r/>
            <w:r>
              <w:rPr>
                <w:rFonts w:ascii="Times New Roman" w:hAnsi="Times New Roman" w:eastAsia="宋体"/>
                <w:b w:val="0"/>
                <w:sz w:val="21"/>
              </w:rPr>
              <w:t>手工编制</w:t>
            </w:r>
          </w:p>
        </w:tc>
        <w:tc>
          <w:tcPr>
            <w:tcW w:type="dxa" w:w="1746"/>
          </w:tcPr>
          <w:p>
            <w:pPr>
              <w:spacing w:line="240" w:lineRule="auto" w:after="40"/>
              <w:jc w:val="center"/>
            </w:pPr>
            <w:r/>
            <w:r>
              <w:rPr>
                <w:rFonts w:ascii="Times New Roman" w:hAnsi="Times New Roman" w:eastAsia="宋体"/>
                <w:b w:val="0"/>
                <w:sz w:val="21"/>
              </w:rPr>
              <w:t>需二次加工</w:t>
            </w:r>
          </w:p>
        </w:tc>
        <w:tc>
          <w:tcPr>
            <w:tcW w:type="dxa" w:w="1746"/>
          </w:tcPr>
          <w:p>
            <w:pPr>
              <w:spacing w:line="240" w:lineRule="auto" w:after="40"/>
              <w:jc w:val="center"/>
            </w:pPr>
            <w:r/>
            <w:r>
              <w:rPr>
                <w:rFonts w:ascii="Times New Roman" w:hAnsi="Times New Roman" w:eastAsia="宋体"/>
                <w:b w:val="0"/>
                <w:sz w:val="21"/>
              </w:rPr>
              <w:t>一键生成规范Word报告</w:t>
            </w:r>
          </w:p>
        </w:tc>
      </w:tr>
    </w:tbl>
    <w:p>
      <w:pPr>
        <w:spacing w:after="120"/>
      </w:pPr>
    </w:p>
    <w:p>
      <w:pPr>
        <w:spacing w:line="360" w:lineRule="auto" w:after="80"/>
        <w:jc w:val="both"/>
        <w:ind w:firstLineChars="200" w:firstLine="560"/>
      </w:pPr>
      <w:r>
        <w:rPr>
          <w:rFonts w:ascii="Times New Roman" w:hAnsi="Times New Roman" w:eastAsia="仿宋"/>
          <w:b w:val="0"/>
          <w:sz w:val="28"/>
        </w:rPr>
        <w:t>差异化定位：本方案不与大型商业软件正面竞争，而是面向基层检测单位与管养单位提供“够用、好用、用得起”的轻量化数字化工具，以双形态交付覆盖内业处理与成果展示两类需求，如表 8-1 所示。</w:t>
      </w:r>
    </w:p>
    <w:p>
      <w:pPr>
        <w:spacing w:before="200" w:after="120" w:line="360" w:lineRule="auto"/>
        <w:outlineLvl w:val="1"/>
      </w:pPr>
      <w:r>
        <w:rPr>
          <w:rFonts w:ascii="黑体" w:hAnsi="黑体" w:eastAsia="黑体"/>
          <w:b/>
          <w:sz w:val="28"/>
        </w:rPr>
        <w:t>8.4  商业模式与成果转化路径</w:t>
      </w:r>
    </w:p>
    <w:p>
      <w:pPr>
        <w:spacing w:line="360" w:lineRule="auto" w:after="80"/>
        <w:jc w:val="both"/>
        <w:ind w:firstLineChars="200" w:firstLine="560"/>
      </w:pPr>
      <w:r>
        <w:rPr>
          <w:rFonts w:ascii="Times New Roman" w:hAnsi="Times New Roman" w:eastAsia="仿宋"/>
          <w:b w:val="0"/>
          <w:sz w:val="28"/>
        </w:rPr>
        <w:t>（1）商业模式：插件授权（License年费，面向检测单位与管养单位）；检测服务（按项目收费，提供数据处理＋AI分析＋报告生成服务）；平台订阅（数字孪生平台账号订阅、病害档案托管与多期对比分析）；</w:t>
      </w:r>
    </w:p>
    <w:p>
      <w:pPr>
        <w:spacing w:line="360" w:lineRule="auto" w:after="80"/>
        <w:jc w:val="both"/>
        <w:ind w:firstLineChars="200" w:firstLine="560"/>
      </w:pPr>
      <w:r>
        <w:rPr>
          <w:rFonts w:ascii="Times New Roman" w:hAnsi="Times New Roman" w:eastAsia="仿宋"/>
          <w:b w:val="0"/>
          <w:sz w:val="28"/>
        </w:rPr>
        <w:t>（2）阶段定位：项目当前处于小试阶段，核心功能已在真实工程BIM模型上完成全流程贯通验证，基线指标如实可查；</w:t>
      </w:r>
    </w:p>
    <w:p>
      <w:pPr>
        <w:spacing w:line="360" w:lineRule="auto" w:after="80"/>
        <w:jc w:val="both"/>
        <w:ind w:firstLineChars="200" w:firstLine="560"/>
      </w:pPr>
      <w:r>
        <w:rPr>
          <w:rFonts w:ascii="Times New Roman" w:hAnsi="Times New Roman" w:eastAsia="仿宋"/>
          <w:b w:val="0"/>
          <w:sz w:val="28"/>
        </w:rPr>
        <w:t>（3）转化路径：第一步，检测单位工具化落地，以插件授权与按项目服务切入；第二步，平台订阅推广，依托数字孪生平台提供病害档案与劣化趋势服务；第三步，桥隧全域推广，将方法迁移至隧道、房屋等基础设施检测场景。本方案落地门槛低，普通无人机加笔记本电脑即可完成部署，契合基层管养单位预算。</w:t>
      </w:r>
    </w:p>
    <w:p>
      <w:pPr>
        <w:spacing w:before="200" w:after="120" w:line="360" w:lineRule="auto"/>
        <w:outlineLvl w:val="1"/>
      </w:pPr>
      <w:r>
        <w:rPr>
          <w:rFonts w:ascii="黑体" w:hAnsi="黑体" w:eastAsia="黑体"/>
          <w:b/>
          <w:sz w:val="28"/>
        </w:rPr>
        <w:t>8.5  社会效益</w:t>
      </w:r>
    </w:p>
    <w:p>
      <w:pPr>
        <w:spacing w:line="360" w:lineRule="auto" w:after="80"/>
        <w:jc w:val="both"/>
        <w:ind w:firstLineChars="200" w:firstLine="560"/>
      </w:pPr>
      <w:r>
        <w:rPr>
          <w:rFonts w:ascii="Times New Roman" w:hAnsi="Times New Roman" w:eastAsia="仿宋"/>
          <w:b w:val="0"/>
          <w:sz w:val="28"/>
        </w:rPr>
        <w:t>（1）安全效益：降低检测人员高空抵近作业风险，提升病害早期发现能力，服务公众出行安全；</w:t>
      </w:r>
    </w:p>
    <w:p>
      <w:pPr>
        <w:spacing w:line="360" w:lineRule="auto" w:after="80"/>
        <w:jc w:val="both"/>
        <w:ind w:firstLineChars="200" w:firstLine="560"/>
      </w:pPr>
      <w:r>
        <w:rPr>
          <w:rFonts w:ascii="Times New Roman" w:hAnsi="Times New Roman" w:eastAsia="仿宋"/>
          <w:b w:val="0"/>
          <w:sz w:val="28"/>
        </w:rPr>
        <w:t>（2）行业效益：推动检测数据资产化、标准化，为养护科学决策提供数据支撑；</w:t>
      </w:r>
    </w:p>
    <w:p>
      <w:pPr>
        <w:spacing w:line="360" w:lineRule="auto" w:after="80"/>
        <w:jc w:val="both"/>
        <w:ind w:firstLineChars="200" w:firstLine="560"/>
      </w:pPr>
      <w:r>
        <w:rPr>
          <w:rFonts w:ascii="Times New Roman" w:hAnsi="Times New Roman" w:eastAsia="仿宋"/>
          <w:b w:val="0"/>
          <w:sz w:val="28"/>
        </w:rPr>
        <w:t>（3）育人效益：项目在真实工程场景中锤炼了团队成员的全栈开发与工程实践能力，是产教融合、科教融汇的具体实践。</w:t>
      </w:r>
    </w:p>
    <w:p>
      <w:pPr>
        <w:spacing w:before="120" w:after="280" w:line="360" w:lineRule="auto"/>
        <w:jc w:val="center"/>
        <w:outlineLvl w:val="0"/>
      </w:pPr>
      <w:r>
        <w:br w:type="page"/>
      </w:r>
      <w:r>
        <w:rPr>
          <w:rFonts w:ascii="黑体" w:hAnsi="黑体" w:eastAsia="黑体"/>
          <w:b/>
          <w:sz w:val="32"/>
        </w:rPr>
        <w:t>九、产教协同与团队协作</w:t>
      </w:r>
    </w:p>
    <w:p>
      <w:pPr>
        <w:spacing w:before="200" w:after="120" w:line="360" w:lineRule="auto"/>
        <w:outlineLvl w:val="1"/>
      </w:pPr>
      <w:r>
        <w:rPr>
          <w:rFonts w:ascii="黑体" w:hAnsi="黑体" w:eastAsia="黑体"/>
          <w:b/>
          <w:sz w:val="28"/>
        </w:rPr>
        <w:t>9.1  三方协同机制</w:t>
      </w:r>
    </w:p>
    <w:p>
      <w:pPr>
        <w:spacing w:line="360" w:lineRule="auto" w:after="80"/>
        <w:jc w:val="both"/>
        <w:ind w:firstLineChars="200" w:firstLine="560"/>
      </w:pPr>
      <w:r>
        <w:rPr>
          <w:rFonts w:ascii="Times New Roman" w:hAnsi="Times New Roman" w:eastAsia="仿宋"/>
          <w:b w:val="0"/>
          <w:sz w:val="28"/>
        </w:rPr>
        <w:t>项目按照“企业出题、高校指导、学生攻关、成果服务产业”的模式组织实施，如图 9-1 所示：命题企业发布真实业务命题，并在检测业务流程、数据格式与业务规范方面提供指导；高校教师从土木工程、智能建造、计算机视觉等专业方向把关技术路线；学生团队承担需求分析、方案设计、模型训练、系统开发与案例验证的具体攻关任务。三方通过常态化交流机制将产业真实需求转化为可落地的技术成果。</w:t>
      </w:r>
    </w:p>
    <w:p>
      <w:pPr>
        <w:spacing w:before="120" w:after="40"/>
        <w:jc w:val="center"/>
      </w:pPr>
      <w:r>
        <w:drawing>
          <wp:inline xmlns:a="http://schemas.openxmlformats.org/drawingml/2006/main" xmlns:pic="http://schemas.openxmlformats.org/drawingml/2006/picture">
            <wp:extent cx="5400000" cy="3510000"/>
            <wp:docPr id="17" name="Picture 17"/>
            <wp:cNvGraphicFramePr>
              <a:graphicFrameLocks noChangeAspect="1"/>
            </wp:cNvGraphicFramePr>
            <a:graphic>
              <a:graphicData uri="http://schemas.openxmlformats.org/drawingml/2006/picture">
                <pic:pic>
                  <pic:nvPicPr>
                    <pic:cNvPr id="0" name="示意图_产教协同.png"/>
                    <pic:cNvPicPr/>
                  </pic:nvPicPr>
                  <pic:blipFill>
                    <a:blip r:embed="rId26"/>
                    <a:stretch>
                      <a:fillRect/>
                    </a:stretch>
                  </pic:blipFill>
                  <pic:spPr>
                    <a:xfrm>
                      <a:off x="0" y="0"/>
                      <a:ext cx="5400000" cy="3510000"/>
                    </a:xfrm>
                    <a:prstGeom prst="rect"/>
                  </pic:spPr>
                </pic:pic>
              </a:graphicData>
            </a:graphic>
          </wp:inline>
        </w:drawing>
      </w:r>
    </w:p>
    <w:p>
      <w:pPr>
        <w:spacing w:after="200" w:line="240" w:lineRule="auto"/>
        <w:jc w:val="center"/>
      </w:pPr>
      <w:r>
        <w:rPr>
          <w:rFonts w:ascii="Times New Roman" w:hAnsi="Times New Roman" w:eastAsia="宋体"/>
          <w:b w:val="0"/>
          <w:sz w:val="18"/>
        </w:rPr>
        <w:t>图 9-1  产教协同三方机制</w:t>
      </w:r>
    </w:p>
    <w:p>
      <w:pPr>
        <w:spacing w:before="200" w:after="120" w:line="360" w:lineRule="auto"/>
        <w:outlineLvl w:val="1"/>
      </w:pPr>
      <w:r>
        <w:rPr>
          <w:rFonts w:ascii="黑体" w:hAnsi="黑体" w:eastAsia="黑体"/>
          <w:b/>
          <w:sz w:val="28"/>
        </w:rPr>
        <w:t>9.2  团队分工</w:t>
      </w:r>
    </w:p>
    <w:p>
      <w:pPr>
        <w:spacing w:line="360" w:lineRule="auto" w:after="80"/>
        <w:jc w:val="both"/>
        <w:ind w:firstLineChars="200" w:firstLine="560"/>
      </w:pPr>
      <w:r>
        <w:rPr>
          <w:rFonts w:ascii="Times New Roman" w:hAnsi="Times New Roman" w:eastAsia="仿宋"/>
          <w:b w:val="0"/>
          <w:sz w:val="28"/>
        </w:rPr>
        <w:t>团队按跨专业原则组建，涵盖土木工程、计算机、人工智能、电子信息等专业方向，分工如表 9-1 所示。</w:t>
      </w:r>
    </w:p>
    <w:p>
      <w:pPr>
        <w:spacing w:before="120" w:after="40" w:line="240" w:lineRule="auto"/>
        <w:jc w:val="center"/>
      </w:pPr>
      <w:r>
        <w:rPr>
          <w:rFonts w:ascii="Times New Roman" w:hAnsi="Times New Roman" w:eastAsia="宋体"/>
          <w:b w:val="0"/>
          <w:sz w:val="18"/>
        </w:rPr>
        <w:t>表 9-1  团队分工表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角色</w:t>
            </w:r>
          </w:p>
        </w:tc>
        <w:tc>
          <w:tcPr>
            <w:tcW w:type="dxa" w:w="2183"/>
            <w:shd w:val="clear" w:fill="D9E2F3"/>
          </w:tcPr>
          <w:p>
            <w:pPr>
              <w:spacing w:line="240" w:lineRule="auto" w:after="40"/>
              <w:jc w:val="center"/>
            </w:pPr>
            <w:r/>
            <w:r>
              <w:rPr>
                <w:rFonts w:ascii="Times New Roman" w:hAnsi="Times New Roman" w:eastAsia="宋体"/>
                <w:b/>
                <w:sz w:val="21"/>
              </w:rPr>
              <w:t>姓名</w:t>
            </w:r>
          </w:p>
        </w:tc>
        <w:tc>
          <w:tcPr>
            <w:tcW w:type="dxa" w:w="2183"/>
            <w:shd w:val="clear" w:fill="D9E2F3"/>
          </w:tcPr>
          <w:p>
            <w:pPr>
              <w:spacing w:line="240" w:lineRule="auto" w:after="40"/>
              <w:jc w:val="center"/>
            </w:pPr>
            <w:r/>
            <w:r>
              <w:rPr>
                <w:rFonts w:ascii="Times New Roman" w:hAnsi="Times New Roman" w:eastAsia="宋体"/>
                <w:b/>
                <w:sz w:val="21"/>
              </w:rPr>
              <w:t>专业方向</w:t>
            </w:r>
          </w:p>
        </w:tc>
        <w:tc>
          <w:tcPr>
            <w:tcW w:type="dxa" w:w="2183"/>
            <w:shd w:val="clear" w:fill="D9E2F3"/>
          </w:tcPr>
          <w:p>
            <w:pPr>
              <w:spacing w:line="240" w:lineRule="auto" w:after="40"/>
              <w:jc w:val="center"/>
            </w:pPr>
            <w:r/>
            <w:r>
              <w:rPr>
                <w:rFonts w:ascii="Times New Roman" w:hAnsi="Times New Roman" w:eastAsia="宋体"/>
                <w:b/>
                <w:sz w:val="21"/>
              </w:rPr>
              <w:t>主要分工</w:t>
            </w:r>
          </w:p>
        </w:tc>
      </w:tr>
      <w:tr>
        <w:tc>
          <w:tcPr>
            <w:tcW w:type="dxa" w:w="2183"/>
          </w:tcPr>
          <w:p>
            <w:pPr>
              <w:spacing w:line="240" w:lineRule="auto" w:after="40"/>
              <w:jc w:val="center"/>
            </w:pPr>
            <w:r/>
            <w:r>
              <w:rPr>
                <w:rFonts w:ascii="Times New Roman" w:hAnsi="Times New Roman" w:eastAsia="宋体"/>
                <w:b w:val="0"/>
                <w:sz w:val="21"/>
              </w:rPr>
              <w:t>项目负责人</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总体统筹、进度管理、命题对接与答辩组织</w:t>
            </w:r>
          </w:p>
        </w:tc>
      </w:tr>
      <w:tr>
        <w:tc>
          <w:tcPr>
            <w:tcW w:type="dxa" w:w="2183"/>
          </w:tcPr>
          <w:p>
            <w:pPr>
              <w:spacing w:line="240" w:lineRule="auto" w:after="40"/>
              <w:jc w:val="center"/>
            </w:pPr>
            <w:r/>
            <w:r>
              <w:rPr>
                <w:rFonts w:ascii="Times New Roman" w:hAnsi="Times New Roman" w:eastAsia="宋体"/>
                <w:b w:val="0"/>
                <w:sz w:val="21"/>
              </w:rPr>
              <w:t>模型训练与数据集建设</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数据集整理标注、YOLOv8n训练优化、五路CV算法实现</w:t>
            </w:r>
          </w:p>
        </w:tc>
      </w:tr>
      <w:tr>
        <w:tc>
          <w:tcPr>
            <w:tcW w:type="dxa" w:w="2183"/>
          </w:tcPr>
          <w:p>
            <w:pPr>
              <w:spacing w:line="240" w:lineRule="auto" w:after="40"/>
              <w:jc w:val="center"/>
            </w:pPr>
            <w:r/>
            <w:r>
              <w:rPr>
                <w:rFonts w:ascii="Times New Roman" w:hAnsi="Times New Roman" w:eastAsia="宋体"/>
                <w:b w:val="0"/>
                <w:sz w:val="21"/>
              </w:rPr>
              <w:t>系统开发与集成部署</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BIMBase插件开发、面投影定位实现、报告生成</w:t>
            </w:r>
          </w:p>
        </w:tc>
      </w:tr>
      <w:tr>
        <w:tc>
          <w:tcPr>
            <w:tcW w:type="dxa" w:w="2183"/>
          </w:tcPr>
          <w:p>
            <w:pPr>
              <w:spacing w:line="240" w:lineRule="auto" w:after="40"/>
              <w:jc w:val="center"/>
            </w:pPr>
            <w:r/>
            <w:r>
              <w:rPr>
                <w:rFonts w:ascii="Times New Roman" w:hAnsi="Times New Roman" w:eastAsia="宋体"/>
                <w:b w:val="0"/>
                <w:sz w:val="21"/>
              </w:rPr>
              <w:t>需求分析与方案设计</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检测业务流程梳理、损伤类型体系确定、方案撰写</w:t>
            </w:r>
          </w:p>
        </w:tc>
      </w:tr>
      <w:tr>
        <w:tc>
          <w:tcPr>
            <w:tcW w:type="dxa" w:w="2183"/>
          </w:tcPr>
          <w:p>
            <w:pPr>
              <w:spacing w:line="240" w:lineRule="auto" w:after="40"/>
              <w:jc w:val="center"/>
            </w:pPr>
            <w:r/>
            <w:r>
              <w:rPr>
                <w:rFonts w:ascii="Times New Roman" w:hAnsi="Times New Roman" w:eastAsia="宋体"/>
                <w:b w:val="0"/>
                <w:sz w:val="21"/>
              </w:rPr>
              <w:t>数字孪生平台开发</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three.js平台开发、病害贴片可视化、JSON数据衔接</w:t>
            </w:r>
          </w:p>
        </w:tc>
      </w:tr>
      <w:tr>
        <w:tc>
          <w:tcPr>
            <w:tcW w:type="dxa" w:w="2183"/>
          </w:tcPr>
          <w:p>
            <w:pPr>
              <w:spacing w:line="240" w:lineRule="auto" w:after="40"/>
              <w:jc w:val="center"/>
            </w:pPr>
            <w:r/>
            <w:r>
              <w:rPr>
                <w:rFonts w:ascii="Times New Roman" w:hAnsi="Times New Roman" w:eastAsia="宋体"/>
                <w:b w:val="0"/>
                <w:sz w:val="21"/>
              </w:rPr>
              <w:t>案例验证与数据分析</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常泰桥案例组织、实测方案执行、指标回填</w:t>
            </w:r>
          </w:p>
        </w:tc>
      </w:tr>
      <w:tr>
        <w:tc>
          <w:tcPr>
            <w:tcW w:type="dxa" w:w="2183"/>
          </w:tcPr>
          <w:p>
            <w:pPr>
              <w:spacing w:line="240" w:lineRule="auto" w:after="40"/>
              <w:jc w:val="center"/>
            </w:pPr>
            <w:r/>
            <w:r>
              <w:rPr>
                <w:rFonts w:ascii="Times New Roman" w:hAnsi="Times New Roman" w:eastAsia="宋体"/>
                <w:b w:val="0"/>
                <w:sz w:val="21"/>
              </w:rPr>
              <w:t>成果展示与商业策划</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材料制作、市场分析、路演展示</w:t>
            </w:r>
          </w:p>
        </w:tc>
      </w:tr>
    </w:tbl>
    <w:p>
      <w:pPr>
        <w:spacing w:after="120"/>
      </w:pPr>
    </w:p>
    <w:p>
      <w:pPr>
        <w:spacing w:line="360" w:lineRule="auto" w:after="80"/>
        <w:jc w:val="both"/>
        <w:ind w:firstLineChars="200" w:firstLine="420"/>
      </w:pPr>
      <w:r>
        <w:rPr>
          <w:rFonts w:ascii="Times New Roman" w:hAnsi="Times New Roman" w:eastAsia="宋体"/>
          <w:b w:val="0"/>
          <w:sz w:val="21"/>
        </w:rPr>
        <w:t>注：团队成员姓名与专业方向待报名确认后填写，最终分工以实际报名材料为准。</w:t>
      </w:r>
    </w:p>
    <w:p>
      <w:pPr>
        <w:spacing w:before="200" w:after="120" w:line="360" w:lineRule="auto"/>
        <w:outlineLvl w:val="1"/>
      </w:pPr>
      <w:r>
        <w:rPr>
          <w:rFonts w:ascii="黑体" w:hAnsi="黑体" w:eastAsia="黑体"/>
          <w:b/>
          <w:sz w:val="28"/>
        </w:rPr>
        <w:t>9.3  指导教师与外部资源</w:t>
      </w:r>
    </w:p>
    <w:p>
      <w:pPr>
        <w:spacing w:line="360" w:lineRule="auto" w:after="80"/>
        <w:jc w:val="both"/>
        <w:ind w:firstLineChars="200" w:firstLine="560"/>
      </w:pPr>
      <w:r>
        <w:rPr>
          <w:rFonts w:ascii="Times New Roman" w:hAnsi="Times New Roman" w:eastAsia="仿宋"/>
          <w:b w:val="0"/>
          <w:sz w:val="28"/>
        </w:rPr>
        <w:t>指导教师：待填写（拟由土木工程与计算机相关专业教师共同指导，负责技术路线把关与进度督导）。</w:t>
      </w:r>
    </w:p>
    <w:p>
      <w:pPr>
        <w:spacing w:line="360" w:lineRule="auto" w:after="80"/>
        <w:jc w:val="both"/>
        <w:ind w:firstLineChars="200" w:firstLine="560"/>
      </w:pPr>
      <w:r>
        <w:rPr>
          <w:rFonts w:ascii="Times New Roman" w:hAnsi="Times New Roman" w:eastAsia="仿宋"/>
          <w:b w:val="0"/>
          <w:sz w:val="28"/>
        </w:rPr>
        <w:t>外部资源：企业试用证明【待补充】——团队拟对接命题企业提供的试用渠道开展工具试用并获取书面反馈；公开数据集（GYU-DET、CODEBRIM）按其许可协议使用；开源生态（PyTorch、ultralytics、OpenCV、three.js等）按各自授权方式合规使用。</w:t>
      </w:r>
    </w:p>
    <w:p>
      <w:pPr>
        <w:spacing w:before="200" w:after="120" w:line="360" w:lineRule="auto"/>
        <w:outlineLvl w:val="1"/>
      </w:pPr>
      <w:r>
        <w:rPr>
          <w:rFonts w:ascii="黑体" w:hAnsi="黑体" w:eastAsia="黑体"/>
          <w:b/>
          <w:sz w:val="28"/>
        </w:rPr>
        <w:t>9.4  调研过程与个人成长</w:t>
      </w:r>
    </w:p>
    <w:p>
      <w:pPr>
        <w:spacing w:line="360" w:lineRule="auto" w:after="80"/>
        <w:jc w:val="both"/>
        <w:ind w:firstLineChars="200" w:firstLine="560"/>
      </w:pPr>
      <w:r>
        <w:rPr>
          <w:rFonts w:ascii="Times New Roman" w:hAnsi="Times New Roman" w:eastAsia="仿宋"/>
          <w:b w:val="0"/>
          <w:sz w:val="28"/>
        </w:rPr>
        <w:t>【待补充】企业调研与试用记录：团队与命题企业及检测单位的调研纪要、试用反馈记录待整理后补充，本说明书不作虚构陈述。</w:t>
      </w:r>
    </w:p>
    <w:p>
      <w:pPr>
        <w:spacing w:line="360" w:lineRule="auto" w:after="80"/>
        <w:jc w:val="both"/>
        <w:ind w:firstLineChars="200" w:firstLine="560"/>
      </w:pPr>
      <w:r>
        <w:rPr>
          <w:rFonts w:ascii="Times New Roman" w:hAnsi="Times New Roman" w:eastAsia="仿宋"/>
          <w:b w:val="0"/>
          <w:sz w:val="28"/>
        </w:rPr>
        <w:t>通过本项目的完整工程实践，团队成员实现了从课程知识到工程能力的多维成长：（1）全栈开发能力：从Python插件、桌面界面到three.js网页三维平台，独立完成跨端全栈实现；（2）AI工程能力：完成数据集建设、模型训练调优、多模态大模型工程化接入的完整闭环，并学会以如实口径呈现与评价指标；（3）工程实践能力：在真实重大工程BIM模型上完成系统集成与验证，理解了检测业务流程与工程合规要求；（4）职业认知：通过企业命题对接与需求分析，建立了“技术服务产业”的工程价值观，明确了个人专业发展与国家基础设施数字化需求的结合点。</w:t>
      </w:r>
    </w:p>
    <w:p>
      <w:pPr>
        <w:spacing w:before="120" w:after="280" w:line="360" w:lineRule="auto"/>
        <w:jc w:val="center"/>
        <w:outlineLvl w:val="0"/>
      </w:pPr>
      <w:r>
        <w:br w:type="page"/>
      </w:r>
      <w:r>
        <w:rPr>
          <w:rFonts w:ascii="黑体" w:hAnsi="黑体" w:eastAsia="黑体"/>
          <w:b/>
          <w:sz w:val="32"/>
        </w:rPr>
        <w:t>十、风险分析</w:t>
      </w:r>
    </w:p>
    <w:p>
      <w:pPr>
        <w:spacing w:before="200" w:after="120" w:line="360" w:lineRule="auto"/>
        <w:outlineLvl w:val="1"/>
      </w:pPr>
      <w:r>
        <w:rPr>
          <w:rFonts w:ascii="黑体" w:hAnsi="黑体" w:eastAsia="黑体"/>
          <w:b/>
          <w:sz w:val="28"/>
        </w:rPr>
        <w:t>10.1  技术风险</w:t>
      </w:r>
    </w:p>
    <w:p>
      <w:pPr>
        <w:spacing w:line="360" w:lineRule="auto" w:after="80"/>
        <w:jc w:val="both"/>
        <w:ind w:firstLineChars="200" w:firstLine="560"/>
      </w:pPr>
      <w:r>
        <w:rPr>
          <w:rFonts w:ascii="Times New Roman" w:hAnsi="Times New Roman" w:eastAsia="仿宋"/>
          <w:b w:val="0"/>
          <w:sz w:val="28"/>
        </w:rPr>
        <w:t>风险分析：当前基线模型mAP50约0.336、mAP50-95约0.085，距工程实用水平尚有差距；微裂缝等小目标损伤识别难度大；复杂光照、遮挡与表面污渍可能引起误检漏检；尺寸量化与定位精度尚待实测验证。</w:t>
      </w:r>
    </w:p>
    <w:p>
      <w:pPr>
        <w:spacing w:line="360" w:lineRule="auto" w:after="80"/>
        <w:jc w:val="both"/>
        <w:ind w:firstLineChars="200" w:firstLine="560"/>
      </w:pPr>
      <w:r>
        <w:rPr>
          <w:rFonts w:ascii="Times New Roman" w:hAnsi="Times New Roman" w:eastAsia="仿宋"/>
          <w:b w:val="0"/>
          <w:sz w:val="28"/>
        </w:rPr>
        <w:t>应对措施：（1）按既定五条路线提升模型——数据增强、更大骨干网络迁移学习、半监督学习、补充标注与类别均衡采样、小目标特征层优化；（2）保留免模型五路CV融合作为无模型环境的兜底方案；（3）量化与定位环节采用预期口径管理，测试完成后以实测数据如实回填；（4）系统定位为辅助决策工具，全部输出由专业人员复核，从机制上控制技术风险外溢。</w:t>
      </w:r>
    </w:p>
    <w:p>
      <w:pPr>
        <w:spacing w:before="200" w:after="120" w:line="360" w:lineRule="auto"/>
        <w:outlineLvl w:val="1"/>
      </w:pPr>
      <w:r>
        <w:rPr>
          <w:rFonts w:ascii="黑体" w:hAnsi="黑体" w:eastAsia="黑体"/>
          <w:b/>
          <w:sz w:val="28"/>
        </w:rPr>
        <w:t>10.2  市场与推广风险</w:t>
      </w:r>
    </w:p>
    <w:p>
      <w:pPr>
        <w:spacing w:line="360" w:lineRule="auto" w:after="80"/>
        <w:jc w:val="both"/>
        <w:ind w:firstLineChars="200" w:firstLine="560"/>
      </w:pPr>
      <w:r>
        <w:rPr>
          <w:rFonts w:ascii="Times New Roman" w:hAnsi="Times New Roman" w:eastAsia="仿宋"/>
          <w:b w:val="0"/>
          <w:sz w:val="28"/>
        </w:rPr>
        <w:t>风险分析：检测行业存在既有软件生态与用户习惯壁垒，新工具导入需要培训与流程适配成本；基层单位预算有限，付费意愿需要培育；同类AI检测创业团队与大厂行业方案可能形成竞争。</w:t>
      </w:r>
    </w:p>
    <w:p>
      <w:pPr>
        <w:spacing w:line="360" w:lineRule="auto" w:after="80"/>
        <w:jc w:val="both"/>
        <w:ind w:firstLineChars="200" w:firstLine="560"/>
      </w:pPr>
      <w:r>
        <w:rPr>
          <w:rFonts w:ascii="Times New Roman" w:hAnsi="Times New Roman" w:eastAsia="仿宋"/>
          <w:b w:val="0"/>
          <w:sz w:val="28"/>
        </w:rPr>
        <w:t>应对措施：（1）依托国产BIMBase引擎生态对接行业用户，同时保持算法层与平台层解耦，预留多平台适配能力；（2）坚持轻量化部署路线，普通笔记本与消费级无人机即可运行，降低试用门槛；（3）以“插件授权＋检测服务＋平台订阅”组合模式适配不同付费能力的用户；（4）以真实工程案例与如实指标建立可信度，差异化定位基层市场，避免与大型商业软件正面竞争。</w:t>
      </w:r>
    </w:p>
    <w:p>
      <w:pPr>
        <w:spacing w:before="200" w:after="120" w:line="360" w:lineRule="auto"/>
        <w:outlineLvl w:val="1"/>
      </w:pPr>
      <w:r>
        <w:rPr>
          <w:rFonts w:ascii="黑体" w:hAnsi="黑体" w:eastAsia="黑体"/>
          <w:b/>
          <w:sz w:val="28"/>
        </w:rPr>
        <w:t>10.3  合规与数据风险</w:t>
      </w:r>
    </w:p>
    <w:p>
      <w:pPr>
        <w:spacing w:line="360" w:lineRule="auto" w:after="80"/>
        <w:jc w:val="both"/>
        <w:ind w:firstLineChars="200" w:firstLine="560"/>
      </w:pPr>
      <w:r>
        <w:rPr>
          <w:rFonts w:ascii="Times New Roman" w:hAnsi="Times New Roman" w:eastAsia="仿宋"/>
          <w:b w:val="0"/>
          <w:sz w:val="28"/>
        </w:rPr>
        <w:t>风险分析：检测数据涉及实际工程信息，存在授权与保密要求；AI输出若被误用为正式检测结论，存在合规风险；公开数据集与开源组件的使用需遵守各自许可协议。</w:t>
      </w:r>
    </w:p>
    <w:p>
      <w:pPr>
        <w:spacing w:line="360" w:lineRule="auto" w:after="80"/>
        <w:jc w:val="both"/>
        <w:ind w:firstLineChars="200" w:firstLine="560"/>
      </w:pPr>
      <w:r>
        <w:rPr>
          <w:rFonts w:ascii="Times New Roman" w:hAnsi="Times New Roman" w:eastAsia="仿宋"/>
          <w:b w:val="0"/>
          <w:sz w:val="28"/>
        </w:rPr>
        <w:t>应对措施：（1）涉及实际工程图像、检测报告、企业数据及人员信息时，依法取得授权或进行脱敏处理后方可使用；（2）在全系统与全部文档中明确“辅助决策工具”定位，不替代依法开展的定期检测、特殊检测、荷载试验和结构安全评估，正式成果由具备资质的专业人员复核签认；（3）建立知识产权合规清单，公开数据集与开源组件按许可规范使用并标注来源（完整声明见附录四）。</w:t>
      </w:r>
    </w:p>
    <w:p>
      <w:pPr>
        <w:spacing w:before="120" w:after="280" w:line="360" w:lineRule="auto"/>
        <w:jc w:val="center"/>
        <w:outlineLvl w:val="0"/>
      </w:pPr>
      <w:r>
        <w:br w:type="page"/>
      </w:r>
      <w:r>
        <w:rPr>
          <w:rFonts w:ascii="黑体" w:hAnsi="黑体" w:eastAsia="黑体"/>
          <w:b/>
          <w:sz w:val="32"/>
        </w:rPr>
        <w:t>附录一  知识产权与成果证明</w:t>
      </w:r>
    </w:p>
    <w:p>
      <w:pPr>
        <w:spacing w:line="360" w:lineRule="auto" w:after="80"/>
        <w:jc w:val="both"/>
        <w:ind w:firstLineChars="200" w:firstLine="560"/>
      </w:pPr>
      <w:r>
        <w:rPr>
          <w:rFonts w:ascii="Times New Roman" w:hAnsi="Times New Roman" w:eastAsia="仿宋"/>
          <w:b w:val="0"/>
          <w:sz w:val="28"/>
        </w:rPr>
        <w:t>（1）软件著作权：《智检桥安桥梁表观损伤智能检测系统 V1.0》【占位：受理通知书待申请取得后替换】；</w:t>
      </w:r>
    </w:p>
    <w:p>
      <w:pPr>
        <w:spacing w:line="360" w:lineRule="auto" w:after="80"/>
        <w:jc w:val="both"/>
        <w:ind w:firstLineChars="200" w:firstLine="560"/>
      </w:pPr>
      <w:r>
        <w:rPr>
          <w:rFonts w:ascii="Times New Roman" w:hAnsi="Times New Roman" w:eastAsia="仿宋"/>
          <w:b w:val="0"/>
          <w:sz w:val="28"/>
        </w:rPr>
        <w:t>（2）软件著作权：《桥梁数字孪生在线展示平台 V1.0》【占位：受理通知书待申请取得后替换】；</w:t>
      </w:r>
    </w:p>
    <w:p>
      <w:pPr>
        <w:spacing w:line="360" w:lineRule="auto" w:after="80"/>
        <w:jc w:val="both"/>
        <w:ind w:firstLineChars="200" w:firstLine="560"/>
      </w:pPr>
      <w:r>
        <w:rPr>
          <w:rFonts w:ascii="Times New Roman" w:hAnsi="Times New Roman" w:eastAsia="仿宋"/>
          <w:b w:val="0"/>
          <w:sz w:val="28"/>
        </w:rPr>
        <w:t>（3）源码仓库：GitHub 开源仓库 https://github.com/baiyu233135/BIMBasePluginCollection ，包含插件、算法与数字孪生平台全部源码，可公开查验；</w:t>
      </w:r>
    </w:p>
    <w:p>
      <w:pPr>
        <w:spacing w:line="360" w:lineRule="auto" w:after="80"/>
        <w:jc w:val="both"/>
        <w:ind w:firstLineChars="200" w:firstLine="560"/>
      </w:pPr>
      <w:r>
        <w:rPr>
          <w:rFonts w:ascii="Times New Roman" w:hAnsi="Times New Roman" w:eastAsia="仿宋"/>
          <w:b w:val="0"/>
          <w:sz w:val="28"/>
        </w:rPr>
        <w:t>（4）企业合作证明：【待补充】企业试用证明与合作说明材料待对接后补充，本说明书不作虚构陈述；</w:t>
      </w:r>
    </w:p>
    <w:p>
      <w:pPr>
        <w:spacing w:line="360" w:lineRule="auto" w:after="80"/>
        <w:jc w:val="both"/>
        <w:ind w:firstLineChars="200" w:firstLine="560"/>
      </w:pPr>
      <w:r>
        <w:rPr>
          <w:rFonts w:ascii="Times New Roman" w:hAnsi="Times New Roman" w:eastAsia="仿宋"/>
          <w:b w:val="0"/>
          <w:sz w:val="28"/>
        </w:rPr>
        <w:t>（5）数据集与第三方组件：GYU-DET、CODEBRIM 公开数据集按其各自许可协议使用；BIMBase、pyp3d、PyTorch、ultralytics（YOLOv8）、OpenCV、PyQt5、python-docx、Qwen-VL、three.js 等第三方平台与开源组件均按其授权方式合规使用。</w:t>
      </w:r>
    </w:p>
    <w:p>
      <w:pPr>
        <w:spacing w:before="120" w:after="280" w:line="360" w:lineRule="auto"/>
        <w:jc w:val="center"/>
        <w:outlineLvl w:val="0"/>
      </w:pPr>
      <w:r>
        <w:br w:type="page"/>
      </w:r>
      <w:r>
        <w:rPr>
          <w:rFonts w:ascii="黑体" w:hAnsi="黑体" w:eastAsia="黑体"/>
          <w:b/>
          <w:sz w:val="32"/>
        </w:rPr>
        <w:t>附录二  常泰长江大桥参数化构件清单</w:t>
      </w:r>
    </w:p>
    <w:p>
      <w:pPr>
        <w:spacing w:line="360" w:lineRule="auto" w:after="80"/>
        <w:jc w:val="both"/>
        <w:ind w:firstLineChars="200" w:firstLine="560"/>
      </w:pPr>
      <w:r>
        <w:rPr>
          <w:rFonts w:ascii="Times New Roman" w:hAnsi="Times New Roman" w:eastAsia="仿宋"/>
          <w:b w:val="0"/>
          <w:sz w:val="28"/>
        </w:rPr>
        <w:t>常泰长江大桥BIM参数化模型共包含16类参数化构件：上部结构7项（主塔、侧面钢桁架、工字钢梁、斜拉索、支座、自密实混凝土层及隔离层、轨道底座）、下部结构3项（门式桥墩、承台及桩基、扩大基础）、附属设施6项（新泽西护栏、防撞护栏、轨道、接触网、路面及交通标线、铁路封闭网）。全部构件均为原创参数化构件，每个构件有效可调参数不少于4个，参数摘自组件库源码。完整清单（含主要可调参数与病害定位路由）见图 3-4。</w:t>
      </w:r>
    </w:p>
    <w:p>
      <w:pPr>
        <w:spacing w:before="120" w:after="280" w:line="360" w:lineRule="auto"/>
        <w:jc w:val="center"/>
        <w:outlineLvl w:val="0"/>
      </w:pPr>
      <w:r>
        <w:br w:type="page"/>
      </w:r>
      <w:r>
        <w:rPr>
          <w:rFonts w:ascii="黑体" w:hAnsi="黑体" w:eastAsia="黑体"/>
          <w:b/>
          <w:sz w:val="32"/>
        </w:rPr>
        <w:t>附录三  核心代码节选</w:t>
      </w:r>
    </w:p>
    <w:p>
      <w:pPr>
        <w:spacing w:line="360" w:lineRule="auto" w:after="80"/>
        <w:jc w:val="both"/>
        <w:ind w:firstLineChars="200" w:firstLine="560"/>
      </w:pPr>
      <w:r>
        <w:rPr>
          <w:rFonts w:ascii="Times New Roman" w:hAnsi="Times New Roman" w:eastAsia="仿宋"/>
          <w:b w:val="0"/>
          <w:sz w:val="28"/>
        </w:rPr>
        <w:t>本附录节选系统核心算法的真实源码（省略导入与常量变定义），完整代码见 GitHub 仓库。</w:t>
      </w:r>
    </w:p>
    <w:p>
      <w:pPr>
        <w:spacing w:before="120" w:after="40"/>
      </w:pPr>
      <w:r>
        <w:rPr>
          <w:rFonts w:ascii="黑体" w:hAnsi="黑体" w:eastAsia="黑体"/>
          <w:b/>
          <w:sz w:val="21"/>
        </w:rPr>
        <w:t>代码 附3-1  解析式面投影：照片检测框→面局部阴影区域（桥梁病害识别/face_projection.py 第 60～95 行）</w:t>
      </w:r>
    </w:p>
    <w:p>
      <w:pPr>
        <w:spacing w:line="240" w:lineRule="auto" w:after="0"/>
        <w:shd w:val="clear" w:fill="F2F2F2"/>
      </w:pPr>
      <w:r>
        <w:rPr>
          <w:rFonts w:ascii="Consolas" w:hAnsi="Consolas" w:eastAsia="Consolas"/>
          <w:b w:val="0"/>
          <w:sz w:val="18"/>
        </w:rPr>
        <w:t>def photo_bbox_to_shadow(face: "FaceInfo", bbox: Tuple[float, float, float, float],</w:t>
      </w:r>
    </w:p>
    <w:p>
      <w:pPr>
        <w:spacing w:line="240" w:lineRule="auto" w:after="0"/>
        <w:shd w:val="clear" w:fill="F2F2F2"/>
      </w:pPr>
      <w:r>
        <w:rPr>
          <w:rFonts w:ascii="Consolas" w:hAnsi="Consolas" w:eastAsia="Consolas"/>
          <w:b w:val="0"/>
          <w:sz w:val="18"/>
        </w:rPr>
        <w:t xml:space="preserve">                         photo_w: int, photo_h: int, disease_type: str) -&gt; "ShadowRegion":</w:t>
      </w:r>
    </w:p>
    <w:p>
      <w:pPr>
        <w:spacing w:line="240" w:lineRule="auto" w:after="0"/>
        <w:shd w:val="clear" w:fill="F2F2F2"/>
      </w:pPr>
      <w:r>
        <w:rPr>
          <w:rFonts w:ascii="Consolas" w:hAnsi="Consolas" w:eastAsia="Consolas"/>
          <w:b w:val="0"/>
          <w:sz w:val="18"/>
        </w:rPr>
        <w:t xml:space="preserve">    """将照片上的病害 bbox 按"等比铺满整面"映射为面上的阴影区域。</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假设照片取景范围≈目标面：照片 X → 面 U 方向，照片 Y（向下）→ 面 V 方向（向上取反）。</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x1, y1, x2, y2 = bbox</w:t>
      </w:r>
    </w:p>
    <w:p>
      <w:pPr>
        <w:spacing w:line="240" w:lineRule="auto" w:after="0"/>
        <w:shd w:val="clear" w:fill="F2F2F2"/>
      </w:pPr>
      <w:r>
        <w:rPr>
          <w:rFonts w:ascii="Consolas" w:hAnsi="Consolas" w:eastAsia="Consolas"/>
          <w:b w:val="0"/>
          <w:sz w:val="18"/>
        </w:rPr>
        <w:t xml:space="preserve">    cx = (x1 + x2) / 2.0</w:t>
      </w:r>
    </w:p>
    <w:p>
      <w:pPr>
        <w:spacing w:line="240" w:lineRule="auto" w:after="0"/>
        <w:shd w:val="clear" w:fill="F2F2F2"/>
      </w:pPr>
      <w:r>
        <w:rPr>
          <w:rFonts w:ascii="Consolas" w:hAnsi="Consolas" w:eastAsia="Consolas"/>
          <w:b w:val="0"/>
          <w:sz w:val="18"/>
        </w:rPr>
        <w:t xml:space="preserve">    cy = (y1 + y2) / 2.0</w:t>
      </w:r>
    </w:p>
    <w:p>
      <w:pPr>
        <w:spacing w:line="240" w:lineRule="auto" w:after="0"/>
        <w:shd w:val="clear" w:fill="F2F2F2"/>
      </w:pPr>
      <w:r>
        <w:rPr>
          <w:rFonts w:ascii="Consolas" w:hAnsi="Consolas" w:eastAsia="Consolas"/>
          <w:b w:val="0"/>
          <w:sz w:val="18"/>
        </w:rPr>
        <w:t xml:space="preserve">    bw = max(1.0, x2 - x1)</w:t>
      </w:r>
    </w:p>
    <w:p>
      <w:pPr>
        <w:spacing w:line="240" w:lineRule="auto" w:after="0"/>
        <w:shd w:val="clear" w:fill="F2F2F2"/>
      </w:pPr>
      <w:r>
        <w:rPr>
          <w:rFonts w:ascii="Consolas" w:hAnsi="Consolas" w:eastAsia="Consolas"/>
          <w:b w:val="0"/>
          <w:sz w:val="18"/>
        </w:rPr>
        <w:t xml:space="preserve">    bh = max(1.0, y2 - y1)</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u = (cx / photo_w - 0.5) * face.width</w:t>
      </w:r>
    </w:p>
    <w:p>
      <w:pPr>
        <w:spacing w:line="240" w:lineRule="auto" w:after="0"/>
        <w:shd w:val="clear" w:fill="F2F2F2"/>
      </w:pPr>
      <w:r>
        <w:rPr>
          <w:rFonts w:ascii="Consolas" w:hAnsi="Consolas" w:eastAsia="Consolas"/>
          <w:b w:val="0"/>
          <w:sz w:val="18"/>
        </w:rPr>
        <w:t xml:space="preserve">    v = (0.5 - cy / photo_h) * face.height</w:t>
      </w:r>
    </w:p>
    <w:p>
      <w:pPr>
        <w:spacing w:line="240" w:lineRule="auto" w:after="0"/>
        <w:shd w:val="clear" w:fill="F2F2F2"/>
      </w:pPr>
      <w:r>
        <w:rPr>
          <w:rFonts w:ascii="Consolas" w:hAnsi="Consolas" w:eastAsia="Consolas"/>
          <w:b w:val="0"/>
          <w:sz w:val="18"/>
        </w:rPr>
        <w:t xml:space="preserve">    w = bw / photo_w * face.width</w:t>
      </w:r>
    </w:p>
    <w:p>
      <w:pPr>
        <w:spacing w:line="240" w:lineRule="auto" w:after="0"/>
        <w:shd w:val="clear" w:fill="F2F2F2"/>
      </w:pPr>
      <w:r>
        <w:rPr>
          <w:rFonts w:ascii="Consolas" w:hAnsi="Consolas" w:eastAsia="Consolas"/>
          <w:b w:val="0"/>
          <w:sz w:val="18"/>
        </w:rPr>
        <w:t xml:space="preserve">    h = bh / photo_h * face.height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color = DISEASE_COLOR_MAP.get(disease_type, _FALLBACK_COLOR)</w:t>
      </w:r>
    </w:p>
    <w:p>
      <w:pPr>
        <w:spacing w:line="240" w:lineRule="auto" w:after="0"/>
        <w:shd w:val="clear" w:fill="F2F2F2"/>
      </w:pPr>
      <w:r>
        <w:rPr>
          <w:rFonts w:ascii="Consolas" w:hAnsi="Consolas" w:eastAsia="Consolas"/>
          <w:b w:val="0"/>
          <w:sz w:val="18"/>
        </w:rPr>
        <w:t xml:space="preserve">    return ShadowRegion(</w:t>
      </w:r>
    </w:p>
    <w:p>
      <w:pPr>
        <w:spacing w:line="240" w:lineRule="auto" w:after="0"/>
        <w:shd w:val="clear" w:fill="F2F2F2"/>
      </w:pPr>
      <w:r>
        <w:rPr>
          <w:rFonts w:ascii="Consolas" w:hAnsi="Consolas" w:eastAsia="Consolas"/>
          <w:b w:val="0"/>
          <w:sz w:val="18"/>
        </w:rPr>
        <w:t xml:space="preserve">        local_u=u,</w:t>
      </w:r>
    </w:p>
    <w:p>
      <w:pPr>
        <w:spacing w:line="240" w:lineRule="auto" w:after="0"/>
        <w:shd w:val="clear" w:fill="F2F2F2"/>
      </w:pPr>
      <w:r>
        <w:rPr>
          <w:rFonts w:ascii="Consolas" w:hAnsi="Consolas" w:eastAsia="Consolas"/>
          <w:b w:val="0"/>
          <w:sz w:val="18"/>
        </w:rPr>
        <w:t xml:space="preserve">        local_v=v,</w:t>
      </w:r>
    </w:p>
    <w:p>
      <w:pPr>
        <w:spacing w:line="240" w:lineRule="auto" w:after="0"/>
        <w:shd w:val="clear" w:fill="F2F2F2"/>
      </w:pPr>
      <w:r>
        <w:rPr>
          <w:rFonts w:ascii="Consolas" w:hAnsi="Consolas" w:eastAsia="Consolas"/>
          <w:b w:val="0"/>
          <w:sz w:val="18"/>
        </w:rPr>
        <w:t xml:space="preserve">        width=w,</w:t>
      </w:r>
    </w:p>
    <w:p>
      <w:pPr>
        <w:spacing w:line="240" w:lineRule="auto" w:after="0"/>
        <w:shd w:val="clear" w:fill="F2F2F2"/>
      </w:pPr>
      <w:r>
        <w:rPr>
          <w:rFonts w:ascii="Consolas" w:hAnsi="Consolas" w:eastAsia="Consolas"/>
          <w:b w:val="0"/>
          <w:sz w:val="18"/>
        </w:rPr>
        <w:t xml:space="preserve">        height=h,</w:t>
      </w:r>
    </w:p>
    <w:p>
      <w:pPr>
        <w:spacing w:line="240" w:lineRule="auto" w:after="0"/>
        <w:shd w:val="clear" w:fill="F2F2F2"/>
      </w:pPr>
      <w:r>
        <w:rPr>
          <w:rFonts w:ascii="Consolas" w:hAnsi="Consolas" w:eastAsia="Consolas"/>
          <w:b w:val="0"/>
          <w:sz w:val="18"/>
        </w:rPr>
        <w:t xml:space="preserve">        disease_type=disease_type,</w:t>
      </w:r>
    </w:p>
    <w:p>
      <w:pPr>
        <w:spacing w:line="240" w:lineRule="auto" w:after="0"/>
        <w:shd w:val="clear" w:fill="F2F2F2"/>
      </w:pPr>
      <w:r>
        <w:rPr>
          <w:rFonts w:ascii="Consolas" w:hAnsi="Consolas" w:eastAsia="Consolas"/>
          <w:b w:val="0"/>
          <w:sz w:val="18"/>
        </w:rPr>
        <w:t xml:space="preserve">        color_rgb=color,</w:t>
      </w:r>
    </w:p>
    <w:p>
      <w:pPr>
        <w:spacing w:line="240" w:lineRule="auto" w:after="0"/>
        <w:shd w:val="clear" w:fill="F2F2F2"/>
      </w:pPr>
      <w:r>
        <w:rPr>
          <w:rFonts w:ascii="Consolas" w:hAnsi="Consolas" w:eastAsia="Consolas"/>
          <w:b w:val="0"/>
          <w:sz w:val="18"/>
        </w:rPr>
        <w:t xml:space="preserve">    )</w:t>
      </w:r>
    </w:p>
    <w:p>
      <w:pPr>
        <w:spacing w:after="120"/>
      </w:pPr>
    </w:p>
    <w:p>
      <w:pPr>
        <w:spacing w:before="120" w:after="40"/>
      </w:pPr>
      <w:r>
        <w:rPr>
          <w:rFonts w:ascii="黑体" w:hAnsi="黑体" w:eastAsia="黑体"/>
          <w:b/>
          <w:sz w:val="21"/>
        </w:rPr>
        <w:t>代码 附3-2  解析式面投影：面局部阴影→世界坐标（含 2mm 法向偏移防闪面）（桥梁病害识别/face_projection.py 第 227～255 行）</w:t>
      </w:r>
    </w:p>
    <w:p>
      <w:pPr>
        <w:spacing w:line="240" w:lineRule="auto" w:after="0"/>
        <w:shd w:val="clear" w:fill="F2F2F2"/>
      </w:pPr>
      <w:r>
        <w:rPr>
          <w:rFonts w:ascii="Consolas" w:hAnsi="Consolas" w:eastAsia="Consolas"/>
          <w:b w:val="0"/>
          <w:sz w:val="18"/>
        </w:rPr>
        <w:t>def shadow_to_world(self, face: FaceInfo, shadow: ShadowRegion,</w:t>
      </w:r>
    </w:p>
    <w:p>
      <w:pPr>
        <w:spacing w:line="240" w:lineRule="auto" w:after="0"/>
        <w:shd w:val="clear" w:fill="F2F2F2"/>
      </w:pPr>
      <w:r>
        <w:rPr>
          <w:rFonts w:ascii="Consolas" w:hAnsi="Consolas" w:eastAsia="Consolas"/>
          <w:b w:val="0"/>
          <w:sz w:val="18"/>
        </w:rPr>
        <w:t xml:space="preserve">                    thickness: float = 2.0) -&gt; Tuple[float, float, float, float, float, float, str]:</w:t>
      </w:r>
    </w:p>
    <w:p>
      <w:pPr>
        <w:spacing w:line="240" w:lineRule="auto" w:after="0"/>
        <w:shd w:val="clear" w:fill="F2F2F2"/>
      </w:pPr>
      <w:r>
        <w:rPr>
          <w:rFonts w:ascii="Consolas" w:hAnsi="Consolas" w:eastAsia="Consolas"/>
          <w:b w:val="0"/>
          <w:sz w:val="18"/>
        </w:rPr>
        <w:t xml:space="preserve">    """将面上的阴影区域转换为世界坐标中的放置参数。"""</w:t>
      </w:r>
    </w:p>
    <w:p>
      <w:pPr>
        <w:spacing w:line="240" w:lineRule="auto" w:after="0"/>
        <w:shd w:val="clear" w:fill="F2F2F2"/>
      </w:pPr>
      <w:r>
        <w:rPr>
          <w:rFonts w:ascii="Consolas" w:hAnsi="Consolas" w:eastAsia="Consolas"/>
          <w:b w:val="0"/>
          <w:sz w:val="18"/>
        </w:rPr>
        <w:t xml:space="preserve">    # 薄片中心 = 面中心 + u * u_axis + v * v_axis + 法向偏移（贴紧表面外侧）</w:t>
      </w:r>
    </w:p>
    <w:p>
      <w:pPr>
        <w:spacing w:line="240" w:lineRule="auto" w:after="0"/>
        <w:shd w:val="clear" w:fill="F2F2F2"/>
      </w:pPr>
      <w:r>
        <w:rPr>
          <w:rFonts w:ascii="Consolas" w:hAnsi="Consolas" w:eastAsia="Consolas"/>
          <w:b w:val="0"/>
          <w:sz w:val="18"/>
        </w:rPr>
        <w:t xml:space="preserve">    offset = 2.0   # 沿法向偏移 2mm，避免与构件表面重叠（z-fighting）</w:t>
      </w:r>
    </w:p>
    <w:p>
      <w:pPr>
        <w:spacing w:line="240" w:lineRule="auto" w:after="0"/>
        <w:shd w:val="clear" w:fill="F2F2F2"/>
      </w:pPr>
      <w:r>
        <w:rPr>
          <w:rFonts w:ascii="Consolas" w:hAnsi="Consolas" w:eastAsia="Consolas"/>
          <w:b w:val="0"/>
          <w:sz w:val="18"/>
        </w:rPr>
        <w:t xml:space="preserve">    cx = (face.center[0] + shadow.local_u * face.u_axis[0]</w:t>
      </w:r>
    </w:p>
    <w:p>
      <w:pPr>
        <w:spacing w:line="240" w:lineRule="auto" w:after="0"/>
        <w:shd w:val="clear" w:fill="F2F2F2"/>
      </w:pPr>
      <w:r>
        <w:rPr>
          <w:rFonts w:ascii="Consolas" w:hAnsi="Consolas" w:eastAsia="Consolas"/>
          <w:b w:val="0"/>
          <w:sz w:val="18"/>
        </w:rPr>
        <w:t xml:space="preserve">          + shadow.local_v * face.v_axis[0] + face.normal[0] * offset)</w:t>
      </w:r>
    </w:p>
    <w:p>
      <w:pPr>
        <w:spacing w:line="240" w:lineRule="auto" w:after="0"/>
        <w:shd w:val="clear" w:fill="F2F2F2"/>
      </w:pPr>
      <w:r>
        <w:rPr>
          <w:rFonts w:ascii="Consolas" w:hAnsi="Consolas" w:eastAsia="Consolas"/>
          <w:b w:val="0"/>
          <w:sz w:val="18"/>
        </w:rPr>
        <w:t xml:space="preserve">    cy = (face.center[1] + shadow.local_u * face.u_axis[1]</w:t>
      </w:r>
    </w:p>
    <w:p>
      <w:pPr>
        <w:spacing w:line="240" w:lineRule="auto" w:after="0"/>
        <w:shd w:val="clear" w:fill="F2F2F2"/>
      </w:pPr>
      <w:r>
        <w:rPr>
          <w:rFonts w:ascii="Consolas" w:hAnsi="Consolas" w:eastAsia="Consolas"/>
          <w:b w:val="0"/>
          <w:sz w:val="18"/>
        </w:rPr>
        <w:t xml:space="preserve">          + shadow.local_v * face.v_axis[1] + face.normal[1] * offset)</w:t>
      </w:r>
    </w:p>
    <w:p>
      <w:pPr>
        <w:spacing w:line="240" w:lineRule="auto" w:after="0"/>
        <w:shd w:val="clear" w:fill="F2F2F2"/>
      </w:pPr>
      <w:r>
        <w:rPr>
          <w:rFonts w:ascii="Consolas" w:hAnsi="Consolas" w:eastAsia="Consolas"/>
          <w:b w:val="0"/>
          <w:sz w:val="18"/>
        </w:rPr>
        <w:t xml:space="preserve">    cz = (face.center[2] + shadow.local_u * face.u_axis[2]</w:t>
      </w:r>
    </w:p>
    <w:p>
      <w:pPr>
        <w:spacing w:line="240" w:lineRule="auto" w:after="0"/>
        <w:shd w:val="clear" w:fill="F2F2F2"/>
      </w:pPr>
      <w:r>
        <w:rPr>
          <w:rFonts w:ascii="Consolas" w:hAnsi="Consolas" w:eastAsia="Consolas"/>
          <w:b w:val="0"/>
          <w:sz w:val="18"/>
        </w:rPr>
        <w:t xml:space="preserve">          + shadow.local_v * face.v_axis[2] + face.normal[2] * offset)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 尺寸映射：根据面的 plane 类型决定 width/height/thickness 在世界坐标中的轴向</w:t>
      </w:r>
    </w:p>
    <w:p>
      <w:pPr>
        <w:spacing w:line="240" w:lineRule="auto" w:after="0"/>
        <w:shd w:val="clear" w:fill="F2F2F2"/>
      </w:pPr>
      <w:r>
        <w:rPr>
          <w:rFonts w:ascii="Consolas" w:hAnsi="Consolas" w:eastAsia="Consolas"/>
          <w:b w:val="0"/>
          <w:sz w:val="18"/>
        </w:rPr>
        <w:t xml:space="preserve">    if face.plane == 'xz':</w:t>
      </w:r>
    </w:p>
    <w:p>
      <w:pPr>
        <w:spacing w:line="240" w:lineRule="auto" w:after="0"/>
        <w:shd w:val="clear" w:fill="F2F2F2"/>
      </w:pPr>
      <w:r>
        <w:rPr>
          <w:rFonts w:ascii="Consolas" w:hAnsi="Consolas" w:eastAsia="Consolas"/>
          <w:b w:val="0"/>
          <w:sz w:val="18"/>
        </w:rPr>
        <w:t xml:space="preserve">        return cx, cy, cz, shadow.width, shadow.height, thickness, 'xz'</w:t>
      </w:r>
    </w:p>
    <w:p>
      <w:pPr>
        <w:spacing w:line="240" w:lineRule="auto" w:after="0"/>
        <w:shd w:val="clear" w:fill="F2F2F2"/>
      </w:pPr>
      <w:r>
        <w:rPr>
          <w:rFonts w:ascii="Consolas" w:hAnsi="Consolas" w:eastAsia="Consolas"/>
          <w:b w:val="0"/>
          <w:sz w:val="18"/>
        </w:rPr>
        <w:t xml:space="preserve">    elif face.plane == 'yz':</w:t>
      </w:r>
    </w:p>
    <w:p>
      <w:pPr>
        <w:spacing w:line="240" w:lineRule="auto" w:after="0"/>
        <w:shd w:val="clear" w:fill="F2F2F2"/>
      </w:pPr>
      <w:r>
        <w:rPr>
          <w:rFonts w:ascii="Consolas" w:hAnsi="Consolas" w:eastAsia="Consolas"/>
          <w:b w:val="0"/>
          <w:sz w:val="18"/>
        </w:rPr>
        <w:t xml:space="preserve">        return cx, cy, cz, shadow.width, shadow.height, thickness, 'yz'</w:t>
      </w:r>
    </w:p>
    <w:p>
      <w:pPr>
        <w:spacing w:line="240" w:lineRule="auto" w:after="0"/>
        <w:shd w:val="clear" w:fill="F2F2F2"/>
      </w:pPr>
      <w:r>
        <w:rPr>
          <w:rFonts w:ascii="Consolas" w:hAnsi="Consolas" w:eastAsia="Consolas"/>
          <w:b w:val="0"/>
          <w:sz w:val="18"/>
        </w:rPr>
        <w:t xml:space="preserve">    else:   # 'xy' or others</w:t>
      </w:r>
    </w:p>
    <w:p>
      <w:pPr>
        <w:spacing w:line="240" w:lineRule="auto" w:after="0"/>
        <w:shd w:val="clear" w:fill="F2F2F2"/>
      </w:pPr>
      <w:r>
        <w:rPr>
          <w:rFonts w:ascii="Consolas" w:hAnsi="Consolas" w:eastAsia="Consolas"/>
          <w:b w:val="0"/>
          <w:sz w:val="18"/>
        </w:rPr>
        <w:t xml:space="preserve">        return cx, cy, cz, shadow.width, shadow.height, thickness, 'xy'</w:t>
      </w:r>
    </w:p>
    <w:p>
      <w:pPr>
        <w:spacing w:after="120"/>
      </w:pPr>
    </w:p>
    <w:p>
      <w:pPr>
        <w:spacing w:before="120" w:after="40"/>
      </w:pPr>
      <w:r>
        <w:rPr>
          <w:rFonts w:ascii="黑体" w:hAnsi="黑体" w:eastAsia="黑体"/>
          <w:b/>
          <w:sz w:val="21"/>
        </w:rPr>
        <w:t>代码 附3-3  像素—物理尺度换算与病害尺寸计算（桥梁病害识别/dimension_utils.py 第 20～74 行）</w:t>
      </w:r>
    </w:p>
    <w:p>
      <w:pPr>
        <w:spacing w:line="240" w:lineRule="auto" w:after="0"/>
        <w:shd w:val="clear" w:fill="F2F2F2"/>
      </w:pPr>
      <w:r>
        <w:rPr>
          <w:rFonts w:ascii="Consolas" w:hAnsi="Consolas" w:eastAsia="Consolas"/>
          <w:b w:val="0"/>
          <w:sz w:val="18"/>
        </w:rPr>
        <w:t>def calc_scale(ref_length_mm: float, bbox: Tuple[float, float, float, float]) -&gt; Optional[float]:</w:t>
      </w:r>
    </w:p>
    <w:p>
      <w:pPr>
        <w:spacing w:line="240" w:lineRule="auto" w:after="0"/>
        <w:shd w:val="clear" w:fill="F2F2F2"/>
      </w:pPr>
      <w:r>
        <w:rPr>
          <w:rFonts w:ascii="Consolas" w:hAnsi="Consolas" w:eastAsia="Consolas"/>
          <w:b w:val="0"/>
          <w:sz w:val="18"/>
        </w:rPr>
        <w:t xml:space="preserve">    """根据参照物框计算照片像素比例（mm/px），取框长边计算。"""</w:t>
      </w:r>
    </w:p>
    <w:p>
      <w:pPr>
        <w:spacing w:line="240" w:lineRule="auto" w:after="0"/>
        <w:shd w:val="clear" w:fill="F2F2F2"/>
      </w:pPr>
      <w:r>
        <w:rPr>
          <w:rFonts w:ascii="Consolas" w:hAnsi="Consolas" w:eastAsia="Consolas"/>
          <w:b w:val="0"/>
          <w:sz w:val="18"/>
        </w:rPr>
        <w:t xml:space="preserve">    try:</w:t>
      </w:r>
    </w:p>
    <w:p>
      <w:pPr>
        <w:spacing w:line="240" w:lineRule="auto" w:after="0"/>
        <w:shd w:val="clear" w:fill="F2F2F2"/>
      </w:pPr>
      <w:r>
        <w:rPr>
          <w:rFonts w:ascii="Consolas" w:hAnsi="Consolas" w:eastAsia="Consolas"/>
          <w:b w:val="0"/>
          <w:sz w:val="18"/>
        </w:rPr>
        <w:t xml:space="preserve">        ref = float(ref_length_mm)</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except (TypeError, ValueError):</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if ref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long_edge = max(w, h)</w:t>
      </w:r>
    </w:p>
    <w:p>
      <w:pPr>
        <w:spacing w:line="240" w:lineRule="auto" w:after="0"/>
        <w:shd w:val="clear" w:fill="F2F2F2"/>
      </w:pPr>
      <w:r>
        <w:rPr>
          <w:rFonts w:ascii="Consolas" w:hAnsi="Consolas" w:eastAsia="Consolas"/>
          <w:b w:val="0"/>
          <w:sz w:val="18"/>
        </w:rPr>
        <w:t xml:space="preserve">    if long_edge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return ref / long_edge</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box_dimensions(bbox, scale: Optional[float]) -&gt; Tuple[Optional[float], Optional[float], Optional[float]]:</w:t>
      </w:r>
    </w:p>
    <w:p>
      <w:pPr>
        <w:spacing w:line="240" w:lineRule="auto" w:after="0"/>
        <w:shd w:val="clear" w:fill="F2F2F2"/>
      </w:pPr>
      <w:r>
        <w:rPr>
          <w:rFonts w:ascii="Consolas" w:hAnsi="Consolas" w:eastAsia="Consolas"/>
          <w:b w:val="0"/>
          <w:sz w:val="18"/>
        </w:rPr>
        <w:t xml:space="preserve">    """计算病害框的几何尺寸，返回 (length_mm, width_mm, area_mm2)；未标定时均为 None。"""</w:t>
      </w:r>
    </w:p>
    <w:p>
      <w:pPr>
        <w:spacing w:line="240" w:lineRule="auto" w:after="0"/>
        <w:shd w:val="clear" w:fill="F2F2F2"/>
      </w:pPr>
      <w:r>
        <w:rPr>
          <w:rFonts w:ascii="Consolas" w:hAnsi="Consolas" w:eastAsia="Consolas"/>
          <w:b w:val="0"/>
          <w:sz w:val="18"/>
        </w:rPr>
        <w:t xml:space="preserve">    if scale is None:</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s = float(scale)</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if s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if w &lt;= 0 or h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length_mm = max(w, h) * s</w:t>
      </w:r>
    </w:p>
    <w:p>
      <w:pPr>
        <w:spacing w:line="240" w:lineRule="auto" w:after="0"/>
        <w:shd w:val="clear" w:fill="F2F2F2"/>
      </w:pPr>
      <w:r>
        <w:rPr>
          <w:rFonts w:ascii="Consolas" w:hAnsi="Consolas" w:eastAsia="Consolas"/>
          <w:b w:val="0"/>
          <w:sz w:val="18"/>
        </w:rPr>
        <w:t xml:space="preserve">    width_mm = min(w, h) * s</w:t>
      </w:r>
    </w:p>
    <w:p>
      <w:pPr>
        <w:spacing w:line="240" w:lineRule="auto" w:after="0"/>
        <w:shd w:val="clear" w:fill="F2F2F2"/>
      </w:pPr>
      <w:r>
        <w:rPr>
          <w:rFonts w:ascii="Consolas" w:hAnsi="Consolas" w:eastAsia="Consolas"/>
          <w:b w:val="0"/>
          <w:sz w:val="18"/>
        </w:rPr>
        <w:t xml:space="preserve">    area_mm2 = w * h * s * s   # 外接矩形面积，真实病害面积偏小</w:t>
      </w:r>
    </w:p>
    <w:p>
      <w:pPr>
        <w:spacing w:line="240" w:lineRule="auto" w:after="0"/>
        <w:shd w:val="clear" w:fill="F2F2F2"/>
      </w:pPr>
      <w:r>
        <w:rPr>
          <w:rFonts w:ascii="Consolas" w:hAnsi="Consolas" w:eastAsia="Consolas"/>
          <w:b w:val="0"/>
          <w:sz w:val="18"/>
        </w:rPr>
        <w:t xml:space="preserve">    return length_mm, width_mm, area_mm2</w:t>
      </w:r>
    </w:p>
    <w:p>
      <w:pPr>
        <w:spacing w:after="120"/>
      </w:pPr>
    </w:p>
    <w:p>
      <w:pPr>
        <w:spacing w:before="120" w:after="40"/>
      </w:pPr>
      <w:r>
        <w:rPr>
          <w:rFonts w:ascii="黑体" w:hAnsi="黑体" w:eastAsia="黑体"/>
          <w:b/>
          <w:sz w:val="21"/>
        </w:rPr>
        <w:t>代码 附3-4  免模型五路 CV 掩码融合：五路检测方法（桥梁病害识别/cv_anomaly_detector.py 第 58～132 行）</w:t>
      </w:r>
    </w:p>
    <w:p>
      <w:pPr>
        <w:spacing w:line="240" w:lineRule="auto" w:after="0"/>
        <w:shd w:val="clear" w:fill="F2F2F2"/>
      </w:pPr>
      <w:r>
        <w:rPr>
          <w:rFonts w:ascii="Consolas" w:hAnsi="Consolas" w:eastAsia="Consolas"/>
          <w:b w:val="0"/>
          <w:sz w:val="18"/>
        </w:rPr>
        <w:t>def _method_crack(gray: np.ndarray) -&gt; np.ndarray:</w:t>
      </w:r>
    </w:p>
    <w:p>
      <w:pPr>
        <w:spacing w:line="240" w:lineRule="auto" w:after="0"/>
        <w:shd w:val="clear" w:fill="F2F2F2"/>
      </w:pPr>
      <w:r>
        <w:rPr>
          <w:rFonts w:ascii="Consolas" w:hAnsi="Consolas" w:eastAsia="Consolas"/>
          <w:b w:val="0"/>
          <w:sz w:val="18"/>
        </w:rPr>
        <w:t xml:space="preserve">    """黑帽变换：检测细长裂缝"""</w:t>
      </w:r>
    </w:p>
    <w:p>
      <w:pPr>
        <w:spacing w:line="240" w:lineRule="auto" w:after="0"/>
        <w:shd w:val="clear" w:fill="F2F2F2"/>
      </w:pPr>
      <w:r>
        <w:rPr>
          <w:rFonts w:ascii="Consolas" w:hAnsi="Consolas" w:eastAsia="Consolas"/>
          <w:b w:val="0"/>
          <w:sz w:val="18"/>
        </w:rPr>
        <w:t xml:space="preserve">    kernel = cv2.getStructuringElement(cv2.MORPH_RECT, (21, 7))</w:t>
      </w:r>
    </w:p>
    <w:p>
      <w:pPr>
        <w:spacing w:line="240" w:lineRule="auto" w:after="0"/>
        <w:shd w:val="clear" w:fill="F2F2F2"/>
      </w:pPr>
      <w:r>
        <w:rPr>
          <w:rFonts w:ascii="Consolas" w:hAnsi="Consolas" w:eastAsia="Consolas"/>
          <w:b w:val="0"/>
          <w:sz w:val="18"/>
        </w:rPr>
        <w:t xml:space="preserve">    blackhat = cv2.morphologyEx(gray, cv2.MORPH_BLACKHAT, kernel)</w:t>
      </w:r>
    </w:p>
    <w:p>
      <w:pPr>
        <w:spacing w:line="240" w:lineRule="auto" w:after="0"/>
        <w:shd w:val="clear" w:fill="F2F2F2"/>
      </w:pPr>
      <w:r>
        <w:rPr>
          <w:rFonts w:ascii="Consolas" w:hAnsi="Consolas" w:eastAsia="Consolas"/>
          <w:b w:val="0"/>
          <w:sz w:val="18"/>
        </w:rPr>
        <w:t xml:space="preserve">    _, mask = cv2.threshold(blackhat, 8, 255, cv2.THRESH_BINARY)</w:t>
      </w:r>
    </w:p>
    <w:p>
      <w:pPr>
        <w:spacing w:line="240" w:lineRule="auto" w:after="0"/>
        <w:shd w:val="clear" w:fill="F2F2F2"/>
      </w:pPr>
      <w:r>
        <w:rPr>
          <w:rFonts w:ascii="Consolas" w:hAnsi="Consolas" w:eastAsia="Consolas"/>
          <w:b w:val="0"/>
          <w:sz w:val="18"/>
        </w:rPr>
        <w:t xml:space="preserve">    close_kernel = cv2.getStructuringElement(cv2.MORPH_ELLIPSE, (3, 3))</w:t>
      </w:r>
    </w:p>
    <w:p>
      <w:pPr>
        <w:spacing w:line="240" w:lineRule="auto" w:after="0"/>
        <w:shd w:val="clear" w:fill="F2F2F2"/>
      </w:pPr>
      <w:r>
        <w:rPr>
          <w:rFonts w:ascii="Consolas" w:hAnsi="Consolas" w:eastAsia="Consolas"/>
          <w:b w:val="0"/>
          <w:sz w:val="18"/>
        </w:rPr>
        <w:t xml:space="preserve">    mask = cv2.morphologyEx(mask, cv2.MORPH_CLOSE, close_kernel, iterations=1)</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_method_adaptive(gray: np.ndarray) -&gt; np.ndarray:</w:t>
      </w:r>
    </w:p>
    <w:p>
      <w:pPr>
        <w:spacing w:line="240" w:lineRule="auto" w:after="0"/>
        <w:shd w:val="clear" w:fill="F2F2F2"/>
      </w:pPr>
      <w:r>
        <w:rPr>
          <w:rFonts w:ascii="Consolas" w:hAnsi="Consolas" w:eastAsia="Consolas"/>
          <w:b w:val="0"/>
          <w:sz w:val="18"/>
        </w:rPr>
        <w:t xml:space="preserve">    """多尺度自适应阈值：检测不同大小的暗区"""</w:t>
      </w:r>
    </w:p>
    <w:p>
      <w:pPr>
        <w:spacing w:line="240" w:lineRule="auto" w:after="0"/>
        <w:shd w:val="clear" w:fill="F2F2F2"/>
      </w:pPr>
      <w:r>
        <w:rPr>
          <w:rFonts w:ascii="Consolas" w:hAnsi="Consolas" w:eastAsia="Consolas"/>
          <w:b w:val="0"/>
          <w:sz w:val="18"/>
        </w:rPr>
        <w:t xml:space="preserve">    h, w = gray.shape</w:t>
      </w:r>
    </w:p>
    <w:p>
      <w:pPr>
        <w:spacing w:line="240" w:lineRule="auto" w:after="0"/>
        <w:shd w:val="clear" w:fill="F2F2F2"/>
      </w:pPr>
      <w:r>
        <w:rPr>
          <w:rFonts w:ascii="Consolas" w:hAnsi="Consolas" w:eastAsia="Consolas"/>
          <w:b w:val="0"/>
          <w:sz w:val="18"/>
        </w:rPr>
        <w:t xml:space="preserve">    blurred = cv2.GaussianBlur(gray, (11, 11), 0)</w:t>
      </w:r>
    </w:p>
    <w:p>
      <w:pPr>
        <w:spacing w:line="240" w:lineRule="auto" w:after="0"/>
        <w:shd w:val="clear" w:fill="F2F2F2"/>
      </w:pPr>
      <w:r>
        <w:rPr>
          <w:rFonts w:ascii="Consolas" w:hAnsi="Consolas" w:eastAsia="Consolas"/>
          <w:b w:val="0"/>
          <w:sz w:val="18"/>
        </w:rPr>
        <w:t xml:space="preserve">    combined = np.zeros((h, w), dtype=np.uint8)</w:t>
      </w:r>
    </w:p>
    <w:p>
      <w:pPr>
        <w:spacing w:line="240" w:lineRule="auto" w:after="0"/>
        <w:shd w:val="clear" w:fill="F2F2F2"/>
      </w:pPr>
      <w:r>
        <w:rPr>
          <w:rFonts w:ascii="Consolas" w:hAnsi="Consolas" w:eastAsia="Consolas"/>
          <w:b w:val="0"/>
          <w:sz w:val="18"/>
        </w:rPr>
        <w:t xml:space="preserve">    for bs, c in [(31, 5), (51, 10), (71, 15)]:</w:t>
      </w:r>
    </w:p>
    <w:p>
      <w:pPr>
        <w:spacing w:line="240" w:lineRule="auto" w:after="0"/>
        <w:shd w:val="clear" w:fill="F2F2F2"/>
      </w:pPr>
      <w:r>
        <w:rPr>
          <w:rFonts w:ascii="Consolas" w:hAnsi="Consolas" w:eastAsia="Consolas"/>
          <w:b w:val="0"/>
          <w:sz w:val="18"/>
        </w:rPr>
        <w:t xml:space="preserve">        mask = cv2.adaptiveThreshold(</w:t>
      </w:r>
    </w:p>
    <w:p>
      <w:pPr>
        <w:spacing w:line="240" w:lineRule="auto" w:after="0"/>
        <w:shd w:val="clear" w:fill="F2F2F2"/>
      </w:pPr>
      <w:r>
        <w:rPr>
          <w:rFonts w:ascii="Consolas" w:hAnsi="Consolas" w:eastAsia="Consolas"/>
          <w:b w:val="0"/>
          <w:sz w:val="18"/>
        </w:rPr>
        <w:t xml:space="preserve">            blurred, 255, cv2.ADAPTIVE_THRESH_GAUSSIAN_C,</w:t>
      </w:r>
    </w:p>
    <w:p>
      <w:pPr>
        <w:spacing w:line="240" w:lineRule="auto" w:after="0"/>
        <w:shd w:val="clear" w:fill="F2F2F2"/>
      </w:pPr>
      <w:r>
        <w:rPr>
          <w:rFonts w:ascii="Consolas" w:hAnsi="Consolas" w:eastAsia="Consolas"/>
          <w:b w:val="0"/>
          <w:sz w:val="18"/>
        </w:rPr>
        <w:t xml:space="preserve">            cv2.THRESH_BINARY_INV, bs, c)</w:t>
      </w:r>
    </w:p>
    <w:p>
      <w:pPr>
        <w:spacing w:line="240" w:lineRule="auto" w:after="0"/>
        <w:shd w:val="clear" w:fill="F2F2F2"/>
      </w:pPr>
      <w:r>
        <w:rPr>
          <w:rFonts w:ascii="Consolas" w:hAnsi="Consolas" w:eastAsia="Consolas"/>
          <w:b w:val="0"/>
          <w:sz w:val="18"/>
        </w:rPr>
        <w:t xml:space="preserve">        combined = cv2.bitwise_or(combined, mask)</w:t>
      </w:r>
    </w:p>
    <w:p>
      <w:pPr>
        <w:spacing w:line="240" w:lineRule="auto" w:after="0"/>
        <w:shd w:val="clear" w:fill="F2F2F2"/>
      </w:pPr>
      <w:r>
        <w:rPr>
          <w:rFonts w:ascii="Consolas" w:hAnsi="Consolas" w:eastAsia="Consolas"/>
          <w:b w:val="0"/>
          <w:sz w:val="18"/>
        </w:rPr>
        <w:t xml:space="preserve">    return combined</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_method_kmeans(img: np.ndarray) -&gt; np.ndarray:</w:t>
      </w:r>
    </w:p>
    <w:p>
      <w:pPr>
        <w:spacing w:line="240" w:lineRule="auto" w:after="0"/>
        <w:shd w:val="clear" w:fill="F2F2F2"/>
      </w:pPr>
      <w:r>
        <w:rPr>
          <w:rFonts w:ascii="Consolas" w:hAnsi="Consolas" w:eastAsia="Consolas"/>
          <w:b w:val="0"/>
          <w:sz w:val="18"/>
        </w:rPr>
        <w:t xml:space="preserve">    """K-Means 颜色聚类：检测颜色明显异常的区域（最暗/最亮类）"""</w:t>
      </w:r>
    </w:p>
    <w:p>
      <w:pPr>
        <w:spacing w:line="240" w:lineRule="auto" w:after="0"/>
        <w:shd w:val="clear" w:fill="F2F2F2"/>
      </w:pPr>
      <w:r>
        <w:rPr>
          <w:rFonts w:ascii="Consolas" w:hAnsi="Consolas" w:eastAsia="Consolas"/>
          <w:b w:val="0"/>
          <w:sz w:val="18"/>
        </w:rPr>
        <w:t xml:space="preserve">    small = cv2.resize(img, None, fx=0.5, fy=0.5)</w:t>
      </w:r>
    </w:p>
    <w:p>
      <w:pPr>
        <w:spacing w:line="240" w:lineRule="auto" w:after="0"/>
        <w:shd w:val="clear" w:fill="F2F2F2"/>
      </w:pPr>
      <w:r>
        <w:rPr>
          <w:rFonts w:ascii="Consolas" w:hAnsi="Consolas" w:eastAsia="Consolas"/>
          <w:b w:val="0"/>
          <w:sz w:val="18"/>
        </w:rPr>
        <w:t xml:space="preserve">    pixels = small.reshape((-1, 3)).astype(np.float32)</w:t>
      </w:r>
    </w:p>
    <w:p>
      <w:pPr>
        <w:spacing w:line="240" w:lineRule="auto" w:after="0"/>
        <w:shd w:val="clear" w:fill="F2F2F2"/>
      </w:pPr>
      <w:r>
        <w:rPr>
          <w:rFonts w:ascii="Consolas" w:hAnsi="Consolas" w:eastAsia="Consolas"/>
          <w:b w:val="0"/>
          <w:sz w:val="18"/>
        </w:rPr>
        <w:t xml:space="preserve">    criteria = (cv2.TERM_CRITERIA_EPS + cv2.TERM_CRITERIA_MAX_ITER, 10, 1.0)</w:t>
      </w:r>
    </w:p>
    <w:p>
      <w:pPr>
        <w:spacing w:line="240" w:lineRule="auto" w:after="0"/>
        <w:shd w:val="clear" w:fill="F2F2F2"/>
      </w:pPr>
      <w:r>
        <w:rPr>
          <w:rFonts w:ascii="Consolas" w:hAnsi="Consolas" w:eastAsia="Consolas"/>
          <w:b w:val="0"/>
          <w:sz w:val="18"/>
        </w:rPr>
        <w:t xml:space="preserve">    _, labels, centers = cv2.kmeans(pixels, 3, None, criteria, 10, cv2.KMEANS_RANDOM_CENTERS)</w:t>
      </w:r>
    </w:p>
    <w:p>
      <w:pPr>
        <w:spacing w:line="240" w:lineRule="auto" w:after="0"/>
        <w:shd w:val="clear" w:fill="F2F2F2"/>
      </w:pPr>
      <w:r>
        <w:rPr>
          <w:rFonts w:ascii="Consolas" w:hAnsi="Consolas" w:eastAsia="Consolas"/>
          <w:b w:val="0"/>
          <w:sz w:val="18"/>
        </w:rPr>
        <w:t xml:space="preserve">    lab_centers = cv2.cvtColor(</w:t>
      </w:r>
    </w:p>
    <w:p>
      <w:pPr>
        <w:spacing w:line="240" w:lineRule="auto" w:after="0"/>
        <w:shd w:val="clear" w:fill="F2F2F2"/>
      </w:pPr>
      <w:r>
        <w:rPr>
          <w:rFonts w:ascii="Consolas" w:hAnsi="Consolas" w:eastAsia="Consolas"/>
          <w:b w:val="0"/>
          <w:sz w:val="18"/>
        </w:rPr>
        <w:t xml:space="preserve">        centers.reshape(1, -1, 3).astype(np.uint8), cv2.COLOR_BGR2LAB).reshape(-1, 3)</w:t>
      </w:r>
    </w:p>
    <w:p>
      <w:pPr>
        <w:spacing w:line="240" w:lineRule="auto" w:after="0"/>
        <w:shd w:val="clear" w:fill="F2F2F2"/>
      </w:pPr>
      <w:r>
        <w:rPr>
          <w:rFonts w:ascii="Consolas" w:hAnsi="Consolas" w:eastAsia="Consolas"/>
          <w:b w:val="0"/>
          <w:sz w:val="18"/>
        </w:rPr>
        <w:t xml:space="preserve">    lum = lab_centers[:, 0]</w:t>
      </w:r>
    </w:p>
    <w:p>
      <w:pPr>
        <w:spacing w:line="240" w:lineRule="auto" w:after="0"/>
        <w:shd w:val="clear" w:fill="F2F2F2"/>
      </w:pPr>
      <w:r>
        <w:rPr>
          <w:rFonts w:ascii="Consolas" w:hAnsi="Consolas" w:eastAsia="Consolas"/>
          <w:b w:val="0"/>
          <w:sz w:val="18"/>
        </w:rPr>
        <w:t xml:space="preserve">    mask_dark = (labels.reshape(small.shape[:2]) == int(np.argmin(lum))).astype(np.uint8) * 255</w:t>
      </w:r>
    </w:p>
    <w:p>
      <w:pPr>
        <w:spacing w:line="240" w:lineRule="auto" w:after="0"/>
        <w:shd w:val="clear" w:fill="F2F2F2"/>
      </w:pPr>
      <w:r>
        <w:rPr>
          <w:rFonts w:ascii="Consolas" w:hAnsi="Consolas" w:eastAsia="Consolas"/>
          <w:b w:val="0"/>
          <w:sz w:val="18"/>
        </w:rPr>
        <w:t xml:space="preserve">    mask_bright = (labels.reshape(small.shape[:2]) == int(np.argmax(lum))).astype(np.uint8) * 255</w:t>
      </w:r>
    </w:p>
    <w:p>
      <w:pPr>
        <w:spacing w:line="240" w:lineRule="auto" w:after="0"/>
        <w:shd w:val="clear" w:fill="F2F2F2"/>
      </w:pPr>
      <w:r>
        <w:rPr>
          <w:rFonts w:ascii="Consolas" w:hAnsi="Consolas" w:eastAsia="Consolas"/>
          <w:b w:val="0"/>
          <w:sz w:val="18"/>
        </w:rPr>
        <w:t xml:space="preserve">    mask = cv2.resize(cv2.bitwise_or(mask_dark, mask_bright),</w:t>
      </w:r>
    </w:p>
    <w:p>
      <w:pPr>
        <w:spacing w:line="240" w:lineRule="auto" w:after="0"/>
        <w:shd w:val="clear" w:fill="F2F2F2"/>
      </w:pPr>
      <w:r>
        <w:rPr>
          <w:rFonts w:ascii="Consolas" w:hAnsi="Consolas" w:eastAsia="Consolas"/>
          <w:b w:val="0"/>
          <w:sz w:val="18"/>
        </w:rPr>
        <w:t xml:space="preserve">                      (img.shape[1], img.shape[0]), interpolation=cv2.INTER_NEAREST)</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_method_texture(gray: np.ndarray) -&gt; np.ndarray:</w:t>
      </w:r>
    </w:p>
    <w:p>
      <w:pPr>
        <w:spacing w:line="240" w:lineRule="auto" w:after="0"/>
        <w:shd w:val="clear" w:fill="F2F2F2"/>
      </w:pPr>
      <w:r>
        <w:rPr>
          <w:rFonts w:ascii="Consolas" w:hAnsi="Consolas" w:eastAsia="Consolas"/>
          <w:b w:val="0"/>
          <w:sz w:val="18"/>
        </w:rPr>
        <w:t xml:space="preserve">    """局部纹理差异：检测剥落露骨料等粗糙区域"""</w:t>
      </w:r>
    </w:p>
    <w:p>
      <w:pPr>
        <w:spacing w:line="240" w:lineRule="auto" w:after="0"/>
        <w:shd w:val="clear" w:fill="F2F2F2"/>
      </w:pPr>
      <w:r>
        <w:rPr>
          <w:rFonts w:ascii="Consolas" w:hAnsi="Consolas" w:eastAsia="Consolas"/>
          <w:b w:val="0"/>
          <w:sz w:val="18"/>
        </w:rPr>
        <w:t xml:space="preserve">    mean = cv2.blur(gray.astype(np.float32), (15, 15))</w:t>
      </w:r>
    </w:p>
    <w:p>
      <w:pPr>
        <w:spacing w:line="240" w:lineRule="auto" w:after="0"/>
        <w:shd w:val="clear" w:fill="F2F2F2"/>
      </w:pPr>
      <w:r>
        <w:rPr>
          <w:rFonts w:ascii="Consolas" w:hAnsi="Consolas" w:eastAsia="Consolas"/>
          <w:b w:val="0"/>
          <w:sz w:val="18"/>
        </w:rPr>
        <w:t xml:space="preserve">    mean_sq = cv2.blur(gray.astype(np.float32) ** 2, (15, 15))</w:t>
      </w:r>
    </w:p>
    <w:p>
      <w:pPr>
        <w:spacing w:line="240" w:lineRule="auto" w:after="0"/>
        <w:shd w:val="clear" w:fill="F2F2F2"/>
      </w:pPr>
      <w:r>
        <w:rPr>
          <w:rFonts w:ascii="Consolas" w:hAnsi="Consolas" w:eastAsia="Consolas"/>
          <w:b w:val="0"/>
          <w:sz w:val="18"/>
        </w:rPr>
        <w:t xml:space="preserve">    std = np.sqrt(np.maximum(mean_sq - mean ** 2, 0))</w:t>
      </w:r>
    </w:p>
    <w:p>
      <w:pPr>
        <w:spacing w:line="240" w:lineRule="auto" w:after="0"/>
        <w:shd w:val="clear" w:fill="F2F2F2"/>
      </w:pPr>
      <w:r>
        <w:rPr>
          <w:rFonts w:ascii="Consolas" w:hAnsi="Consolas" w:eastAsia="Consolas"/>
          <w:b w:val="0"/>
          <w:sz w:val="18"/>
        </w:rPr>
        <w:t xml:space="preserve">    diff = std - cv2.blur(std, (41, 41))</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mask[diff &gt; np.percentile(diff, 78)] = 255</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_method_edge(gray: np.ndarray) -&gt; np.ndarray:</w:t>
      </w:r>
    </w:p>
    <w:p>
      <w:pPr>
        <w:spacing w:line="240" w:lineRule="auto" w:after="0"/>
        <w:shd w:val="clear" w:fill="F2F2F2"/>
      </w:pPr>
      <w:r>
        <w:rPr>
          <w:rFonts w:ascii="Consolas" w:hAnsi="Consolas" w:eastAsia="Consolas"/>
          <w:b w:val="0"/>
          <w:sz w:val="18"/>
        </w:rPr>
        <w:t xml:space="preserve">    """边缘密度：检测有明显边界的病害区域"""</w:t>
      </w:r>
    </w:p>
    <w:p>
      <w:pPr>
        <w:spacing w:line="240" w:lineRule="auto" w:after="0"/>
        <w:shd w:val="clear" w:fill="F2F2F2"/>
      </w:pPr>
      <w:r>
        <w:rPr>
          <w:rFonts w:ascii="Consolas" w:hAnsi="Consolas" w:eastAsia="Consolas"/>
          <w:b w:val="0"/>
          <w:sz w:val="18"/>
        </w:rPr>
        <w:t xml:space="preserve">    blurred = cv2.GaussianBlur(gray, (5, 5), 0)</w:t>
      </w:r>
    </w:p>
    <w:p>
      <w:pPr>
        <w:spacing w:line="240" w:lineRule="auto" w:after="0"/>
        <w:shd w:val="clear" w:fill="F2F2F2"/>
      </w:pPr>
      <w:r>
        <w:rPr>
          <w:rFonts w:ascii="Consolas" w:hAnsi="Consolas" w:eastAsia="Consolas"/>
          <w:b w:val="0"/>
          <w:sz w:val="18"/>
        </w:rPr>
        <w:t xml:space="preserve">    edges = cv2.Canny(blurred, 30, 120)</w:t>
      </w:r>
    </w:p>
    <w:p>
      <w:pPr>
        <w:spacing w:line="240" w:lineRule="auto" w:after="0"/>
        <w:shd w:val="clear" w:fill="F2F2F2"/>
      </w:pPr>
      <w:r>
        <w:rPr>
          <w:rFonts w:ascii="Consolas" w:hAnsi="Consolas" w:eastAsia="Consolas"/>
          <w:b w:val="0"/>
          <w:sz w:val="18"/>
        </w:rPr>
        <w:t xml:space="preserve">    edge_density = cv2.boxFilter(edges.astype(np.float32), -1, (25, 25), normalize=True)</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mask[edge_density &gt; np.percentile(edge_density, 88)] = 255</w:t>
      </w:r>
    </w:p>
    <w:p>
      <w:pPr>
        <w:spacing w:line="240" w:lineRule="auto" w:after="0"/>
        <w:shd w:val="clear" w:fill="F2F2F2"/>
      </w:pPr>
      <w:r>
        <w:rPr>
          <w:rFonts w:ascii="Consolas" w:hAnsi="Consolas" w:eastAsia="Consolas"/>
          <w:b w:val="0"/>
          <w:sz w:val="18"/>
        </w:rPr>
        <w:t xml:space="preserve">    return mask</w:t>
      </w:r>
    </w:p>
    <w:p>
      <w:pPr>
        <w:spacing w:after="120"/>
      </w:pPr>
    </w:p>
    <w:p>
      <w:pPr>
        <w:spacing w:before="120" w:after="280" w:line="360" w:lineRule="auto"/>
        <w:jc w:val="center"/>
        <w:outlineLvl w:val="0"/>
      </w:pPr>
      <w:r>
        <w:br w:type="page"/>
      </w:r>
      <w:r>
        <w:rPr>
          <w:rFonts w:ascii="黑体" w:hAnsi="黑体" w:eastAsia="黑体"/>
          <w:b/>
          <w:sz w:val="32"/>
        </w:rPr>
        <w:t>附录四  成果应用边界与数据合规声明</w:t>
      </w:r>
    </w:p>
    <w:p>
      <w:pPr>
        <w:spacing w:line="360" w:lineRule="auto" w:after="80"/>
        <w:jc w:val="both"/>
        <w:ind w:firstLineChars="200" w:firstLine="560"/>
      </w:pPr>
      <w:r>
        <w:rPr>
          <w:rFonts w:ascii="Times New Roman" w:hAnsi="Times New Roman" w:eastAsia="仿宋"/>
          <w:b w:val="0"/>
          <w:sz w:val="28"/>
        </w:rPr>
        <w:t>（1）功能定位：本系统为桥梁表观损伤智能检测的数字化辅助决策工具，其输出结果为检测工作提供辅助参考，不替代依法开展的定期检测、特殊检测、荷载试验和结构安全评估，不构成对桥梁结构安全的最终判定；正式检测成果必须由具有相应资质的专业人员复核确认并签认；</w:t>
      </w:r>
    </w:p>
    <w:p>
      <w:pPr>
        <w:spacing w:line="360" w:lineRule="auto" w:after="80"/>
        <w:jc w:val="both"/>
        <w:ind w:firstLineChars="200" w:firstLine="560"/>
      </w:pPr>
      <w:r>
        <w:rPr>
          <w:rFonts w:ascii="Times New Roman" w:hAnsi="Times New Roman" w:eastAsia="仿宋"/>
          <w:b w:val="0"/>
          <w:sz w:val="28"/>
        </w:rPr>
        <w:t>（2）可解释可复核：系统输出的损伤识别结果、尺寸数据和定位信息均保留中间过程数据，具备依据可查、过程可解释和人工可复核的特征；模型训练曲线、PR曲线、混淆矩阵及各项测试脚本与原始记录全部归档，可备查验；</w:t>
      </w:r>
    </w:p>
    <w:p>
      <w:pPr>
        <w:spacing w:line="360" w:lineRule="auto" w:after="80"/>
        <w:jc w:val="both"/>
        <w:ind w:firstLineChars="200" w:firstLine="560"/>
      </w:pPr>
      <w:r>
        <w:rPr>
          <w:rFonts w:ascii="Times New Roman" w:hAnsi="Times New Roman" w:eastAsia="仿宋"/>
          <w:b w:val="0"/>
          <w:sz w:val="28"/>
        </w:rPr>
        <w:t>（3）数据合规与脱敏：项目在数据采集与使用过程中严格遵守相关法律法规；涉及实际工程图像、检测报告、企业数据及人员信息时，依法取得授权或进行脱敏处理后方可使用；对外展示与参赛材料中不出现未授权的工程敏感信息；</w:t>
      </w:r>
    </w:p>
    <w:p>
      <w:pPr>
        <w:spacing w:line="360" w:lineRule="auto" w:after="80"/>
        <w:jc w:val="both"/>
        <w:ind w:firstLineChars="200" w:firstLine="560"/>
      </w:pPr>
      <w:r>
        <w:rPr>
          <w:rFonts w:ascii="Times New Roman" w:hAnsi="Times New Roman" w:eastAsia="仿宋"/>
          <w:b w:val="0"/>
          <w:sz w:val="28"/>
        </w:rPr>
        <w:t>（4）真实性承诺：本说明书全部技术指标如实呈现——基线模型mAP50约0.336、mAP50-95约0.085为真实实测结果；尺寸量化精度、定位精度与检测耗时为预期口径，已逐处标注，测试完成后以实测数据如实回填；团队成员、指导教师与企业证明材料待补充处均已明确标注，无任何虚构陈述。本团队承诺成果真实合法，不侵犯他人知识产权，接受评审专家与命题企业查验。</w:t>
      </w:r>
    </w:p>
    <w:sectPr w:rsidR="00FC693F" w:rsidRPr="0006063C" w:rsidSect="00034616">
      <w:headerReference w:type="default" r:id="rId9"/>
      <w:footerReference w:type="default" r:id="rId10"/>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7F7F7F"/>
        <w:sz w:val="18"/>
      </w:rPr>
      <w:t>智检桥安——基于人工智能与计算机视觉的桥梁表观损伤智能检测系统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智检桥安-命题解决方案（对标版）v1</dc:title>
  <dc:subject>中国国际大学生创新大赛（2026）产业赛道企业命题组</dc:subject>
  <dc:creator>智检桥安团队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