
<file path=[Content_Types].xml><?xml version="1.0" encoding="utf-8"?>
<Types xmlns="http://schemas.openxmlformats.org/package/2006/content-types">
  <Default Extension="xml" ContentType="application/xml"/>
  <Default Extension="xlsx" ContentType="application/vnd.openxmlformats-officedocument.spreadsheetml.sheet"/>
  <Default Extension="jpeg" ContentType="image/jpeg"/>
  <Default Extension="JPG" ContentType="image/.jpg"/>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media/image51.svg" ContentType="image/svg+xml"/>
  <Override PartName="/word/media/image5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2E90C2">
      <w:pPr>
        <w:jc w:val="left"/>
        <w:rPr>
          <w:rFonts w:ascii="Times New Roman" w:hAnsi="Times New Roman" w:eastAsia="微软雅黑" w:cs="Times New Roman"/>
          <w:sz w:val="32"/>
          <w:szCs w:val="20"/>
          <w:highlight w:val="none"/>
        </w:rPr>
        <w:sectPr>
          <w:headerReference r:id="rId3" w:type="default"/>
          <w:pgSz w:w="11906" w:h="16838"/>
          <w:pgMar w:top="1440" w:right="1800" w:bottom="1440" w:left="1800" w:header="397" w:footer="1077" w:gutter="0"/>
          <w:pgBorders>
            <w:top w:val="none" w:sz="0" w:space="0"/>
            <w:left w:val="none" w:sz="0" w:space="0"/>
            <w:bottom w:val="none" w:sz="0" w:space="0"/>
            <w:right w:val="none" w:sz="0" w:space="0"/>
          </w:pgBorders>
          <w:pgNumType w:fmt="decimal"/>
          <w:cols w:space="425" w:num="1"/>
          <w:docGrid w:type="lines" w:linePitch="312" w:charSpace="0"/>
        </w:sectPr>
      </w:pPr>
      <w:r>
        <w:rPr>
          <w:rFonts w:hint="eastAsia" w:ascii="Times New Roman" w:hAnsi="Times New Roman" w:eastAsia="微软雅黑" w:cs="Times New Roman"/>
          <w:sz w:val="32"/>
          <w:szCs w:val="20"/>
          <w:highlight w:val="none"/>
          <w:lang w:eastAsia="zh-CN"/>
        </w:rPr>
        <w:drawing>
          <wp:anchor distT="0" distB="0" distL="114300" distR="114300" simplePos="0" relativeHeight="251660288" behindDoc="0" locked="0" layoutInCell="1" allowOverlap="1">
            <wp:simplePos x="0" y="0"/>
            <wp:positionH relativeFrom="column">
              <wp:posOffset>-1143000</wp:posOffset>
            </wp:positionH>
            <wp:positionV relativeFrom="paragraph">
              <wp:posOffset>-914400</wp:posOffset>
            </wp:positionV>
            <wp:extent cx="7558405" cy="10692130"/>
            <wp:effectExtent l="0" t="0" r="10795" b="1270"/>
            <wp:wrapSquare wrapText="bothSides"/>
            <wp:docPr id="98" name="图片 98" descr="C:/Users/肖嫣钰/Desktop/封面.jpg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C:/Users/肖嫣钰/Desktop/封面.jpg封面"/>
                    <pic:cNvPicPr>
                      <a:picLocks noChangeAspect="1"/>
                    </pic:cNvPicPr>
                  </pic:nvPicPr>
                  <pic:blipFill>
                    <a:blip r:embed="rId7"/>
                    <a:srcRect l="8" r="8"/>
                    <a:stretch>
                      <a:fillRect/>
                    </a:stretch>
                  </pic:blipFill>
                  <pic:spPr>
                    <a:xfrm>
                      <a:off x="0" y="0"/>
                      <a:ext cx="7558405" cy="10692130"/>
                    </a:xfrm>
                    <a:prstGeom prst="rect">
                      <a:avLst/>
                    </a:prstGeom>
                  </pic:spPr>
                </pic:pic>
              </a:graphicData>
            </a:graphic>
          </wp:anchor>
        </w:drawing>
      </w:r>
    </w:p>
    <w:tbl>
      <w:tblPr>
        <w:tblStyle w:val="18"/>
        <w:tblpPr w:leftFromText="180" w:rightFromText="180" w:vertAnchor="page" w:horzAnchor="page" w:tblpX="6812" w:tblpY="185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0"/>
        <w:gridCol w:w="2515"/>
      </w:tblGrid>
      <w:tr w14:paraId="5B833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180" w:type="dxa"/>
            <w:vAlign w:val="center"/>
          </w:tcPr>
          <w:p w14:paraId="1511802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楷体" w:hAnsi="楷体" w:eastAsia="楷体" w:cs="楷体"/>
                <w:sz w:val="24"/>
                <w:szCs w:val="24"/>
                <w:highlight w:val="none"/>
                <w:vertAlign w:val="baseline"/>
                <w:lang w:eastAsia="zh-CN"/>
              </w:rPr>
            </w:pPr>
            <w:r>
              <w:rPr>
                <w:rFonts w:hint="eastAsia" w:ascii="楷体" w:hAnsi="楷体" w:eastAsia="楷体" w:cs="楷体"/>
                <w:sz w:val="24"/>
                <w:szCs w:val="24"/>
                <w:highlight w:val="none"/>
                <w:u w:val="none"/>
                <w:vertAlign w:val="baseline"/>
                <w:lang w:val="en-US" w:eastAsia="zh-CN"/>
              </w:rPr>
              <w:t>参赛</w:t>
            </w:r>
            <w:r>
              <w:rPr>
                <w:rFonts w:hint="eastAsia" w:ascii="楷体" w:hAnsi="楷体" w:eastAsia="楷体" w:cs="楷体"/>
                <w:sz w:val="24"/>
                <w:szCs w:val="24"/>
                <w:highlight w:val="none"/>
                <w:vertAlign w:val="baseline"/>
                <w:lang w:val="en-US" w:eastAsia="zh-CN"/>
              </w:rPr>
              <w:t>赛道与</w:t>
            </w:r>
            <w:r>
              <w:rPr>
                <w:rFonts w:hint="eastAsia" w:ascii="楷体" w:hAnsi="楷体" w:eastAsia="楷体" w:cs="楷体"/>
                <w:sz w:val="24"/>
                <w:szCs w:val="24"/>
                <w:highlight w:val="none"/>
                <w:u w:val="none"/>
                <w:vertAlign w:val="baseline"/>
                <w:lang w:val="en-US" w:eastAsia="zh-CN"/>
              </w:rPr>
              <w:t>组别</w:t>
            </w:r>
          </w:p>
        </w:tc>
        <w:tc>
          <w:tcPr>
            <w:tcW w:w="2515" w:type="dxa"/>
            <w:vAlign w:val="center"/>
          </w:tcPr>
          <w:p w14:paraId="1D16DFB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楷体" w:hAnsi="楷体" w:eastAsia="楷体" w:cs="楷体"/>
                <w:sz w:val="24"/>
                <w:szCs w:val="24"/>
                <w:highlight w:val="none"/>
                <w:vertAlign w:val="baseline"/>
                <w:lang w:val="en-US" w:eastAsia="zh-CN"/>
              </w:rPr>
            </w:pPr>
            <w:r>
              <w:rPr>
                <w:rFonts w:hint="eastAsia" w:ascii="楷体" w:hAnsi="楷体" w:eastAsia="楷体" w:cs="楷体"/>
                <w:b/>
                <w:bCs/>
                <w:sz w:val="24"/>
                <w:szCs w:val="24"/>
                <w:highlight w:val="none"/>
                <w:u w:val="single"/>
                <w:vertAlign w:val="baseline"/>
                <w:lang w:val="en-US" w:eastAsia="zh-CN"/>
              </w:rPr>
              <w:t>红旅</w:t>
            </w:r>
            <w:r>
              <w:rPr>
                <w:rFonts w:hint="eastAsia" w:ascii="楷体" w:hAnsi="楷体" w:eastAsia="楷体" w:cs="楷体"/>
                <w:sz w:val="24"/>
                <w:szCs w:val="24"/>
                <w:highlight w:val="none"/>
                <w:vertAlign w:val="baseline"/>
                <w:lang w:val="en-US" w:eastAsia="zh-CN"/>
              </w:rPr>
              <w:t>赛道</w:t>
            </w:r>
            <w:r>
              <w:rPr>
                <w:rFonts w:hint="eastAsia" w:ascii="楷体" w:hAnsi="楷体" w:eastAsia="楷体" w:cs="楷体"/>
                <w:b/>
                <w:bCs/>
                <w:sz w:val="24"/>
                <w:szCs w:val="24"/>
                <w:highlight w:val="none"/>
                <w:u w:val="single"/>
                <w:vertAlign w:val="baseline"/>
                <w:lang w:val="en-US" w:eastAsia="zh-CN"/>
              </w:rPr>
              <w:t>创意</w:t>
            </w:r>
            <w:r>
              <w:rPr>
                <w:rFonts w:hint="eastAsia" w:ascii="楷体" w:hAnsi="楷体" w:eastAsia="楷体" w:cs="楷体"/>
                <w:sz w:val="24"/>
                <w:szCs w:val="24"/>
                <w:highlight w:val="none"/>
                <w:vertAlign w:val="baseline"/>
                <w:lang w:val="en-US" w:eastAsia="zh-CN"/>
              </w:rPr>
              <w:t>组</w:t>
            </w:r>
          </w:p>
        </w:tc>
      </w:tr>
    </w:tbl>
    <w:p w14:paraId="067B3AA0">
      <w:pPr>
        <w:jc w:val="left"/>
        <w:rPr>
          <w:rFonts w:ascii="Times New Roman" w:hAnsi="Times New Roman" w:eastAsia="微软雅黑" w:cs="Times New Roman"/>
          <w:sz w:val="32"/>
          <w:szCs w:val="20"/>
          <w:highlight w:val="none"/>
        </w:rPr>
      </w:pPr>
    </w:p>
    <w:p w14:paraId="19D5A4AC">
      <w:pPr>
        <w:jc w:val="left"/>
        <w:rPr>
          <w:rFonts w:hint="eastAsia" w:ascii="楷体_GB2312" w:hAnsi="楷体_GB2312" w:eastAsia="楷体_GB2312" w:cs="楷体_GB2312"/>
          <w:b w:val="0"/>
          <w:bCs w:val="0"/>
          <w:sz w:val="52"/>
          <w:szCs w:val="32"/>
          <w:highlight w:val="none"/>
          <w:lang w:eastAsia="zh-CN"/>
        </w:rPr>
      </w:pPr>
    </w:p>
    <w:p w14:paraId="147E2402">
      <w:pPr>
        <w:jc w:val="left"/>
        <w:rPr>
          <w:rFonts w:hint="eastAsia" w:ascii="楷体_GB2312" w:hAnsi="楷体_GB2312" w:eastAsia="楷体_GB2312" w:cs="楷体_GB2312"/>
          <w:b/>
          <w:bCs/>
          <w:sz w:val="52"/>
          <w:szCs w:val="32"/>
          <w:highlight w:val="none"/>
          <w:lang w:eastAsia="zh-CN"/>
        </w:rPr>
      </w:pPr>
    </w:p>
    <w:p w14:paraId="331C01CC">
      <w:pPr>
        <w:jc w:val="center"/>
        <w:rPr>
          <w:rFonts w:hint="eastAsia" w:ascii="楷体" w:hAnsi="楷体" w:eastAsia="楷体" w:cs="楷体"/>
          <w:b/>
          <w:bCs/>
          <w:color w:val="000000" w:themeColor="text1"/>
          <w:sz w:val="60"/>
          <w:szCs w:val="40"/>
          <w:highlight w:val="none"/>
          <w:lang w:val="en-US" w:eastAsia="zh-CN"/>
          <w14:textFill>
            <w14:solidFill>
              <w14:schemeClr w14:val="tx1"/>
            </w14:solidFill>
          </w14:textFill>
        </w:rPr>
      </w:pPr>
      <w:r>
        <w:rPr>
          <w:rFonts w:hint="eastAsia" w:ascii="楷体" w:hAnsi="楷体" w:eastAsia="楷体" w:cs="楷体"/>
          <w:b/>
          <w:bCs/>
          <w:color w:val="000000" w:themeColor="text1"/>
          <w:sz w:val="60"/>
          <w:szCs w:val="60"/>
          <w:highlight w:val="none"/>
          <w:lang w:eastAsia="zh-CN"/>
          <w14:textFill>
            <w14:solidFill>
              <w14:schemeClr w14:val="tx1"/>
            </w14:solidFill>
          </w14:textFill>
        </w:rPr>
        <w:t>大学生创新大赛（</w:t>
      </w:r>
      <w:r>
        <w:rPr>
          <w:rFonts w:hint="eastAsia" w:ascii="楷体" w:hAnsi="楷体" w:eastAsia="楷体" w:cs="楷体"/>
          <w:b/>
          <w:bCs/>
          <w:color w:val="000000" w:themeColor="text1"/>
          <w:sz w:val="60"/>
          <w:szCs w:val="60"/>
          <w:highlight w:val="none"/>
          <w:lang w:val="en-US" w:eastAsia="zh-CN"/>
          <w14:textFill>
            <w14:solidFill>
              <w14:schemeClr w14:val="tx1"/>
            </w14:solidFill>
          </w14:textFill>
        </w:rPr>
        <w:t>2025</w:t>
      </w:r>
      <w:r>
        <w:rPr>
          <w:rFonts w:hint="eastAsia" w:ascii="楷体" w:hAnsi="楷体" w:eastAsia="楷体" w:cs="楷体"/>
          <w:b/>
          <w:bCs/>
          <w:color w:val="000000" w:themeColor="text1"/>
          <w:sz w:val="60"/>
          <w:szCs w:val="60"/>
          <w:highlight w:val="none"/>
          <w:lang w:eastAsia="zh-CN"/>
          <w14:textFill>
            <w14:solidFill>
              <w14:schemeClr w14:val="tx1"/>
            </w14:solidFill>
          </w14:textFill>
        </w:rPr>
        <w:t>）</w:t>
      </w:r>
    </w:p>
    <w:p w14:paraId="14C9F874">
      <w:pPr>
        <w:jc w:val="center"/>
        <w:rPr>
          <w:rFonts w:hint="eastAsia" w:ascii="楷体" w:hAnsi="楷体" w:eastAsia="楷体" w:cs="楷体"/>
          <w:b/>
          <w:bCs/>
          <w:color w:val="000000" w:themeColor="text1"/>
          <w:sz w:val="60"/>
          <w:szCs w:val="40"/>
          <w:highlight w:val="none"/>
          <w:lang w:eastAsia="zh-CN"/>
          <w14:textFill>
            <w14:solidFill>
              <w14:schemeClr w14:val="tx1"/>
            </w14:solidFill>
          </w14:textFill>
        </w:rPr>
      </w:pPr>
      <w:r>
        <w:rPr>
          <w:rFonts w:hint="eastAsia" w:ascii="楷体" w:hAnsi="楷体" w:eastAsia="楷体" w:cs="楷体"/>
          <w:b/>
          <w:bCs/>
          <w:color w:val="000000" w:themeColor="text1"/>
          <w:sz w:val="60"/>
          <w:szCs w:val="40"/>
          <w:highlight w:val="none"/>
          <w:lang w:eastAsia="zh-CN"/>
          <w14:textFill>
            <w14:solidFill>
              <w14:schemeClr w14:val="tx1"/>
            </w14:solidFill>
          </w14:textFill>
        </w:rPr>
        <w:t>项目计划书</w:t>
      </w:r>
    </w:p>
    <w:p w14:paraId="6B251901">
      <w:pPr>
        <w:jc w:val="center"/>
        <w:rPr>
          <w:rFonts w:hint="eastAsia" w:ascii="方正粗黑宋简体" w:hAnsi="方正粗黑宋简体" w:eastAsia="方正粗黑宋简体" w:cs="方正粗黑宋简体"/>
          <w:b/>
          <w:bCs/>
          <w:color w:val="000000" w:themeColor="text1"/>
          <w:sz w:val="52"/>
          <w:szCs w:val="32"/>
          <w:highlight w:val="none"/>
          <w:lang w:eastAsia="zh-CN"/>
          <w14:textFill>
            <w14:solidFill>
              <w14:schemeClr w14:val="tx1"/>
            </w14:solidFill>
          </w14:textFill>
        </w:rPr>
      </w:pPr>
    </w:p>
    <w:tbl>
      <w:tblPr>
        <w:tblStyle w:val="18"/>
        <w:tblpPr w:leftFromText="180" w:rightFromText="180" w:vertAnchor="text" w:horzAnchor="page" w:tblpX="2187" w:tblpY="93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90"/>
        <w:gridCol w:w="5996"/>
      </w:tblGrid>
      <w:tr w14:paraId="755F6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43" w:hRule="atLeast"/>
        </w:trPr>
        <w:tc>
          <w:tcPr>
            <w:tcW w:w="1490" w:type="dxa"/>
            <w:tcBorders>
              <w:tl2br w:val="nil"/>
              <w:tr2bl w:val="nil"/>
            </w:tcBorders>
            <w:shd w:val="clear" w:color="auto" w:fill="auto"/>
            <w:vAlign w:val="top"/>
          </w:tcPr>
          <w:p w14:paraId="25D0E80A">
            <w:pPr>
              <w:jc w:val="both"/>
              <w:rPr>
                <w:rFonts w:hint="eastAsia" w:ascii="Times New Roman" w:hAnsi="Times New Roman" w:eastAsia="楷体" w:cs="楷体"/>
                <w:b/>
                <w:bCs/>
                <w:color w:val="000000" w:themeColor="text1"/>
                <w:sz w:val="28"/>
                <w:szCs w:val="28"/>
                <w:highlight w:val="none"/>
                <w:u w:val="none"/>
                <w:shd w:val="clear" w:color="auto" w:fill="auto"/>
                <w:vertAlign w:val="baseline"/>
                <w14:textFill>
                  <w14:solidFill>
                    <w14:schemeClr w14:val="tx1"/>
                  </w14:solidFill>
                </w14:textFill>
              </w:rPr>
            </w:pPr>
            <w:r>
              <w:rPr>
                <w:rFonts w:hint="eastAsia" w:ascii="Times New Roman" w:hAnsi="Times New Roman" w:eastAsia="楷体" w:cs="楷体"/>
                <w:b/>
                <w:bCs/>
                <w:color w:val="000000" w:themeColor="text1"/>
                <w:sz w:val="28"/>
                <w:szCs w:val="28"/>
                <w:highlight w:val="none"/>
                <w:u w:val="none"/>
                <w:shd w:val="clear" w:color="auto" w:fill="auto"/>
                <w14:textFill>
                  <w14:solidFill>
                    <w14:schemeClr w14:val="tx1"/>
                  </w14:solidFill>
                </w14:textFill>
              </w:rPr>
              <w:t>项目名称：</w:t>
            </w:r>
          </w:p>
        </w:tc>
        <w:tc>
          <w:tcPr>
            <w:tcW w:w="5996" w:type="dxa"/>
            <w:tcBorders>
              <w:tl2br w:val="nil"/>
              <w:tr2bl w:val="nil"/>
            </w:tcBorders>
            <w:shd w:val="clear" w:color="auto" w:fill="auto"/>
            <w:vAlign w:val="top"/>
          </w:tcPr>
          <w:p w14:paraId="7543C05B">
            <w:pPr>
              <w:jc w:val="both"/>
              <w:rPr>
                <w:rFonts w:hint="default" w:ascii="Times New Roman" w:hAnsi="Times New Roman" w:eastAsia="楷体" w:cs="楷体"/>
                <w:b/>
                <w:bCs w:val="0"/>
                <w:color w:val="000000" w:themeColor="text1"/>
                <w:sz w:val="28"/>
                <w:szCs w:val="28"/>
                <w:highlight w:val="none"/>
                <w:u w:val="thick"/>
                <w:shd w:val="clear" w:color="auto" w:fill="auto"/>
                <w:vertAlign w:val="baseline"/>
                <w:lang w:val="en-US" w:eastAsia="zh-CN"/>
                <w14:textFill>
                  <w14:solidFill>
                    <w14:schemeClr w14:val="tx1"/>
                  </w14:solidFill>
                </w14:textFill>
              </w:rPr>
            </w:pPr>
            <w:r>
              <w:rPr>
                <w:rFonts w:hint="default" w:ascii="Times New Roman" w:hAnsi="Times New Roman" w:eastAsia="楷体" w:cs="Times New Roman"/>
                <w:b/>
                <w:bCs w:val="0"/>
                <w:color w:val="000000" w:themeColor="text1"/>
                <w:sz w:val="28"/>
                <w:highlight w:val="none"/>
                <w:u w:val="thick"/>
                <w:shd w:val="clear" w:color="auto" w:fill="auto"/>
                <w14:textFill>
                  <w14:solidFill>
                    <w14:schemeClr w14:val="tx1"/>
                  </w14:solidFill>
                </w14:textFill>
              </w:rPr>
              <w:t>轻装上</w:t>
            </w:r>
            <w:r>
              <w:rPr>
                <w:rFonts w:hint="eastAsia" w:cs="Times New Roman"/>
                <w:b/>
                <w:bCs w:val="0"/>
                <w:color w:val="000000" w:themeColor="text1"/>
                <w:sz w:val="28"/>
                <w:highlight w:val="none"/>
                <w:u w:val="thick"/>
                <w:shd w:val="clear" w:color="auto" w:fill="auto"/>
                <w:lang w:eastAsia="zh-CN"/>
                <w14:textFill>
                  <w14:solidFill>
                    <w14:schemeClr w14:val="tx1"/>
                  </w14:solidFill>
                </w14:textFill>
              </w:rPr>
              <w:t>”</w:t>
            </w:r>
            <w:r>
              <w:rPr>
                <w:rFonts w:hint="default" w:ascii="Times New Roman" w:hAnsi="Times New Roman" w:eastAsia="楷体" w:cs="Times New Roman"/>
                <w:b/>
                <w:bCs w:val="0"/>
                <w:color w:val="000000" w:themeColor="text1"/>
                <w:sz w:val="28"/>
                <w:highlight w:val="none"/>
                <w:u w:val="thick"/>
                <w:shd w:val="clear" w:color="auto" w:fill="auto"/>
                <w14:textFill>
                  <w14:solidFill>
                    <w14:schemeClr w14:val="tx1"/>
                  </w14:solidFill>
                </w14:textFill>
              </w:rPr>
              <w:t>震</w:t>
            </w:r>
            <w:r>
              <w:rPr>
                <w:rFonts w:hint="eastAsia" w:cs="Times New Roman"/>
                <w:b/>
                <w:bCs w:val="0"/>
                <w:color w:val="000000" w:themeColor="text1"/>
                <w:sz w:val="28"/>
                <w:highlight w:val="none"/>
                <w:u w:val="thick"/>
                <w:shd w:val="clear" w:color="auto" w:fill="auto"/>
                <w:lang w:eastAsia="zh-CN"/>
                <w14:textFill>
                  <w14:solidFill>
                    <w14:schemeClr w14:val="tx1"/>
                  </w14:solidFill>
                </w14:textFill>
              </w:rPr>
              <w:t>”</w:t>
            </w:r>
            <w:r>
              <w:rPr>
                <w:rFonts w:hint="eastAsia" w:ascii="Times New Roman" w:hAnsi="Times New Roman" w:eastAsia="楷体" w:cs="楷体"/>
                <w:b/>
                <w:bCs w:val="0"/>
                <w:color w:val="000000" w:themeColor="text1"/>
                <w:sz w:val="28"/>
                <w:szCs w:val="28"/>
                <w:highlight w:val="none"/>
                <w:u w:val="thick"/>
                <w:shd w:val="clear" w:color="auto" w:fill="auto"/>
                <w:lang w:val="en-US" w:eastAsia="zh-CN"/>
                <w14:textFill>
                  <w14:solidFill>
                    <w14:schemeClr w14:val="tx1"/>
                  </w14:solidFill>
                </w14:textFill>
              </w:rPr>
              <w:t>——</w:t>
            </w:r>
            <w:r>
              <w:rPr>
                <w:rFonts w:hint="default" w:ascii="Times New Roman" w:hAnsi="Times New Roman" w:eastAsia="楷体" w:cs="Times New Roman"/>
                <w:b/>
                <w:bCs w:val="0"/>
                <w:color w:val="000000" w:themeColor="text1"/>
                <w:sz w:val="28"/>
                <w:highlight w:val="none"/>
                <w:u w:val="thick"/>
                <w:shd w:val="clear" w:color="auto" w:fill="auto"/>
                <w14:textFill>
                  <w14:solidFill>
                    <w14:schemeClr w14:val="tx1"/>
                  </w14:solidFill>
                </w14:textFill>
              </w:rPr>
              <w:t>村镇建筑新型简易隔震</w:t>
            </w:r>
            <w:r>
              <w:rPr>
                <w:rFonts w:hint="eastAsia" w:ascii="Times New Roman" w:hAnsi="Times New Roman" w:eastAsia="楷体" w:cs="Times New Roman"/>
                <w:b/>
                <w:bCs w:val="0"/>
                <w:color w:val="000000" w:themeColor="text1"/>
                <w:sz w:val="28"/>
                <w:highlight w:val="none"/>
                <w:u w:val="thick"/>
                <w:shd w:val="clear" w:color="auto" w:fill="auto"/>
                <w:lang w:val="en-US" w:eastAsia="zh-CN"/>
                <w14:textFill>
                  <w14:solidFill>
                    <w14:schemeClr w14:val="tx1"/>
                  </w14:solidFill>
                </w14:textFill>
              </w:rPr>
              <w:t>支座</w:t>
            </w:r>
          </w:p>
        </w:tc>
      </w:tr>
      <w:tr w14:paraId="6B1F6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3" w:hRule="atLeast"/>
        </w:trPr>
        <w:tc>
          <w:tcPr>
            <w:tcW w:w="1490" w:type="dxa"/>
            <w:tcBorders>
              <w:tl2br w:val="nil"/>
              <w:tr2bl w:val="nil"/>
            </w:tcBorders>
            <w:shd w:val="clear" w:color="auto" w:fill="auto"/>
            <w:vAlign w:val="top"/>
          </w:tcPr>
          <w:p w14:paraId="19D9FB6D">
            <w:pPr>
              <w:jc w:val="both"/>
              <w:rPr>
                <w:rFonts w:hint="eastAsia" w:ascii="Times New Roman" w:hAnsi="Times New Roman" w:eastAsia="楷体" w:cs="楷体"/>
                <w:b/>
                <w:bCs/>
                <w:color w:val="000000" w:themeColor="text1"/>
                <w:sz w:val="28"/>
                <w:szCs w:val="28"/>
                <w:highlight w:val="none"/>
                <w:u w:val="none"/>
                <w:shd w:val="clear" w:color="auto" w:fill="auto"/>
                <w:vertAlign w:val="baseline"/>
                <w14:textFill>
                  <w14:solidFill>
                    <w14:schemeClr w14:val="tx1"/>
                  </w14:solidFill>
                </w14:textFill>
              </w:rPr>
            </w:pPr>
            <w:r>
              <w:rPr>
                <w:rFonts w:hint="eastAsia" w:ascii="Times New Roman" w:hAnsi="Times New Roman" w:eastAsia="楷体" w:cs="楷体"/>
                <w:b/>
                <w:bCs/>
                <w:color w:val="000000" w:themeColor="text1"/>
                <w:sz w:val="28"/>
                <w:szCs w:val="28"/>
                <w:highlight w:val="none"/>
                <w:u w:val="none"/>
                <w:shd w:val="clear" w:color="auto" w:fill="auto"/>
                <w14:textFill>
                  <w14:solidFill>
                    <w14:schemeClr w14:val="tx1"/>
                  </w14:solidFill>
                </w14:textFill>
              </w:rPr>
              <w:t>负 责 人：</w:t>
            </w:r>
          </w:p>
        </w:tc>
        <w:tc>
          <w:tcPr>
            <w:tcW w:w="5996" w:type="dxa"/>
            <w:tcBorders>
              <w:tl2br w:val="nil"/>
              <w:tr2bl w:val="nil"/>
            </w:tcBorders>
            <w:shd w:val="clear" w:color="auto" w:fill="auto"/>
            <w:vAlign w:val="top"/>
          </w:tcPr>
          <w:p w14:paraId="5A97D94B">
            <w:pPr>
              <w:jc w:val="both"/>
              <w:rPr>
                <w:rFonts w:hint="default" w:ascii="Times New Roman" w:hAnsi="Times New Roman" w:eastAsia="楷体"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pPr>
            <w:r>
              <w:rPr>
                <w:rFonts w:hint="eastAsia" w:ascii="Times New Roman" w:hAnsi="Times New Roman" w:eastAsia="楷体"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t xml:space="preserve">            </w:t>
            </w:r>
            <w:r>
              <w:rPr>
                <w:rFonts w:hint="eastAsia"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t xml:space="preserve"> </w:t>
            </w:r>
            <w:r>
              <w:rPr>
                <w:rFonts w:hint="eastAsia" w:ascii="Times New Roman" w:hAnsi="Times New Roman" w:eastAsia="楷体"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t xml:space="preserve">    </w:t>
            </w:r>
            <w:r>
              <w:rPr>
                <w:rFonts w:hint="eastAsia"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t>刘颜</w:t>
            </w:r>
            <w:r>
              <w:rPr>
                <w:rFonts w:hint="eastAsia" w:ascii="Times New Roman" w:hAnsi="Times New Roman" w:eastAsia="楷体"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t xml:space="preserve">    </w:t>
            </w:r>
            <w:r>
              <w:rPr>
                <w:rFonts w:hint="eastAsia"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t xml:space="preserve">   </w:t>
            </w:r>
            <w:r>
              <w:rPr>
                <w:rFonts w:hint="eastAsia" w:ascii="Times New Roman" w:hAnsi="Times New Roman" w:eastAsia="楷体"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t xml:space="preserve">  </w:t>
            </w:r>
            <w:r>
              <w:rPr>
                <w:rFonts w:hint="eastAsia"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t xml:space="preserve">  </w:t>
            </w:r>
            <w:r>
              <w:rPr>
                <w:rFonts w:hint="eastAsia" w:ascii="Times New Roman" w:hAnsi="Times New Roman" w:eastAsia="楷体"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t xml:space="preserve">           </w:t>
            </w:r>
          </w:p>
        </w:tc>
      </w:tr>
      <w:tr w14:paraId="2DDE7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3" w:hRule="atLeast"/>
        </w:trPr>
        <w:tc>
          <w:tcPr>
            <w:tcW w:w="1490" w:type="dxa"/>
            <w:tcBorders>
              <w:tl2br w:val="nil"/>
              <w:tr2bl w:val="nil"/>
            </w:tcBorders>
            <w:shd w:val="clear" w:color="auto" w:fill="auto"/>
            <w:vAlign w:val="top"/>
          </w:tcPr>
          <w:p w14:paraId="014B38B9">
            <w:pPr>
              <w:jc w:val="both"/>
              <w:rPr>
                <w:rFonts w:hint="eastAsia" w:ascii="Times New Roman" w:hAnsi="Times New Roman" w:eastAsia="楷体" w:cs="楷体"/>
                <w:b/>
                <w:bCs/>
                <w:color w:val="000000" w:themeColor="text1"/>
                <w:sz w:val="28"/>
                <w:szCs w:val="28"/>
                <w:highlight w:val="none"/>
                <w:u w:val="none"/>
                <w:shd w:val="clear" w:color="auto" w:fill="auto"/>
                <w:vertAlign w:val="baseline"/>
                <w14:textFill>
                  <w14:solidFill>
                    <w14:schemeClr w14:val="tx1"/>
                  </w14:solidFill>
                </w14:textFill>
              </w:rPr>
            </w:pPr>
            <w:r>
              <w:rPr>
                <w:rFonts w:hint="eastAsia" w:ascii="Times New Roman" w:hAnsi="Times New Roman" w:eastAsia="楷体" w:cs="楷体"/>
                <w:b/>
                <w:bCs/>
                <w:color w:val="000000" w:themeColor="text1"/>
                <w:sz w:val="28"/>
                <w:szCs w:val="28"/>
                <w:highlight w:val="none"/>
                <w:u w:val="none"/>
                <w:shd w:val="clear" w:color="auto" w:fill="auto"/>
                <w:lang w:eastAsia="zh-CN"/>
                <w14:textFill>
                  <w14:solidFill>
                    <w14:schemeClr w14:val="tx1"/>
                  </w14:solidFill>
                </w14:textFill>
              </w:rPr>
              <w:t>联系电话</w:t>
            </w:r>
            <w:r>
              <w:rPr>
                <w:rFonts w:hint="eastAsia" w:ascii="Times New Roman" w:hAnsi="Times New Roman" w:eastAsia="楷体" w:cs="楷体"/>
                <w:b/>
                <w:bCs/>
                <w:color w:val="000000" w:themeColor="text1"/>
                <w:sz w:val="28"/>
                <w:szCs w:val="28"/>
                <w:highlight w:val="none"/>
                <w:u w:val="none"/>
                <w:shd w:val="clear" w:color="auto" w:fill="auto"/>
                <w14:textFill>
                  <w14:solidFill>
                    <w14:schemeClr w14:val="tx1"/>
                  </w14:solidFill>
                </w14:textFill>
              </w:rPr>
              <w:t>：</w:t>
            </w:r>
          </w:p>
        </w:tc>
        <w:tc>
          <w:tcPr>
            <w:tcW w:w="5996" w:type="dxa"/>
            <w:tcBorders>
              <w:tl2br w:val="nil"/>
              <w:tr2bl w:val="nil"/>
            </w:tcBorders>
            <w:shd w:val="clear" w:color="auto" w:fill="auto"/>
            <w:vAlign w:val="top"/>
          </w:tcPr>
          <w:p w14:paraId="4100FC88">
            <w:pPr>
              <w:jc w:val="both"/>
              <w:rPr>
                <w:rFonts w:hint="default" w:ascii="Times New Roman" w:hAnsi="Times New Roman" w:eastAsia="楷体"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pPr>
            <w:r>
              <w:rPr>
                <w:rFonts w:hint="eastAsia" w:ascii="Times New Roman" w:hAnsi="Times New Roman" w:eastAsia="楷体"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t xml:space="preserve">              1</w:t>
            </w:r>
            <w:r>
              <w:rPr>
                <w:rFonts w:hint="eastAsia"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t>5570838583</w:t>
            </w:r>
            <w:r>
              <w:rPr>
                <w:rFonts w:hint="eastAsia" w:ascii="Times New Roman" w:hAnsi="Times New Roman" w:eastAsia="楷体"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t xml:space="preserve">    </w:t>
            </w:r>
            <w:r>
              <w:rPr>
                <w:rFonts w:hint="eastAsia"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t xml:space="preserve">   </w:t>
            </w:r>
            <w:r>
              <w:rPr>
                <w:rFonts w:hint="eastAsia" w:ascii="Times New Roman" w:hAnsi="Times New Roman" w:eastAsia="楷体"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t xml:space="preserve">          </w:t>
            </w:r>
          </w:p>
        </w:tc>
      </w:tr>
      <w:tr w14:paraId="577CE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43" w:hRule="atLeast"/>
        </w:trPr>
        <w:tc>
          <w:tcPr>
            <w:tcW w:w="1490" w:type="dxa"/>
            <w:tcBorders>
              <w:tl2br w:val="nil"/>
              <w:tr2bl w:val="nil"/>
            </w:tcBorders>
            <w:shd w:val="clear" w:color="auto" w:fill="auto"/>
            <w:vAlign w:val="top"/>
          </w:tcPr>
          <w:p w14:paraId="2128385F">
            <w:pPr>
              <w:jc w:val="both"/>
              <w:rPr>
                <w:rFonts w:hint="eastAsia" w:ascii="Times New Roman" w:hAnsi="Times New Roman" w:eastAsia="楷体" w:cs="楷体"/>
                <w:b/>
                <w:bCs/>
                <w:color w:val="000000" w:themeColor="text1"/>
                <w:sz w:val="28"/>
                <w:szCs w:val="28"/>
                <w:highlight w:val="none"/>
                <w:u w:val="none"/>
                <w:shd w:val="clear" w:color="auto" w:fill="auto"/>
                <w:vertAlign w:val="baseline"/>
                <w14:textFill>
                  <w14:solidFill>
                    <w14:schemeClr w14:val="tx1"/>
                  </w14:solidFill>
                </w14:textFill>
              </w:rPr>
            </w:pPr>
            <w:r>
              <w:rPr>
                <w:rFonts w:hint="eastAsia" w:ascii="Times New Roman" w:hAnsi="Times New Roman" w:eastAsia="楷体" w:cs="楷体"/>
                <w:b/>
                <w:bCs/>
                <w:color w:val="000000" w:themeColor="text1"/>
                <w:sz w:val="28"/>
                <w:szCs w:val="28"/>
                <w:highlight w:val="none"/>
                <w:u w:val="none"/>
                <w:shd w:val="clear" w:color="auto" w:fill="auto"/>
                <w:lang w:eastAsia="zh-CN"/>
                <w14:textFill>
                  <w14:solidFill>
                    <w14:schemeClr w14:val="tx1"/>
                  </w14:solidFill>
                </w14:textFill>
              </w:rPr>
              <w:t>联系</w:t>
            </w:r>
            <w:r>
              <w:rPr>
                <w:rFonts w:hint="eastAsia" w:ascii="Times New Roman" w:hAnsi="Times New Roman" w:eastAsia="楷体" w:cs="楷体"/>
                <w:b/>
                <w:bCs/>
                <w:color w:val="000000" w:themeColor="text1"/>
                <w:sz w:val="28"/>
                <w:szCs w:val="28"/>
                <w:highlight w:val="none"/>
                <w:u w:val="none"/>
                <w:shd w:val="clear" w:color="auto" w:fill="auto"/>
                <w:lang w:val="en-US" w:eastAsia="zh-CN"/>
                <w14:textFill>
                  <w14:solidFill>
                    <w14:schemeClr w14:val="tx1"/>
                  </w14:solidFill>
                </w14:textFill>
              </w:rPr>
              <w:t>QQ</w:t>
            </w:r>
            <w:r>
              <w:rPr>
                <w:rFonts w:hint="eastAsia" w:ascii="Times New Roman" w:hAnsi="Times New Roman" w:eastAsia="楷体" w:cs="楷体"/>
                <w:b/>
                <w:bCs/>
                <w:color w:val="000000" w:themeColor="text1"/>
                <w:sz w:val="28"/>
                <w:szCs w:val="28"/>
                <w:highlight w:val="none"/>
                <w:u w:val="none"/>
                <w:shd w:val="clear" w:color="auto" w:fill="auto"/>
                <w14:textFill>
                  <w14:solidFill>
                    <w14:schemeClr w14:val="tx1"/>
                  </w14:solidFill>
                </w14:textFill>
              </w:rPr>
              <w:t>：</w:t>
            </w:r>
          </w:p>
        </w:tc>
        <w:tc>
          <w:tcPr>
            <w:tcW w:w="5996" w:type="dxa"/>
            <w:tcBorders>
              <w:tl2br w:val="nil"/>
              <w:tr2bl w:val="nil"/>
            </w:tcBorders>
            <w:shd w:val="clear" w:color="auto" w:fill="auto"/>
            <w:vAlign w:val="top"/>
          </w:tcPr>
          <w:p w14:paraId="753661E4">
            <w:pPr>
              <w:jc w:val="both"/>
              <w:rPr>
                <w:rFonts w:hint="default" w:ascii="Times New Roman" w:hAnsi="Times New Roman" w:eastAsia="楷体"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pPr>
            <w:r>
              <w:rPr>
                <w:rFonts w:hint="eastAsia" w:ascii="Times New Roman" w:hAnsi="Times New Roman" w:eastAsia="楷体"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t xml:space="preserve">             </w:t>
            </w:r>
            <w:r>
              <w:rPr>
                <w:rFonts w:hint="eastAsia"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t xml:space="preserve"> </w:t>
            </w:r>
            <w:r>
              <w:rPr>
                <w:rFonts w:hint="eastAsia" w:ascii="Times New Roman" w:hAnsi="Times New Roman" w:eastAsia="楷体"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t xml:space="preserve"> </w:t>
            </w:r>
            <w:r>
              <w:rPr>
                <w:rFonts w:hint="eastAsia"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t>2070253054</w:t>
            </w:r>
            <w:r>
              <w:rPr>
                <w:rFonts w:hint="eastAsia" w:ascii="Times New Roman" w:hAnsi="Times New Roman" w:eastAsia="楷体"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t xml:space="preserve">    </w:t>
            </w:r>
            <w:r>
              <w:rPr>
                <w:rFonts w:hint="eastAsia"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t xml:space="preserve"> </w:t>
            </w:r>
            <w:r>
              <w:rPr>
                <w:rFonts w:hint="eastAsia" w:ascii="Times New Roman" w:hAnsi="Times New Roman" w:eastAsia="楷体"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t xml:space="preserve">        </w:t>
            </w:r>
            <w:r>
              <w:rPr>
                <w:rFonts w:hint="eastAsia"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t xml:space="preserve"> </w:t>
            </w:r>
            <w:r>
              <w:rPr>
                <w:rFonts w:hint="eastAsia" w:ascii="Times New Roman" w:hAnsi="Times New Roman" w:eastAsia="楷体"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t xml:space="preserve">  </w:t>
            </w:r>
          </w:p>
        </w:tc>
      </w:tr>
      <w:tr w14:paraId="3111F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3" w:hRule="atLeast"/>
        </w:trPr>
        <w:tc>
          <w:tcPr>
            <w:tcW w:w="1490" w:type="dxa"/>
            <w:tcBorders>
              <w:tl2br w:val="nil"/>
              <w:tr2bl w:val="nil"/>
            </w:tcBorders>
            <w:shd w:val="clear" w:color="auto" w:fill="auto"/>
            <w:vAlign w:val="top"/>
          </w:tcPr>
          <w:p w14:paraId="11CC5668">
            <w:pPr>
              <w:jc w:val="both"/>
              <w:rPr>
                <w:rFonts w:hint="eastAsia" w:ascii="Times New Roman" w:hAnsi="Times New Roman" w:eastAsia="楷体" w:cs="楷体"/>
                <w:b/>
                <w:bCs/>
                <w:color w:val="000000" w:themeColor="text1"/>
                <w:sz w:val="28"/>
                <w:szCs w:val="28"/>
                <w:highlight w:val="none"/>
                <w:u w:val="none"/>
                <w:shd w:val="clear" w:color="auto" w:fill="auto"/>
                <w:vertAlign w:val="baseline"/>
                <w14:textFill>
                  <w14:solidFill>
                    <w14:schemeClr w14:val="tx1"/>
                  </w14:solidFill>
                </w14:textFill>
              </w:rPr>
            </w:pPr>
            <w:r>
              <w:rPr>
                <w:rFonts w:hint="eastAsia" w:ascii="Times New Roman" w:hAnsi="Times New Roman" w:eastAsia="楷体" w:cs="楷体"/>
                <w:b/>
                <w:bCs/>
                <w:color w:val="000000" w:themeColor="text1"/>
                <w:sz w:val="28"/>
                <w:szCs w:val="28"/>
                <w:highlight w:val="none"/>
                <w:u w:val="none"/>
                <w:shd w:val="clear" w:color="auto" w:fill="auto"/>
                <w14:textFill>
                  <w14:solidFill>
                    <w14:schemeClr w14:val="tx1"/>
                  </w14:solidFill>
                </w14:textFill>
              </w:rPr>
              <w:t>所</w:t>
            </w:r>
            <w:r>
              <w:rPr>
                <w:rFonts w:hint="eastAsia" w:ascii="Times New Roman" w:hAnsi="Times New Roman" w:eastAsia="楷体" w:cs="楷体"/>
                <w:b/>
                <w:bCs/>
                <w:color w:val="000000" w:themeColor="text1"/>
                <w:sz w:val="28"/>
                <w:szCs w:val="28"/>
                <w:highlight w:val="none"/>
                <w:u w:val="none"/>
                <w:shd w:val="clear" w:color="auto" w:fill="auto"/>
                <w:lang w:eastAsia="zh-CN"/>
                <w14:textFill>
                  <w14:solidFill>
                    <w14:schemeClr w14:val="tx1"/>
                  </w14:solidFill>
                </w14:textFill>
              </w:rPr>
              <w:t>属</w:t>
            </w:r>
            <w:r>
              <w:rPr>
                <w:rFonts w:hint="eastAsia" w:ascii="Times New Roman" w:hAnsi="Times New Roman" w:eastAsia="楷体" w:cs="楷体"/>
                <w:b/>
                <w:bCs/>
                <w:color w:val="000000" w:themeColor="text1"/>
                <w:sz w:val="28"/>
                <w:szCs w:val="28"/>
                <w:highlight w:val="none"/>
                <w:u w:val="none"/>
                <w:shd w:val="clear" w:color="auto" w:fill="auto"/>
                <w14:textFill>
                  <w14:solidFill>
                    <w14:schemeClr w14:val="tx1"/>
                  </w14:solidFill>
                </w14:textFill>
              </w:rPr>
              <w:t>学院：</w:t>
            </w:r>
          </w:p>
        </w:tc>
        <w:tc>
          <w:tcPr>
            <w:tcW w:w="5996" w:type="dxa"/>
            <w:tcBorders>
              <w:tl2br w:val="nil"/>
              <w:tr2bl w:val="nil"/>
            </w:tcBorders>
            <w:shd w:val="clear" w:color="auto" w:fill="auto"/>
            <w:vAlign w:val="top"/>
          </w:tcPr>
          <w:p w14:paraId="04FB9428">
            <w:pPr>
              <w:jc w:val="both"/>
              <w:rPr>
                <w:rFonts w:hint="default" w:ascii="Times New Roman" w:hAnsi="Times New Roman" w:eastAsia="楷体"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pPr>
            <w:r>
              <w:rPr>
                <w:rFonts w:hint="eastAsia" w:ascii="Times New Roman" w:hAnsi="Times New Roman" w:eastAsia="楷体"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t xml:space="preserve">   </w:t>
            </w:r>
            <w:r>
              <w:rPr>
                <w:rFonts w:hint="eastAsia"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t xml:space="preserve">  </w:t>
            </w:r>
            <w:r>
              <w:rPr>
                <w:rFonts w:hint="eastAsia" w:ascii="Times New Roman" w:hAnsi="Times New Roman" w:eastAsia="楷体"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t xml:space="preserve">      </w:t>
            </w:r>
            <w:r>
              <w:rPr>
                <w:rFonts w:hint="eastAsia"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t xml:space="preserve"> </w:t>
            </w:r>
            <w:r>
              <w:rPr>
                <w:rFonts w:hint="eastAsia" w:ascii="Times New Roman" w:hAnsi="Times New Roman" w:eastAsia="楷体"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t xml:space="preserve">  土木与建筑学院    </w:t>
            </w:r>
            <w:r>
              <w:rPr>
                <w:rFonts w:hint="eastAsia"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t xml:space="preserve">  </w:t>
            </w:r>
            <w:r>
              <w:rPr>
                <w:rFonts w:hint="eastAsia" w:ascii="Times New Roman" w:hAnsi="Times New Roman" w:eastAsia="楷体"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t xml:space="preserve"> </w:t>
            </w:r>
            <w:r>
              <w:rPr>
                <w:rFonts w:hint="eastAsia"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t xml:space="preserve"> </w:t>
            </w:r>
            <w:r>
              <w:rPr>
                <w:rFonts w:hint="eastAsia" w:ascii="Times New Roman" w:hAnsi="Times New Roman" w:eastAsia="楷体"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t xml:space="preserve">       </w:t>
            </w:r>
          </w:p>
        </w:tc>
      </w:tr>
      <w:tr w14:paraId="32C2F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43" w:hRule="atLeast"/>
        </w:trPr>
        <w:tc>
          <w:tcPr>
            <w:tcW w:w="1490" w:type="dxa"/>
            <w:tcBorders>
              <w:tl2br w:val="nil"/>
              <w:tr2bl w:val="nil"/>
            </w:tcBorders>
            <w:shd w:val="clear" w:color="auto" w:fill="auto"/>
            <w:vAlign w:val="top"/>
          </w:tcPr>
          <w:p w14:paraId="43680DF7">
            <w:pPr>
              <w:jc w:val="both"/>
              <w:rPr>
                <w:rFonts w:hint="eastAsia" w:ascii="Times New Roman" w:hAnsi="Times New Roman" w:eastAsia="楷体" w:cs="楷体"/>
                <w:b/>
                <w:bCs/>
                <w:color w:val="000000" w:themeColor="text1"/>
                <w:sz w:val="28"/>
                <w:szCs w:val="28"/>
                <w:highlight w:val="none"/>
                <w:u w:val="none"/>
                <w:shd w:val="clear" w:color="auto" w:fill="auto"/>
                <w:vertAlign w:val="baseline"/>
                <w14:textFill>
                  <w14:solidFill>
                    <w14:schemeClr w14:val="tx1"/>
                  </w14:solidFill>
                </w14:textFill>
              </w:rPr>
            </w:pPr>
            <w:r>
              <w:rPr>
                <w:rFonts w:hint="eastAsia" w:ascii="Times New Roman" w:hAnsi="Times New Roman" w:eastAsia="楷体" w:cs="楷体"/>
                <w:b/>
                <w:bCs/>
                <w:color w:val="000000" w:themeColor="text1"/>
                <w:sz w:val="28"/>
                <w:szCs w:val="28"/>
                <w:highlight w:val="none"/>
                <w:u w:val="none"/>
                <w:shd w:val="clear" w:color="auto" w:fill="auto"/>
                <w:lang w:eastAsia="zh-CN"/>
                <w14:textFill>
                  <w14:solidFill>
                    <w14:schemeClr w14:val="tx1"/>
                  </w14:solidFill>
                </w14:textFill>
              </w:rPr>
              <w:t>团队成员：</w:t>
            </w:r>
          </w:p>
        </w:tc>
        <w:tc>
          <w:tcPr>
            <w:tcW w:w="5996" w:type="dxa"/>
            <w:tcBorders>
              <w:tl2br w:val="nil"/>
              <w:tr2bl w:val="nil"/>
            </w:tcBorders>
            <w:shd w:val="clear" w:color="auto" w:fill="auto"/>
            <w:vAlign w:val="top"/>
          </w:tcPr>
          <w:p w14:paraId="74A2E0F0">
            <w:pPr>
              <w:keepNext w:val="0"/>
              <w:keepLines w:val="0"/>
              <w:pageBreakBefore w:val="0"/>
              <w:widowControl w:val="0"/>
              <w:kinsoku/>
              <w:wordWrap/>
              <w:overflowPunct/>
              <w:topLinePunct w:val="0"/>
              <w:autoSpaceDE/>
              <w:autoSpaceDN/>
              <w:bidi w:val="0"/>
              <w:adjustRightInd/>
              <w:snapToGrid/>
              <w:spacing w:line="480" w:lineRule="exact"/>
              <w:jc w:val="both"/>
              <w:textAlignment w:val="auto"/>
              <w:rPr>
                <w:rFonts w:hint="default" w:cs="Times New Roman"/>
                <w:b/>
                <w:bCs w:val="0"/>
                <w:color w:val="000000" w:themeColor="text1"/>
                <w:sz w:val="28"/>
                <w:highlight w:val="none"/>
                <w:u w:val="single"/>
                <w:shd w:val="clear" w:color="auto" w:fill="auto"/>
                <w:lang w:val="en-US" w:eastAsia="zh-CN"/>
                <w14:textFill>
                  <w14:solidFill>
                    <w14:schemeClr w14:val="tx1"/>
                  </w14:solidFill>
                </w14:textFill>
              </w:rPr>
            </w:pPr>
            <w:r>
              <w:rPr>
                <w:rFonts w:hint="eastAsia" w:cs="Times New Roman"/>
                <w:b/>
                <w:bCs w:val="0"/>
                <w:color w:val="000000" w:themeColor="text1"/>
                <w:sz w:val="28"/>
                <w:highlight w:val="none"/>
                <w:u w:val="single"/>
                <w:shd w:val="clear" w:color="auto" w:fill="auto"/>
                <w:lang w:val="en-US" w:eastAsia="zh-CN"/>
                <w14:textFill>
                  <w14:solidFill>
                    <w14:schemeClr w14:val="tx1"/>
                  </w14:solidFill>
                </w14:textFill>
              </w:rPr>
              <w:t xml:space="preserve">  刘颜、王</w:t>
            </w:r>
            <w:r>
              <w:rPr>
                <w:rFonts w:hint="eastAsia" w:ascii="Times New Roman" w:hAnsi="Times New Roman" w:eastAsia="楷体" w:cs="Times New Roman"/>
                <w:b/>
                <w:bCs w:val="0"/>
                <w:color w:val="000000" w:themeColor="text1"/>
                <w:sz w:val="28"/>
                <w:highlight w:val="none"/>
                <w:u w:val="single"/>
                <w:shd w:val="clear" w:color="auto" w:fill="auto"/>
                <w:lang w:val="en-US" w:eastAsia="zh-CN"/>
                <w14:textFill>
                  <w14:solidFill>
                    <w14:schemeClr w14:val="tx1"/>
                  </w14:solidFill>
                </w14:textFill>
              </w:rPr>
              <w:t>羡、蒋晨星、肖嫣钰、刘名高、</w:t>
            </w:r>
            <w:r>
              <w:rPr>
                <w:rFonts w:hint="eastAsia" w:cs="Times New Roman"/>
                <w:b/>
                <w:bCs w:val="0"/>
                <w:color w:val="000000" w:themeColor="text1"/>
                <w:sz w:val="28"/>
                <w:highlight w:val="none"/>
                <w:u w:val="single"/>
                <w:shd w:val="clear" w:color="auto" w:fill="auto"/>
                <w:lang w:val="en-US" w:eastAsia="zh-CN"/>
                <w14:textFill>
                  <w14:solidFill>
                    <w14:schemeClr w14:val="tx1"/>
                  </w14:solidFill>
                </w14:textFill>
              </w:rPr>
              <w:t xml:space="preserve">  </w:t>
            </w:r>
          </w:p>
          <w:p w14:paraId="43726076">
            <w:pPr>
              <w:keepNext w:val="0"/>
              <w:keepLines w:val="0"/>
              <w:pageBreakBefore w:val="0"/>
              <w:widowControl w:val="0"/>
              <w:kinsoku/>
              <w:wordWrap/>
              <w:overflowPunct/>
              <w:topLinePunct w:val="0"/>
              <w:autoSpaceDE/>
              <w:autoSpaceDN/>
              <w:bidi w:val="0"/>
              <w:adjustRightInd/>
              <w:snapToGrid/>
              <w:spacing w:line="480" w:lineRule="exact"/>
              <w:jc w:val="both"/>
              <w:textAlignment w:val="auto"/>
              <w:rPr>
                <w:rFonts w:hint="default" w:cs="Times New Roman"/>
                <w:b/>
                <w:bCs w:val="0"/>
                <w:color w:val="000000" w:themeColor="text1"/>
                <w:sz w:val="28"/>
                <w:highlight w:val="none"/>
                <w:u w:val="single"/>
                <w:shd w:val="clear" w:color="auto" w:fill="auto"/>
                <w:lang w:val="en-US" w:eastAsia="zh-CN"/>
                <w14:textFill>
                  <w14:solidFill>
                    <w14:schemeClr w14:val="tx1"/>
                  </w14:solidFill>
                </w14:textFill>
              </w:rPr>
            </w:pPr>
            <w:r>
              <w:rPr>
                <w:rFonts w:hint="eastAsia" w:cs="Times New Roman"/>
                <w:b/>
                <w:bCs w:val="0"/>
                <w:color w:val="000000" w:themeColor="text1"/>
                <w:sz w:val="28"/>
                <w:highlight w:val="none"/>
                <w:u w:val="single"/>
                <w:shd w:val="clear" w:color="auto" w:fill="auto"/>
                <w:lang w:val="en-US" w:eastAsia="zh-CN"/>
                <w14:textFill>
                  <w14:solidFill>
                    <w14:schemeClr w14:val="tx1"/>
                  </w14:solidFill>
                </w14:textFill>
              </w:rPr>
              <w:t xml:space="preserve">  袁文淑、蒋小强、刘冉、杨思康、王泽轩、  </w:t>
            </w:r>
          </w:p>
          <w:p w14:paraId="3FB3994A">
            <w:pPr>
              <w:keepNext w:val="0"/>
              <w:keepLines w:val="0"/>
              <w:pageBreakBefore w:val="0"/>
              <w:widowControl w:val="0"/>
              <w:kinsoku/>
              <w:wordWrap/>
              <w:overflowPunct/>
              <w:topLinePunct w:val="0"/>
              <w:autoSpaceDE/>
              <w:autoSpaceDN/>
              <w:bidi w:val="0"/>
              <w:adjustRightInd/>
              <w:snapToGrid/>
              <w:spacing w:line="480" w:lineRule="exact"/>
              <w:jc w:val="both"/>
              <w:textAlignment w:val="auto"/>
              <w:rPr>
                <w:rFonts w:hint="default" w:ascii="Times New Roman" w:hAnsi="Times New Roman" w:eastAsia="楷体"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pPr>
            <w:r>
              <w:rPr>
                <w:rFonts w:hint="eastAsia" w:cs="Times New Roman"/>
                <w:b/>
                <w:bCs w:val="0"/>
                <w:color w:val="000000" w:themeColor="text1"/>
                <w:sz w:val="28"/>
                <w:highlight w:val="none"/>
                <w:u w:val="single"/>
                <w:shd w:val="clear" w:color="auto" w:fill="auto"/>
                <w:lang w:val="en-US" w:eastAsia="zh-CN"/>
                <w14:textFill>
                  <w14:solidFill>
                    <w14:schemeClr w14:val="tx1"/>
                  </w14:solidFill>
                </w14:textFill>
              </w:rPr>
              <w:t xml:space="preserve">  蒋叶莹、周羿霖、李文凯、程宇婕、谭璐熙、            </w:t>
            </w:r>
          </w:p>
        </w:tc>
      </w:tr>
      <w:tr w14:paraId="3656C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3" w:hRule="atLeast"/>
        </w:trPr>
        <w:tc>
          <w:tcPr>
            <w:tcW w:w="1490" w:type="dxa"/>
            <w:tcBorders>
              <w:tl2br w:val="nil"/>
              <w:tr2bl w:val="nil"/>
            </w:tcBorders>
            <w:shd w:val="clear" w:color="auto" w:fill="auto"/>
            <w:vAlign w:val="top"/>
          </w:tcPr>
          <w:p w14:paraId="0F131EE5">
            <w:pPr>
              <w:jc w:val="both"/>
              <w:rPr>
                <w:rFonts w:hint="eastAsia" w:ascii="Times New Roman" w:hAnsi="Times New Roman" w:eastAsia="楷体" w:cs="楷体"/>
                <w:b/>
                <w:bCs/>
                <w:color w:val="000000" w:themeColor="text1"/>
                <w:sz w:val="28"/>
                <w:szCs w:val="28"/>
                <w:highlight w:val="none"/>
                <w:u w:val="none"/>
                <w:shd w:val="clear" w:color="auto" w:fill="auto"/>
                <w:vertAlign w:val="baseline"/>
                <w14:textFill>
                  <w14:solidFill>
                    <w14:schemeClr w14:val="tx1"/>
                  </w14:solidFill>
                </w14:textFill>
              </w:rPr>
            </w:pPr>
            <w:r>
              <w:rPr>
                <w:rFonts w:hint="eastAsia" w:ascii="Times New Roman" w:hAnsi="Times New Roman" w:eastAsia="楷体" w:cs="楷体"/>
                <w:b/>
                <w:bCs/>
                <w:color w:val="000000" w:themeColor="text1"/>
                <w:sz w:val="28"/>
                <w:szCs w:val="28"/>
                <w:highlight w:val="none"/>
                <w:u w:val="none"/>
                <w:shd w:val="clear" w:color="auto" w:fill="auto"/>
                <w:lang w:eastAsia="zh-CN"/>
                <w14:textFill>
                  <w14:solidFill>
                    <w14:schemeClr w14:val="tx1"/>
                  </w14:solidFill>
                </w14:textFill>
              </w:rPr>
              <w:t>指导老师：</w:t>
            </w:r>
          </w:p>
        </w:tc>
        <w:tc>
          <w:tcPr>
            <w:tcW w:w="5996" w:type="dxa"/>
            <w:tcBorders>
              <w:tl2br w:val="nil"/>
              <w:tr2bl w:val="nil"/>
            </w:tcBorders>
            <w:shd w:val="clear" w:color="auto" w:fill="auto"/>
            <w:vAlign w:val="top"/>
          </w:tcPr>
          <w:p w14:paraId="5394830C">
            <w:pPr>
              <w:jc w:val="both"/>
              <w:rPr>
                <w:rFonts w:hint="default" w:ascii="Times New Roman" w:hAnsi="Times New Roman" w:eastAsia="楷体"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pPr>
            <w:r>
              <w:rPr>
                <w:rFonts w:hint="eastAsia" w:ascii="Times New Roman" w:hAnsi="Times New Roman" w:eastAsia="楷体"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t xml:space="preserve">  </w:t>
            </w:r>
            <w:r>
              <w:rPr>
                <w:rFonts w:hint="eastAsia"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t xml:space="preserve"> </w:t>
            </w:r>
            <w:r>
              <w:rPr>
                <w:rFonts w:hint="eastAsia" w:ascii="Times New Roman" w:hAnsi="Times New Roman" w:eastAsia="楷体"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t xml:space="preserve">  罗江花</w:t>
            </w:r>
            <w:r>
              <w:rPr>
                <w:rFonts w:hint="eastAsia"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t>、夏宇、贺辉、谭平、杨翼玮</w:t>
            </w:r>
            <w:r>
              <w:rPr>
                <w:rFonts w:hint="eastAsia" w:ascii="Times New Roman" w:hAnsi="Times New Roman" w:eastAsia="楷体"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t xml:space="preserve">               </w:t>
            </w:r>
            <w:r>
              <w:rPr>
                <w:rFonts w:hint="eastAsia"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t xml:space="preserve">  </w:t>
            </w:r>
            <w:r>
              <w:rPr>
                <w:rFonts w:hint="eastAsia" w:ascii="Times New Roman" w:hAnsi="Times New Roman" w:eastAsia="楷体" w:cs="楷体"/>
                <w:b/>
                <w:bCs w:val="0"/>
                <w:color w:val="000000" w:themeColor="text1"/>
                <w:sz w:val="28"/>
                <w:szCs w:val="28"/>
                <w:highlight w:val="none"/>
                <w:u w:val="single"/>
                <w:shd w:val="clear" w:color="auto" w:fill="auto"/>
                <w:vertAlign w:val="baseline"/>
                <w:lang w:val="en-US" w:eastAsia="zh-CN"/>
                <w14:textFill>
                  <w14:solidFill>
                    <w14:schemeClr w14:val="tx1"/>
                  </w14:solidFill>
                </w14:textFill>
              </w:rPr>
              <w:t xml:space="preserve">  </w:t>
            </w:r>
          </w:p>
        </w:tc>
      </w:tr>
    </w:tbl>
    <w:p w14:paraId="2B2975EF">
      <w:pPr>
        <w:jc w:val="both"/>
        <w:rPr>
          <w:rFonts w:ascii="Times New Roman" w:hAnsi="Times New Roman" w:eastAsia="楷体" w:cs="Times New Roman"/>
          <w:color w:val="000000" w:themeColor="text1"/>
          <w:sz w:val="44"/>
          <w:highlight w:val="none"/>
          <w14:textFill>
            <w14:solidFill>
              <w14:schemeClr w14:val="tx1"/>
            </w14:solidFill>
          </w14:textFill>
        </w:rPr>
      </w:pPr>
    </w:p>
    <w:p w14:paraId="45FA3FAB">
      <w:pPr>
        <w:jc w:val="both"/>
        <w:rPr>
          <w:rFonts w:hint="eastAsia" w:ascii="楷体" w:hAnsi="楷体" w:eastAsia="楷体" w:cs="楷体"/>
          <w:b/>
          <w:bCs/>
          <w:color w:val="000000" w:themeColor="text1"/>
          <w:sz w:val="28"/>
          <w:szCs w:val="28"/>
          <w:highlight w:val="none"/>
          <w:lang w:eastAsia="zh-CN"/>
          <w14:textFill>
            <w14:solidFill>
              <w14:schemeClr w14:val="tx1"/>
            </w14:solidFill>
          </w14:textFill>
        </w:rPr>
      </w:pPr>
    </w:p>
    <w:p w14:paraId="7A8B1579">
      <w:pPr>
        <w:jc w:val="both"/>
        <w:rPr>
          <w:rFonts w:hint="eastAsia" w:ascii="楷体" w:hAnsi="楷体" w:eastAsia="楷体" w:cs="楷体"/>
          <w:b/>
          <w:bCs/>
          <w:color w:val="000000" w:themeColor="text1"/>
          <w:sz w:val="28"/>
          <w:szCs w:val="28"/>
          <w:highlight w:val="none"/>
          <w:lang w:eastAsia="zh-CN"/>
          <w14:textFill>
            <w14:solidFill>
              <w14:schemeClr w14:val="tx1"/>
            </w14:solidFill>
          </w14:textFill>
        </w:rPr>
      </w:pPr>
    </w:p>
    <w:p w14:paraId="3AE9D889">
      <w:pPr>
        <w:jc w:val="center"/>
        <w:rPr>
          <w:rFonts w:hint="eastAsia" w:ascii="楷体" w:hAnsi="楷体" w:eastAsia="楷体" w:cs="楷体"/>
          <w:color w:val="000000" w:themeColor="text1"/>
          <w:sz w:val="28"/>
          <w:szCs w:val="28"/>
          <w:highlight w:val="none"/>
          <w14:textFill>
            <w14:solidFill>
              <w14:schemeClr w14:val="tx1"/>
            </w14:solidFill>
          </w14:textFill>
        </w:rPr>
      </w:pPr>
      <w:r>
        <w:rPr>
          <w:rFonts w:hint="eastAsia" w:ascii="楷体" w:hAnsi="楷体" w:eastAsia="楷体" w:cs="楷体"/>
          <w:b/>
          <w:bCs/>
          <w:color w:val="000000" w:themeColor="text1"/>
          <w:sz w:val="28"/>
          <w:szCs w:val="28"/>
          <w:highlight w:val="none"/>
          <w:lang w:eastAsia="zh-CN"/>
          <w14:textFill>
            <w14:solidFill>
              <w14:schemeClr w14:val="tx1"/>
            </w14:solidFill>
          </w14:textFill>
        </w:rPr>
        <w:t>湖南工学院</w:t>
      </w:r>
    </w:p>
    <w:p w14:paraId="34EA1C0C">
      <w:pPr>
        <w:jc w:val="center"/>
        <w:rPr>
          <w:rFonts w:ascii="Times New Roman" w:hAnsi="Times New Roman" w:eastAsia="楷体" w:cs="Times New Roman"/>
          <w:color w:val="000000" w:themeColor="text1"/>
          <w:sz w:val="28"/>
          <w:szCs w:val="28"/>
          <w:highlight w:val="none"/>
          <w14:textFill>
            <w14:solidFill>
              <w14:schemeClr w14:val="tx1"/>
            </w14:solidFill>
          </w14:textFill>
        </w:rPr>
        <w:sectPr>
          <w:pgSz w:w="11906" w:h="16838"/>
          <w:pgMar w:top="1440" w:right="1800" w:bottom="1440" w:left="1800" w:header="397" w:footer="1077" w:gutter="0"/>
          <w:pgBorders>
            <w:top w:val="none" w:sz="0" w:space="0"/>
            <w:left w:val="none" w:sz="0" w:space="0"/>
            <w:bottom w:val="none" w:sz="0" w:space="0"/>
            <w:right w:val="none" w:sz="0" w:space="0"/>
          </w:pgBorders>
          <w:pgNumType w:fmt="decimal"/>
          <w:cols w:space="425" w:num="1"/>
          <w:docGrid w:type="lines" w:linePitch="312" w:charSpace="0"/>
        </w:sectPr>
      </w:pPr>
      <w:r>
        <w:rPr>
          <w:rFonts w:hint="eastAsia" w:ascii="Times New Roman" w:hAnsi="Times New Roman" w:eastAsia="楷体" w:cs="楷体"/>
          <w:b/>
          <w:bCs/>
          <w:color w:val="000000" w:themeColor="text1"/>
          <w:sz w:val="28"/>
          <w:szCs w:val="28"/>
          <w:highlight w:val="none"/>
          <w:lang w:val="en-US" w:eastAsia="zh-CN"/>
          <w14:textFill>
            <w14:solidFill>
              <w14:schemeClr w14:val="tx1"/>
            </w14:solidFill>
          </w14:textFill>
        </w:rPr>
        <w:t>2025</w:t>
      </w:r>
      <w:r>
        <w:rPr>
          <w:rFonts w:hint="eastAsia" w:ascii="Times New Roman" w:hAnsi="Times New Roman" w:eastAsia="楷体" w:cs="楷体"/>
          <w:b/>
          <w:bCs/>
          <w:color w:val="000000" w:themeColor="text1"/>
          <w:sz w:val="28"/>
          <w:szCs w:val="28"/>
          <w:highlight w:val="none"/>
          <w14:textFill>
            <w14:solidFill>
              <w14:schemeClr w14:val="tx1"/>
            </w14:solidFill>
          </w14:textFill>
        </w:rPr>
        <w:t>年</w:t>
      </w:r>
      <w:r>
        <w:rPr>
          <w:rFonts w:hint="eastAsia" w:cs="楷体"/>
          <w:b/>
          <w:bCs/>
          <w:color w:val="000000" w:themeColor="text1"/>
          <w:sz w:val="28"/>
          <w:szCs w:val="28"/>
          <w:highlight w:val="none"/>
          <w:lang w:val="en-US" w:eastAsia="zh-CN"/>
          <w14:textFill>
            <w14:solidFill>
              <w14:schemeClr w14:val="tx1"/>
            </w14:solidFill>
          </w14:textFill>
        </w:rPr>
        <w:t>7</w:t>
      </w:r>
      <w:r>
        <w:rPr>
          <w:rFonts w:hint="eastAsia" w:ascii="Times New Roman" w:hAnsi="Times New Roman" w:eastAsia="楷体" w:cs="楷体"/>
          <w:b/>
          <w:bCs/>
          <w:color w:val="000000" w:themeColor="text1"/>
          <w:sz w:val="28"/>
          <w:szCs w:val="28"/>
          <w:highlight w:val="none"/>
          <w14:textFill>
            <w14:solidFill>
              <w14:schemeClr w14:val="tx1"/>
            </w14:solidFill>
          </w14:textFill>
        </w:rPr>
        <w:t>月</w:t>
      </w:r>
    </w:p>
    <w:p w14:paraId="567EDF53">
      <w:pPr>
        <w:spacing w:line="360" w:lineRule="auto"/>
        <w:jc w:val="center"/>
        <w:rPr>
          <w:rFonts w:hint="default" w:ascii="楷体" w:hAnsi="楷体" w:eastAsia="楷体" w:cs="楷体"/>
          <w:b/>
          <w:bCs/>
          <w:color w:val="000000" w:themeColor="text1"/>
          <w:sz w:val="48"/>
          <w:szCs w:val="48"/>
          <w:highlight w:val="none"/>
          <w:lang w:val="en-US" w:eastAsia="zh-CN"/>
          <w14:textFill>
            <w14:solidFill>
              <w14:schemeClr w14:val="tx1"/>
            </w14:solidFill>
          </w14:textFill>
        </w:rPr>
      </w:pPr>
      <w:r>
        <w:rPr>
          <w:rFonts w:hint="eastAsia" w:ascii="楷体" w:hAnsi="楷体" w:cs="楷体"/>
          <w:b/>
          <w:bCs/>
          <w:color w:val="000000" w:themeColor="text1"/>
          <w:sz w:val="48"/>
          <w:szCs w:val="48"/>
          <w:highlight w:val="none"/>
          <w:lang w:val="en-US" w:eastAsia="zh-CN"/>
          <w14:textFill>
            <w14:solidFill>
              <w14:schemeClr w14:val="tx1"/>
            </w14:solidFill>
          </w14:textFill>
        </w:rPr>
        <w:t>申报人员信息表</w:t>
      </w:r>
    </w:p>
    <w:tbl>
      <w:tblPr>
        <w:tblStyle w:val="17"/>
        <w:tblW w:w="99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540"/>
        <w:gridCol w:w="1276"/>
        <w:gridCol w:w="782"/>
        <w:gridCol w:w="1218"/>
        <w:gridCol w:w="1329"/>
        <w:gridCol w:w="1330"/>
        <w:gridCol w:w="827"/>
        <w:gridCol w:w="498"/>
        <w:gridCol w:w="2100"/>
      </w:tblGrid>
      <w:tr w14:paraId="56302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789" w:hRule="atLeast"/>
          <w:jc w:val="center"/>
        </w:trPr>
        <w:tc>
          <w:tcPr>
            <w:tcW w:w="540" w:type="dxa"/>
            <w:vMerge w:val="restart"/>
            <w:tcBorders>
              <w:top w:val="single" w:color="000000" w:sz="2" w:space="0"/>
              <w:left w:val="single" w:color="000000" w:sz="2" w:space="0"/>
              <w:bottom w:val="single" w:color="000000" w:sz="2" w:space="0"/>
              <w:right w:val="single" w:color="000000" w:sz="2" w:space="0"/>
            </w:tcBorders>
            <w:noWrap w:val="0"/>
            <w:vAlign w:val="center"/>
          </w:tcPr>
          <w:p w14:paraId="72D936C9">
            <w:pPr>
              <w:spacing w:line="440" w:lineRule="exact"/>
              <w:jc w:val="center"/>
              <w:rPr>
                <w:rFonts w:hint="eastAsia" w:ascii="Times New Roman" w:hAnsi="Times New Roman" w:eastAsia="楷体" w:cs="Times New Roman"/>
                <w:color w:val="000000" w:themeColor="text1"/>
                <w:sz w:val="28"/>
                <w:szCs w:val="28"/>
                <w:highlight w:val="none"/>
                <w:lang w:eastAsia="zh-CN"/>
                <w14:textFill>
                  <w14:solidFill>
                    <w14:schemeClr w14:val="tx1"/>
                  </w14:solidFill>
                </w14:textFill>
              </w:rPr>
            </w:pPr>
            <w:r>
              <w:rPr>
                <w:rFonts w:hint="eastAsia" w:ascii="Times New Roman" w:hAnsi="Times New Roman" w:eastAsia="楷体" w:cs="Times New Roman"/>
                <w:color w:val="000000" w:themeColor="text1"/>
                <w:sz w:val="28"/>
                <w:szCs w:val="28"/>
                <w:highlight w:val="none"/>
                <w:lang w:eastAsia="zh-CN"/>
                <w14:textFill>
                  <w14:solidFill>
                    <w14:schemeClr w14:val="tx1"/>
                  </w14:solidFill>
                </w14:textFill>
              </w:rPr>
              <w:t>负责</w:t>
            </w:r>
          </w:p>
          <w:p w14:paraId="07648163">
            <w:pPr>
              <w:spacing w:line="440" w:lineRule="exact"/>
              <w:jc w:val="center"/>
              <w:rPr>
                <w:rFonts w:hint="eastAsia" w:ascii="Times New Roman" w:hAnsi="Times New Roman" w:eastAsia="楷体" w:cs="Times New Roman"/>
                <w:color w:val="000000" w:themeColor="text1"/>
                <w:sz w:val="28"/>
                <w:szCs w:val="28"/>
                <w:highlight w:val="none"/>
                <w:lang w:eastAsia="zh-CN"/>
                <w14:textFill>
                  <w14:solidFill>
                    <w14:schemeClr w14:val="tx1"/>
                  </w14:solidFill>
                </w14:textFill>
              </w:rPr>
            </w:pPr>
            <w:r>
              <w:rPr>
                <w:rFonts w:hint="eastAsia" w:ascii="Times New Roman" w:hAnsi="Times New Roman" w:eastAsia="楷体" w:cs="Times New Roman"/>
                <w:color w:val="000000" w:themeColor="text1"/>
                <w:sz w:val="28"/>
                <w:szCs w:val="28"/>
                <w:highlight w:val="none"/>
                <w:lang w:eastAsia="zh-CN"/>
                <w14:textFill>
                  <w14:solidFill>
                    <w14:schemeClr w14:val="tx1"/>
                  </w14:solidFill>
                </w14:textFill>
              </w:rPr>
              <w:t>人情</w:t>
            </w:r>
          </w:p>
          <w:p w14:paraId="15AE686E">
            <w:pPr>
              <w:spacing w:line="440" w:lineRule="exact"/>
              <w:jc w:val="center"/>
              <w:rPr>
                <w:rFonts w:hint="eastAsia" w:ascii="Times New Roman" w:hAnsi="Times New Roman" w:eastAsia="楷体" w:cs="楷体"/>
                <w:color w:val="000000" w:themeColor="text1"/>
                <w:sz w:val="28"/>
                <w:szCs w:val="28"/>
                <w:highlight w:val="none"/>
                <w14:textFill>
                  <w14:solidFill>
                    <w14:schemeClr w14:val="tx1"/>
                  </w14:solidFill>
                </w14:textFill>
              </w:rPr>
            </w:pPr>
            <w:r>
              <w:rPr>
                <w:rFonts w:hint="eastAsia" w:ascii="Times New Roman" w:hAnsi="Times New Roman" w:eastAsia="楷体" w:cs="Times New Roman"/>
                <w:color w:val="000000" w:themeColor="text1"/>
                <w:sz w:val="28"/>
                <w:szCs w:val="28"/>
                <w:highlight w:val="none"/>
                <w:lang w:eastAsia="zh-CN"/>
                <w14:textFill>
                  <w14:solidFill>
                    <w14:schemeClr w14:val="tx1"/>
                  </w14:solidFill>
                </w14:textFill>
              </w:rPr>
              <w:t>况</w:t>
            </w:r>
          </w:p>
        </w:tc>
        <w:tc>
          <w:tcPr>
            <w:tcW w:w="1276" w:type="dxa"/>
            <w:tcBorders>
              <w:top w:val="single" w:color="000000" w:sz="2" w:space="0"/>
              <w:left w:val="single" w:color="auto" w:sz="4" w:space="0"/>
              <w:bottom w:val="single" w:color="000000" w:sz="2" w:space="0"/>
              <w:right w:val="single" w:color="000000" w:sz="2" w:space="0"/>
            </w:tcBorders>
            <w:noWrap w:val="0"/>
            <w:vAlign w:val="center"/>
          </w:tcPr>
          <w:p w14:paraId="6CC70DC0">
            <w:pPr>
              <w:jc w:val="center"/>
              <w:rPr>
                <w:rFonts w:hint="eastAsia" w:ascii="Times New Roman" w:hAnsi="Times New Roman" w:eastAsia="楷体" w:cs="楷体"/>
                <w:color w:val="000000" w:themeColor="text1"/>
                <w:sz w:val="28"/>
                <w:szCs w:val="28"/>
                <w:highlight w:val="none"/>
                <w14:textFill>
                  <w14:solidFill>
                    <w14:schemeClr w14:val="tx1"/>
                  </w14:solidFill>
                </w14:textFill>
              </w:rPr>
            </w:pPr>
            <w:r>
              <w:rPr>
                <w:rFonts w:hint="eastAsia" w:ascii="Times New Roman" w:hAnsi="Times New Roman" w:eastAsia="楷体" w:cs="楷体"/>
                <w:color w:val="000000" w:themeColor="text1"/>
                <w:sz w:val="28"/>
                <w:szCs w:val="28"/>
                <w:highlight w:val="none"/>
                <w14:textFill>
                  <w14:solidFill>
                    <w14:schemeClr w14:val="tx1"/>
                  </w14:solidFill>
                </w14:textFill>
              </w:rPr>
              <w:t>姓名</w:t>
            </w:r>
          </w:p>
        </w:tc>
        <w:tc>
          <w:tcPr>
            <w:tcW w:w="2000" w:type="dxa"/>
            <w:gridSpan w:val="2"/>
            <w:tcBorders>
              <w:top w:val="single" w:color="000000" w:sz="2" w:space="0"/>
              <w:left w:val="single" w:color="auto" w:sz="4" w:space="0"/>
              <w:bottom w:val="single" w:color="000000" w:sz="2" w:space="0"/>
              <w:right w:val="single" w:color="000000" w:sz="2" w:space="0"/>
            </w:tcBorders>
            <w:noWrap w:val="0"/>
            <w:vAlign w:val="center"/>
          </w:tcPr>
          <w:p w14:paraId="09530DCF">
            <w:pPr>
              <w:jc w:val="center"/>
              <w:rPr>
                <w:rFonts w:hint="default" w:ascii="Times New Roman" w:hAnsi="Times New Roman" w:eastAsia="楷体" w:cs="楷体"/>
                <w:color w:val="000000" w:themeColor="text1"/>
                <w:kern w:val="2"/>
                <w:sz w:val="24"/>
                <w:szCs w:val="28"/>
                <w:highlight w:val="none"/>
                <w:lang w:val="en-US" w:eastAsia="zh-CN"/>
                <w14:textFill>
                  <w14:solidFill>
                    <w14:schemeClr w14:val="tx1"/>
                  </w14:solidFill>
                </w14:textFill>
              </w:rPr>
            </w:pPr>
            <w:r>
              <w:rPr>
                <w:rFonts w:hint="eastAsia" w:ascii="Times New Roman" w:hAnsi="Times New Roman" w:eastAsia="楷体" w:cs="楷体"/>
                <w:color w:val="000000" w:themeColor="text1"/>
                <w:sz w:val="28"/>
                <w:szCs w:val="28"/>
                <w:highlight w:val="none"/>
                <w:lang w:val="en-US" w:eastAsia="zh-CN"/>
                <w14:textFill>
                  <w14:solidFill>
                    <w14:schemeClr w14:val="tx1"/>
                  </w14:solidFill>
                </w14:textFill>
              </w:rPr>
              <w:t>刘颜</w:t>
            </w:r>
          </w:p>
        </w:tc>
        <w:tc>
          <w:tcPr>
            <w:tcW w:w="1329" w:type="dxa"/>
            <w:tcBorders>
              <w:top w:val="single" w:color="000000" w:sz="2" w:space="0"/>
              <w:left w:val="single" w:color="auto" w:sz="4" w:space="0"/>
              <w:bottom w:val="single" w:color="000000" w:sz="2" w:space="0"/>
              <w:right w:val="single" w:color="000000" w:sz="2" w:space="0"/>
            </w:tcBorders>
            <w:noWrap w:val="0"/>
            <w:vAlign w:val="center"/>
          </w:tcPr>
          <w:p w14:paraId="58DC1EEB">
            <w:pPr>
              <w:jc w:val="center"/>
              <w:rPr>
                <w:rFonts w:hint="eastAsia" w:ascii="Times New Roman" w:hAnsi="Times New Roman" w:eastAsia="楷体" w:cs="楷体"/>
                <w:color w:val="000000" w:themeColor="text1"/>
                <w:sz w:val="24"/>
                <w:highlight w:val="none"/>
                <w14:textFill>
                  <w14:solidFill>
                    <w14:schemeClr w14:val="tx1"/>
                  </w14:solidFill>
                </w14:textFill>
              </w:rPr>
            </w:pPr>
            <w:r>
              <w:rPr>
                <w:rFonts w:hint="eastAsia" w:ascii="Times New Roman" w:hAnsi="Times New Roman" w:eastAsia="楷体" w:cs="楷体"/>
                <w:color w:val="000000" w:themeColor="text1"/>
                <w:sz w:val="28"/>
                <w:szCs w:val="28"/>
                <w:highlight w:val="none"/>
                <w14:textFill>
                  <w14:solidFill>
                    <w14:schemeClr w14:val="tx1"/>
                  </w14:solidFill>
                </w14:textFill>
              </w:rPr>
              <w:t>性别</w:t>
            </w:r>
          </w:p>
        </w:tc>
        <w:tc>
          <w:tcPr>
            <w:tcW w:w="1330" w:type="dxa"/>
            <w:tcBorders>
              <w:top w:val="single" w:color="000000" w:sz="2" w:space="0"/>
              <w:left w:val="single" w:color="auto" w:sz="4" w:space="0"/>
              <w:bottom w:val="single" w:color="000000" w:sz="2" w:space="0"/>
              <w:right w:val="single" w:color="000000" w:sz="2" w:space="0"/>
            </w:tcBorders>
            <w:noWrap w:val="0"/>
            <w:vAlign w:val="center"/>
          </w:tcPr>
          <w:p w14:paraId="07C35A7E">
            <w:pPr>
              <w:jc w:val="center"/>
              <w:rPr>
                <w:rFonts w:hint="default" w:ascii="Times New Roman" w:hAnsi="Times New Roman" w:eastAsia="楷体" w:cs="楷体"/>
                <w:color w:val="000000" w:themeColor="text1"/>
                <w:sz w:val="24"/>
                <w:highlight w:val="none"/>
                <w:lang w:val="en-US" w:eastAsia="zh-CN"/>
                <w14:textFill>
                  <w14:solidFill>
                    <w14:schemeClr w14:val="tx1"/>
                  </w14:solidFill>
                </w14:textFill>
              </w:rPr>
            </w:pPr>
            <w:r>
              <w:rPr>
                <w:rFonts w:hint="eastAsia" w:ascii="Times New Roman" w:hAnsi="Times New Roman" w:eastAsia="楷体" w:cs="楷体"/>
                <w:color w:val="000000" w:themeColor="text1"/>
                <w:sz w:val="28"/>
                <w:szCs w:val="28"/>
                <w:highlight w:val="none"/>
                <w:lang w:val="en-US" w:eastAsia="zh-CN"/>
                <w14:textFill>
                  <w14:solidFill>
                    <w14:schemeClr w14:val="tx1"/>
                  </w14:solidFill>
                </w14:textFill>
              </w:rPr>
              <w:t>女</w:t>
            </w:r>
          </w:p>
        </w:tc>
        <w:tc>
          <w:tcPr>
            <w:tcW w:w="1325" w:type="dxa"/>
            <w:gridSpan w:val="2"/>
            <w:tcBorders>
              <w:top w:val="single" w:color="000000" w:sz="2" w:space="0"/>
              <w:left w:val="single" w:color="auto" w:sz="4" w:space="0"/>
              <w:bottom w:val="single" w:color="000000" w:sz="2" w:space="0"/>
              <w:right w:val="single" w:color="000000" w:sz="2" w:space="0"/>
            </w:tcBorders>
            <w:noWrap w:val="0"/>
            <w:vAlign w:val="center"/>
          </w:tcPr>
          <w:p w14:paraId="69119721">
            <w:pPr>
              <w:jc w:val="center"/>
              <w:rPr>
                <w:rFonts w:hint="eastAsia" w:ascii="Times New Roman" w:hAnsi="Times New Roman" w:eastAsia="楷体" w:cs="楷体"/>
                <w:color w:val="000000" w:themeColor="text1"/>
                <w:sz w:val="24"/>
                <w:highlight w:val="none"/>
                <w14:textFill>
                  <w14:solidFill>
                    <w14:schemeClr w14:val="tx1"/>
                  </w14:solidFill>
                </w14:textFill>
              </w:rPr>
            </w:pPr>
            <w:r>
              <w:rPr>
                <w:rFonts w:hint="eastAsia" w:ascii="Times New Roman" w:hAnsi="Times New Roman" w:eastAsia="楷体" w:cs="楷体"/>
                <w:color w:val="000000" w:themeColor="text1"/>
                <w:sz w:val="28"/>
                <w:szCs w:val="28"/>
                <w:highlight w:val="none"/>
                <w:lang w:eastAsia="zh-CN"/>
                <w14:textFill>
                  <w14:solidFill>
                    <w14:schemeClr w14:val="tx1"/>
                  </w14:solidFill>
                </w14:textFill>
              </w:rPr>
              <w:t>电子邮箱</w:t>
            </w:r>
          </w:p>
        </w:tc>
        <w:tc>
          <w:tcPr>
            <w:tcW w:w="2100" w:type="dxa"/>
            <w:tcBorders>
              <w:top w:val="single" w:color="000000" w:sz="2" w:space="0"/>
              <w:left w:val="single" w:color="auto" w:sz="4" w:space="0"/>
              <w:bottom w:val="single" w:color="000000" w:sz="2" w:space="0"/>
              <w:right w:val="single" w:color="000000" w:sz="2" w:space="0"/>
            </w:tcBorders>
            <w:noWrap w:val="0"/>
            <w:vAlign w:val="center"/>
          </w:tcPr>
          <w:p w14:paraId="55DCE9AE">
            <w:pPr>
              <w:jc w:val="center"/>
              <w:rPr>
                <w:rFonts w:hint="default" w:ascii="Times New Roman" w:hAnsi="Times New Roman" w:eastAsia="楷体" w:cs="楷体"/>
                <w:color w:val="000000" w:themeColor="text1"/>
                <w:sz w:val="24"/>
                <w:highlight w:val="none"/>
                <w:lang w:val="en-US" w:eastAsia="zh-CN"/>
                <w14:textFill>
                  <w14:solidFill>
                    <w14:schemeClr w14:val="tx1"/>
                  </w14:solidFill>
                </w14:textFill>
              </w:rPr>
            </w:pPr>
            <w:r>
              <w:rPr>
                <w:rFonts w:hint="eastAsia" w:cs="楷体"/>
                <w:b w:val="0"/>
                <w:bCs/>
                <w:color w:val="000000" w:themeColor="text1"/>
                <w:sz w:val="22"/>
                <w:szCs w:val="16"/>
                <w:highlight w:val="none"/>
                <w:u w:val="none"/>
                <w:vertAlign w:val="baseline"/>
                <w:lang w:val="en-US" w:eastAsia="zh-CN"/>
                <w14:textFill>
                  <w14:solidFill>
                    <w14:schemeClr w14:val="tx1"/>
                  </w14:solidFill>
                </w14:textFill>
              </w:rPr>
              <w:t>2070253054</w:t>
            </w:r>
            <w:r>
              <w:rPr>
                <w:rFonts w:hint="eastAsia" w:ascii="Times New Roman" w:hAnsi="Times New Roman" w:eastAsia="楷体" w:cs="楷体"/>
                <w:b w:val="0"/>
                <w:bCs/>
                <w:color w:val="000000" w:themeColor="text1"/>
                <w:sz w:val="22"/>
                <w:szCs w:val="16"/>
                <w:highlight w:val="none"/>
                <w:u w:val="none"/>
                <w:vertAlign w:val="baseline"/>
                <w:lang w:val="en-US" w:eastAsia="zh-CN"/>
                <w14:textFill>
                  <w14:solidFill>
                    <w14:schemeClr w14:val="tx1"/>
                  </w14:solidFill>
                </w14:textFill>
              </w:rPr>
              <w:t>@qq.com</w:t>
            </w:r>
          </w:p>
        </w:tc>
      </w:tr>
      <w:tr w14:paraId="38C27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766" w:hRule="atLeast"/>
          <w:jc w:val="center"/>
        </w:trPr>
        <w:tc>
          <w:tcPr>
            <w:tcW w:w="540" w:type="dxa"/>
            <w:vMerge w:val="continue"/>
            <w:tcBorders>
              <w:top w:val="single" w:color="auto" w:sz="4" w:space="0"/>
              <w:left w:val="single" w:color="auto" w:sz="4" w:space="0"/>
              <w:bottom w:val="single" w:color="auto" w:sz="4" w:space="0"/>
              <w:right w:val="single" w:color="auto" w:sz="4" w:space="0"/>
            </w:tcBorders>
            <w:noWrap w:val="0"/>
            <w:vAlign w:val="center"/>
          </w:tcPr>
          <w:p w14:paraId="4A49CC00">
            <w:pPr>
              <w:spacing w:line="440" w:lineRule="exact"/>
              <w:jc w:val="center"/>
              <w:rPr>
                <w:rFonts w:hint="eastAsia" w:ascii="Times New Roman" w:hAnsi="Times New Roman" w:eastAsia="楷体" w:cs="楷体"/>
                <w:color w:val="000000" w:themeColor="text1"/>
                <w:sz w:val="28"/>
                <w:szCs w:val="28"/>
                <w:highlight w:val="none"/>
                <w14:textFill>
                  <w14:solidFill>
                    <w14:schemeClr w14:val="tx1"/>
                  </w14:solidFill>
                </w14:textFill>
              </w:rPr>
            </w:pPr>
          </w:p>
        </w:tc>
        <w:tc>
          <w:tcPr>
            <w:tcW w:w="1276" w:type="dxa"/>
            <w:tcBorders>
              <w:top w:val="single" w:color="auto" w:sz="4" w:space="0"/>
              <w:left w:val="single" w:color="auto" w:sz="4" w:space="0"/>
              <w:bottom w:val="single" w:color="000000" w:sz="2" w:space="0"/>
              <w:right w:val="single" w:color="000000" w:sz="2" w:space="0"/>
            </w:tcBorders>
            <w:noWrap w:val="0"/>
            <w:vAlign w:val="center"/>
          </w:tcPr>
          <w:p w14:paraId="01CAD502">
            <w:pPr>
              <w:jc w:val="center"/>
              <w:rPr>
                <w:rFonts w:hint="eastAsia" w:ascii="Times New Roman" w:hAnsi="Times New Roman" w:eastAsia="楷体" w:cs="楷体"/>
                <w:color w:val="000000" w:themeColor="text1"/>
                <w:sz w:val="28"/>
                <w:szCs w:val="28"/>
                <w:highlight w:val="none"/>
                <w14:textFill>
                  <w14:solidFill>
                    <w14:schemeClr w14:val="tx1"/>
                  </w14:solidFill>
                </w14:textFill>
              </w:rPr>
            </w:pPr>
            <w:r>
              <w:rPr>
                <w:rFonts w:hint="eastAsia" w:ascii="Times New Roman" w:hAnsi="Times New Roman" w:eastAsia="楷体" w:cs="楷体"/>
                <w:color w:val="000000" w:themeColor="text1"/>
                <w:sz w:val="28"/>
                <w:szCs w:val="28"/>
                <w:highlight w:val="none"/>
                <w14:textFill>
                  <w14:solidFill>
                    <w14:schemeClr w14:val="tx1"/>
                  </w14:solidFill>
                </w14:textFill>
              </w:rPr>
              <w:t>学院</w:t>
            </w:r>
          </w:p>
        </w:tc>
        <w:tc>
          <w:tcPr>
            <w:tcW w:w="3329" w:type="dxa"/>
            <w:gridSpan w:val="3"/>
            <w:tcBorders>
              <w:top w:val="single" w:color="auto" w:sz="4" w:space="0"/>
              <w:left w:val="single" w:color="auto" w:sz="4" w:space="0"/>
              <w:bottom w:val="single" w:color="000000" w:sz="2" w:space="0"/>
              <w:right w:val="single" w:color="000000" w:sz="2" w:space="0"/>
            </w:tcBorders>
            <w:noWrap w:val="0"/>
            <w:vAlign w:val="center"/>
          </w:tcPr>
          <w:p w14:paraId="1DA031D5">
            <w:pPr>
              <w:jc w:val="center"/>
              <w:rPr>
                <w:rFonts w:hint="eastAsia" w:ascii="Times New Roman" w:hAnsi="Times New Roman" w:eastAsia="楷体" w:cs="楷体"/>
                <w:color w:val="000000" w:themeColor="text1"/>
                <w:sz w:val="24"/>
                <w:highlight w:val="none"/>
                <w14:textFill>
                  <w14:solidFill>
                    <w14:schemeClr w14:val="tx1"/>
                  </w14:solidFill>
                </w14:textFill>
              </w:rPr>
            </w:pPr>
            <w:r>
              <w:rPr>
                <w:rFonts w:hint="eastAsia" w:ascii="Times New Roman" w:hAnsi="Times New Roman" w:eastAsia="楷体" w:cs="楷体"/>
                <w:color w:val="000000" w:themeColor="text1"/>
                <w:sz w:val="28"/>
                <w:szCs w:val="28"/>
                <w:highlight w:val="none"/>
                <w:lang w:val="en-US" w:eastAsia="zh-CN"/>
                <w14:textFill>
                  <w14:solidFill>
                    <w14:schemeClr w14:val="tx1"/>
                  </w14:solidFill>
                </w14:textFill>
              </w:rPr>
              <w:t>土木与建筑工程学院</w:t>
            </w:r>
          </w:p>
        </w:tc>
        <w:tc>
          <w:tcPr>
            <w:tcW w:w="1330" w:type="dxa"/>
            <w:tcBorders>
              <w:top w:val="single" w:color="auto" w:sz="4" w:space="0"/>
              <w:left w:val="single" w:color="auto" w:sz="4" w:space="0"/>
              <w:bottom w:val="single" w:color="000000" w:sz="2" w:space="0"/>
              <w:right w:val="single" w:color="000000" w:sz="2" w:space="0"/>
            </w:tcBorders>
            <w:noWrap w:val="0"/>
            <w:vAlign w:val="center"/>
          </w:tcPr>
          <w:p w14:paraId="53BDBB9E">
            <w:pPr>
              <w:jc w:val="center"/>
              <w:rPr>
                <w:rFonts w:hint="eastAsia" w:ascii="Times New Roman" w:hAnsi="Times New Roman" w:eastAsia="楷体" w:cs="楷体"/>
                <w:color w:val="000000" w:themeColor="text1"/>
                <w:sz w:val="28"/>
                <w:szCs w:val="28"/>
                <w:highlight w:val="none"/>
                <w14:textFill>
                  <w14:solidFill>
                    <w14:schemeClr w14:val="tx1"/>
                  </w14:solidFill>
                </w14:textFill>
              </w:rPr>
            </w:pPr>
            <w:r>
              <w:rPr>
                <w:rFonts w:hint="eastAsia" w:ascii="Times New Roman" w:hAnsi="Times New Roman" w:eastAsia="楷体" w:cs="楷体"/>
                <w:color w:val="000000" w:themeColor="text1"/>
                <w:sz w:val="28"/>
                <w:szCs w:val="28"/>
                <w:highlight w:val="none"/>
                <w14:textFill>
                  <w14:solidFill>
                    <w14:schemeClr w14:val="tx1"/>
                  </w14:solidFill>
                </w14:textFill>
              </w:rPr>
              <w:t>专业</w:t>
            </w:r>
          </w:p>
          <w:p w14:paraId="1BEB7D5F">
            <w:pPr>
              <w:adjustRightInd w:val="0"/>
              <w:snapToGrid w:val="0"/>
              <w:jc w:val="center"/>
              <w:rPr>
                <w:rFonts w:hint="eastAsia" w:ascii="Times New Roman" w:hAnsi="Times New Roman" w:eastAsia="楷体" w:cs="楷体"/>
                <w:color w:val="000000" w:themeColor="text1"/>
                <w:sz w:val="24"/>
                <w:highlight w:val="none"/>
                <w14:textFill>
                  <w14:solidFill>
                    <w14:schemeClr w14:val="tx1"/>
                  </w14:solidFill>
                </w14:textFill>
              </w:rPr>
            </w:pPr>
            <w:r>
              <w:rPr>
                <w:rFonts w:hint="eastAsia" w:ascii="Times New Roman" w:hAnsi="Times New Roman" w:eastAsia="楷体" w:cs="楷体"/>
                <w:color w:val="000000" w:themeColor="text1"/>
                <w:sz w:val="28"/>
                <w:szCs w:val="28"/>
                <w:highlight w:val="none"/>
                <w:lang w:val="en-US" w:eastAsia="zh-CN"/>
                <w14:textFill>
                  <w14:solidFill>
                    <w14:schemeClr w14:val="tx1"/>
                  </w14:solidFill>
                </w14:textFill>
              </w:rPr>
              <w:t>班</w:t>
            </w:r>
            <w:r>
              <w:rPr>
                <w:rFonts w:hint="eastAsia" w:ascii="Times New Roman" w:hAnsi="Times New Roman" w:eastAsia="楷体" w:cs="楷体"/>
                <w:color w:val="000000" w:themeColor="text1"/>
                <w:sz w:val="28"/>
                <w:szCs w:val="28"/>
                <w:highlight w:val="none"/>
                <w14:textFill>
                  <w14:solidFill>
                    <w14:schemeClr w14:val="tx1"/>
                  </w14:solidFill>
                </w14:textFill>
              </w:rPr>
              <w:t>级</w:t>
            </w:r>
          </w:p>
        </w:tc>
        <w:tc>
          <w:tcPr>
            <w:tcW w:w="3425" w:type="dxa"/>
            <w:gridSpan w:val="3"/>
            <w:tcBorders>
              <w:top w:val="single" w:color="auto" w:sz="4" w:space="0"/>
              <w:left w:val="single" w:color="auto" w:sz="4" w:space="0"/>
              <w:bottom w:val="single" w:color="000000" w:sz="2" w:space="0"/>
              <w:right w:val="single" w:color="000000" w:sz="2" w:space="0"/>
            </w:tcBorders>
            <w:noWrap w:val="0"/>
            <w:vAlign w:val="center"/>
          </w:tcPr>
          <w:p w14:paraId="158EA353">
            <w:pPr>
              <w:jc w:val="center"/>
              <w:rPr>
                <w:rFonts w:hint="default" w:ascii="Times New Roman" w:hAnsi="Times New Roman" w:eastAsia="楷体" w:cs="楷体"/>
                <w:color w:val="000000" w:themeColor="text1"/>
                <w:sz w:val="24"/>
                <w:highlight w:val="none"/>
                <w:lang w:val="en-US"/>
                <w14:textFill>
                  <w14:solidFill>
                    <w14:schemeClr w14:val="tx1"/>
                  </w14:solidFill>
                </w14:textFill>
              </w:rPr>
            </w:pPr>
            <w:r>
              <w:rPr>
                <w:rFonts w:hint="eastAsia" w:cs="楷体"/>
                <w:color w:val="000000" w:themeColor="text1"/>
                <w:sz w:val="28"/>
                <w:szCs w:val="28"/>
                <w:highlight w:val="none"/>
                <w:lang w:val="en-US" w:eastAsia="zh-CN"/>
                <w14:textFill>
                  <w14:solidFill>
                    <w14:schemeClr w14:val="tx1"/>
                  </w14:solidFill>
                </w14:textFill>
              </w:rPr>
              <w:t>工程造价2301</w:t>
            </w:r>
            <w:r>
              <w:rPr>
                <w:rFonts w:hint="eastAsia" w:ascii="Times New Roman" w:hAnsi="Times New Roman" w:eastAsia="楷体" w:cs="楷体"/>
                <w:color w:val="000000" w:themeColor="text1"/>
                <w:sz w:val="28"/>
                <w:szCs w:val="28"/>
                <w:highlight w:val="none"/>
                <w:lang w:val="en-US" w:eastAsia="zh-CN"/>
                <w14:textFill>
                  <w14:solidFill>
                    <w14:schemeClr w14:val="tx1"/>
                  </w14:solidFill>
                </w14:textFill>
              </w:rPr>
              <w:t>班</w:t>
            </w:r>
          </w:p>
        </w:tc>
      </w:tr>
      <w:tr w14:paraId="01632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739" w:hRule="atLeast"/>
          <w:jc w:val="center"/>
        </w:trPr>
        <w:tc>
          <w:tcPr>
            <w:tcW w:w="540" w:type="dxa"/>
            <w:vMerge w:val="continue"/>
            <w:tcBorders>
              <w:top w:val="single" w:color="auto" w:sz="4" w:space="0"/>
              <w:left w:val="single" w:color="auto" w:sz="4" w:space="0"/>
              <w:bottom w:val="single" w:color="auto" w:sz="4" w:space="0"/>
              <w:right w:val="single" w:color="auto" w:sz="4" w:space="0"/>
            </w:tcBorders>
            <w:noWrap w:val="0"/>
            <w:vAlign w:val="center"/>
          </w:tcPr>
          <w:p w14:paraId="13101946">
            <w:pPr>
              <w:spacing w:line="440" w:lineRule="exact"/>
              <w:jc w:val="center"/>
              <w:rPr>
                <w:rFonts w:hint="eastAsia" w:ascii="Times New Roman" w:hAnsi="Times New Roman" w:eastAsia="楷体" w:cs="楷体"/>
                <w:color w:val="000000" w:themeColor="text1"/>
                <w:sz w:val="28"/>
                <w:szCs w:val="28"/>
                <w:highlight w:val="none"/>
                <w14:textFill>
                  <w14:solidFill>
                    <w14:schemeClr w14:val="tx1"/>
                  </w14:solidFill>
                </w14:textFill>
              </w:rPr>
            </w:pPr>
          </w:p>
        </w:tc>
        <w:tc>
          <w:tcPr>
            <w:tcW w:w="1276" w:type="dxa"/>
            <w:tcBorders>
              <w:top w:val="single" w:color="auto" w:sz="4" w:space="0"/>
              <w:left w:val="single" w:color="auto" w:sz="4" w:space="0"/>
              <w:bottom w:val="single" w:color="000000" w:sz="2" w:space="0"/>
              <w:right w:val="single" w:color="000000" w:sz="2" w:space="0"/>
            </w:tcBorders>
            <w:noWrap w:val="0"/>
            <w:vAlign w:val="center"/>
          </w:tcPr>
          <w:p w14:paraId="4A91B262">
            <w:pPr>
              <w:jc w:val="center"/>
              <w:rPr>
                <w:rFonts w:hint="eastAsia" w:ascii="Times New Roman" w:hAnsi="Times New Roman" w:eastAsia="楷体" w:cs="楷体"/>
                <w:color w:val="000000" w:themeColor="text1"/>
                <w:sz w:val="28"/>
                <w:szCs w:val="28"/>
                <w:highlight w:val="none"/>
                <w14:textFill>
                  <w14:solidFill>
                    <w14:schemeClr w14:val="tx1"/>
                  </w14:solidFill>
                </w14:textFill>
              </w:rPr>
            </w:pPr>
            <w:r>
              <w:rPr>
                <w:rFonts w:hint="eastAsia" w:ascii="Times New Roman" w:hAnsi="Times New Roman" w:eastAsia="楷体" w:cs="楷体"/>
                <w:color w:val="000000" w:themeColor="text1"/>
                <w:sz w:val="28"/>
                <w:szCs w:val="28"/>
                <w:highlight w:val="none"/>
                <w14:textFill>
                  <w14:solidFill>
                    <w14:schemeClr w14:val="tx1"/>
                  </w14:solidFill>
                </w14:textFill>
              </w:rPr>
              <w:t>项目名称</w:t>
            </w:r>
          </w:p>
        </w:tc>
        <w:tc>
          <w:tcPr>
            <w:tcW w:w="8084" w:type="dxa"/>
            <w:gridSpan w:val="7"/>
            <w:tcBorders>
              <w:top w:val="single" w:color="auto" w:sz="4" w:space="0"/>
              <w:left w:val="single" w:color="auto" w:sz="4" w:space="0"/>
              <w:bottom w:val="single" w:color="000000" w:sz="2" w:space="0"/>
              <w:right w:val="single" w:color="000000" w:sz="2" w:space="0"/>
            </w:tcBorders>
            <w:noWrap w:val="0"/>
            <w:vAlign w:val="center"/>
          </w:tcPr>
          <w:p w14:paraId="63B6386C">
            <w:pPr>
              <w:jc w:val="center"/>
              <w:rPr>
                <w:rFonts w:hint="eastAsia" w:ascii="Times New Roman" w:hAnsi="Times New Roman" w:eastAsia="楷体" w:cs="楷体"/>
                <w:color w:val="000000" w:themeColor="text1"/>
                <w:sz w:val="24"/>
                <w:highlight w:val="none"/>
                <w:lang w:val="en-US" w:eastAsia="zh-CN"/>
                <w14:textFill>
                  <w14:solidFill>
                    <w14:schemeClr w14:val="tx1"/>
                  </w14:solidFill>
                </w14:textFill>
              </w:rPr>
            </w:pPr>
            <w:r>
              <w:rPr>
                <w:rFonts w:hint="eastAsia" w:ascii="Times New Roman" w:hAnsi="Times New Roman" w:eastAsia="楷体" w:cs="楷体"/>
                <w:color w:val="000000" w:themeColor="text1"/>
                <w:sz w:val="28"/>
                <w:szCs w:val="28"/>
                <w:highlight w:val="none"/>
                <w:lang w:val="en-US" w:eastAsia="zh-CN"/>
                <w14:textFill>
                  <w14:solidFill>
                    <w14:schemeClr w14:val="tx1"/>
                  </w14:solidFill>
                </w14:textFill>
              </w:rPr>
              <w:t>轻装上</w:t>
            </w:r>
            <w:r>
              <w:rPr>
                <w:rFonts w:hint="eastAsia" w:cs="楷体"/>
                <w:color w:val="000000" w:themeColor="text1"/>
                <w:sz w:val="28"/>
                <w:szCs w:val="28"/>
                <w:highlight w:val="none"/>
                <w:lang w:val="en-US" w:eastAsia="zh-CN"/>
                <w14:textFill>
                  <w14:solidFill>
                    <w14:schemeClr w14:val="tx1"/>
                  </w14:solidFill>
                </w14:textFill>
              </w:rPr>
              <w:t>”</w:t>
            </w:r>
            <w:r>
              <w:rPr>
                <w:rFonts w:hint="eastAsia" w:ascii="Times New Roman" w:hAnsi="Times New Roman" w:eastAsia="楷体" w:cs="楷体"/>
                <w:color w:val="000000" w:themeColor="text1"/>
                <w:sz w:val="28"/>
                <w:szCs w:val="28"/>
                <w:highlight w:val="none"/>
                <w:lang w:val="en-US" w:eastAsia="zh-CN"/>
                <w14:textFill>
                  <w14:solidFill>
                    <w14:schemeClr w14:val="tx1"/>
                  </w14:solidFill>
                </w14:textFill>
              </w:rPr>
              <w:t>震</w:t>
            </w:r>
            <w:r>
              <w:rPr>
                <w:rFonts w:hint="eastAsia" w:cs="楷体"/>
                <w:color w:val="000000" w:themeColor="text1"/>
                <w:sz w:val="28"/>
                <w:szCs w:val="28"/>
                <w:highlight w:val="none"/>
                <w:lang w:val="en-US" w:eastAsia="zh-CN"/>
                <w14:textFill>
                  <w14:solidFill>
                    <w14:schemeClr w14:val="tx1"/>
                  </w14:solidFill>
                </w14:textFill>
              </w:rPr>
              <w:t>”</w:t>
            </w:r>
            <w:r>
              <w:rPr>
                <w:rFonts w:hint="eastAsia" w:ascii="Times New Roman" w:hAnsi="Times New Roman" w:eastAsia="楷体" w:cs="楷体"/>
                <w:color w:val="000000" w:themeColor="text1"/>
                <w:sz w:val="28"/>
                <w:szCs w:val="28"/>
                <w:highlight w:val="none"/>
                <w:lang w:val="en-US" w:eastAsia="zh-CN"/>
                <w14:textFill>
                  <w14:solidFill>
                    <w14:schemeClr w14:val="tx1"/>
                  </w14:solidFill>
                </w14:textFill>
              </w:rPr>
              <w:t>——村镇建筑新型简易隔震支座</w:t>
            </w:r>
          </w:p>
        </w:tc>
      </w:tr>
      <w:tr w14:paraId="36B52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753" w:hRule="atLeast"/>
          <w:jc w:val="center"/>
        </w:trPr>
        <w:tc>
          <w:tcPr>
            <w:tcW w:w="540" w:type="dxa"/>
            <w:vMerge w:val="restart"/>
            <w:tcBorders>
              <w:top w:val="single" w:color="auto" w:sz="4" w:space="0"/>
              <w:left w:val="single" w:color="000000" w:sz="2" w:space="0"/>
              <w:right w:val="single" w:color="000000" w:sz="2" w:space="0"/>
            </w:tcBorders>
            <w:noWrap w:val="0"/>
            <w:vAlign w:val="center"/>
          </w:tcPr>
          <w:p w14:paraId="3BA0E174">
            <w:pPr>
              <w:spacing w:line="440" w:lineRule="exact"/>
              <w:jc w:val="center"/>
              <w:rPr>
                <w:rFonts w:hint="eastAsia" w:ascii="Times New Roman" w:hAnsi="Times New Roman" w:eastAsia="楷体" w:cs="楷体"/>
                <w:color w:val="000000" w:themeColor="text1"/>
                <w:sz w:val="28"/>
                <w:szCs w:val="28"/>
                <w:highlight w:val="none"/>
                <w14:textFill>
                  <w14:solidFill>
                    <w14:schemeClr w14:val="tx1"/>
                  </w14:solidFill>
                </w14:textFill>
              </w:rPr>
            </w:pPr>
            <w:r>
              <w:rPr>
                <w:rFonts w:hint="eastAsia" w:ascii="Times New Roman" w:hAnsi="Times New Roman" w:eastAsia="楷体" w:cs="Times New Roman"/>
                <w:color w:val="000000" w:themeColor="text1"/>
                <w:sz w:val="28"/>
                <w:szCs w:val="28"/>
                <w:highlight w:val="none"/>
                <w:lang w:eastAsia="zh-CN"/>
                <w14:textFill>
                  <w14:solidFill>
                    <w14:schemeClr w14:val="tx1"/>
                  </w14:solidFill>
                </w14:textFill>
              </w:rPr>
              <w:t>团队</w:t>
            </w:r>
            <w:r>
              <w:rPr>
                <w:rFonts w:ascii="Times New Roman" w:hAnsi="Times New Roman" w:eastAsia="楷体" w:cs="Times New Roman"/>
                <w:color w:val="000000" w:themeColor="text1"/>
                <w:sz w:val="28"/>
                <w:szCs w:val="28"/>
                <w:highlight w:val="none"/>
                <w14:textFill>
                  <w14:solidFill>
                    <w14:schemeClr w14:val="tx1"/>
                  </w14:solidFill>
                </w14:textFill>
              </w:rPr>
              <w:t>成员情况</w:t>
            </w:r>
          </w:p>
        </w:tc>
        <w:tc>
          <w:tcPr>
            <w:tcW w:w="1276" w:type="dxa"/>
            <w:tcBorders>
              <w:top w:val="single" w:color="auto" w:sz="4" w:space="0"/>
              <w:left w:val="single" w:color="auto" w:sz="4" w:space="0"/>
              <w:bottom w:val="single" w:color="000000" w:sz="2" w:space="0"/>
              <w:right w:val="single" w:color="000000" w:sz="2" w:space="0"/>
            </w:tcBorders>
            <w:noWrap w:val="0"/>
            <w:vAlign w:val="center"/>
          </w:tcPr>
          <w:p w14:paraId="0C3AAE45">
            <w:pPr>
              <w:jc w:val="center"/>
              <w:rPr>
                <w:rFonts w:hint="eastAsia" w:ascii="Times New Roman" w:hAnsi="Times New Roman" w:eastAsia="楷体" w:cs="楷体"/>
                <w:color w:val="000000" w:themeColor="text1"/>
                <w:sz w:val="28"/>
                <w:szCs w:val="28"/>
                <w:highlight w:val="none"/>
                <w14:textFill>
                  <w14:solidFill>
                    <w14:schemeClr w14:val="tx1"/>
                  </w14:solidFill>
                </w14:textFill>
              </w:rPr>
            </w:pPr>
            <w:r>
              <w:rPr>
                <w:rFonts w:hint="eastAsia" w:ascii="Times New Roman" w:hAnsi="Times New Roman" w:eastAsia="楷体" w:cs="楷体"/>
                <w:color w:val="000000" w:themeColor="text1"/>
                <w:sz w:val="28"/>
                <w:szCs w:val="28"/>
                <w:highlight w:val="none"/>
                <w14:textFill>
                  <w14:solidFill>
                    <w14:schemeClr w14:val="tx1"/>
                  </w14:solidFill>
                </w14:textFill>
              </w:rPr>
              <w:t>姓名</w:t>
            </w:r>
          </w:p>
        </w:tc>
        <w:tc>
          <w:tcPr>
            <w:tcW w:w="782" w:type="dxa"/>
            <w:tcBorders>
              <w:top w:val="single" w:color="auto" w:sz="4" w:space="0"/>
              <w:left w:val="single" w:color="auto" w:sz="4" w:space="0"/>
              <w:bottom w:val="single" w:color="000000" w:sz="2" w:space="0"/>
              <w:right w:val="single" w:color="000000" w:sz="2" w:space="0"/>
            </w:tcBorders>
            <w:noWrap w:val="0"/>
            <w:vAlign w:val="center"/>
          </w:tcPr>
          <w:p w14:paraId="7391AE91">
            <w:pPr>
              <w:jc w:val="center"/>
              <w:rPr>
                <w:rFonts w:hint="eastAsia" w:ascii="Times New Roman" w:hAnsi="Times New Roman" w:eastAsia="楷体" w:cs="楷体"/>
                <w:color w:val="000000" w:themeColor="text1"/>
                <w:sz w:val="24"/>
                <w:highlight w:val="none"/>
                <w14:textFill>
                  <w14:solidFill>
                    <w14:schemeClr w14:val="tx1"/>
                  </w14:solidFill>
                </w14:textFill>
              </w:rPr>
            </w:pPr>
            <w:r>
              <w:rPr>
                <w:rFonts w:hint="eastAsia" w:ascii="Times New Roman" w:hAnsi="Times New Roman" w:eastAsia="楷体" w:cs="楷体"/>
                <w:color w:val="000000" w:themeColor="text1"/>
                <w:sz w:val="28"/>
                <w:szCs w:val="28"/>
                <w:highlight w:val="none"/>
                <w14:textFill>
                  <w14:solidFill>
                    <w14:schemeClr w14:val="tx1"/>
                  </w14:solidFill>
                </w14:textFill>
              </w:rPr>
              <w:t>性别</w:t>
            </w:r>
          </w:p>
        </w:tc>
        <w:tc>
          <w:tcPr>
            <w:tcW w:w="2547" w:type="dxa"/>
            <w:gridSpan w:val="2"/>
            <w:tcBorders>
              <w:top w:val="single" w:color="auto" w:sz="4" w:space="0"/>
              <w:left w:val="single" w:color="auto" w:sz="4" w:space="0"/>
              <w:bottom w:val="single" w:color="000000" w:sz="2" w:space="0"/>
              <w:right w:val="single" w:color="000000" w:sz="2" w:space="0"/>
            </w:tcBorders>
            <w:noWrap w:val="0"/>
            <w:vAlign w:val="center"/>
          </w:tcPr>
          <w:p w14:paraId="496A5C11">
            <w:pPr>
              <w:jc w:val="center"/>
              <w:rPr>
                <w:rFonts w:hint="eastAsia" w:ascii="Times New Roman" w:hAnsi="Times New Roman" w:eastAsia="楷体" w:cs="楷体"/>
                <w:color w:val="000000" w:themeColor="text1"/>
                <w:sz w:val="24"/>
                <w:highlight w:val="none"/>
                <w14:textFill>
                  <w14:solidFill>
                    <w14:schemeClr w14:val="tx1"/>
                  </w14:solidFill>
                </w14:textFill>
              </w:rPr>
            </w:pPr>
            <w:r>
              <w:rPr>
                <w:rFonts w:hint="eastAsia" w:cs="楷体"/>
                <w:color w:val="000000" w:themeColor="text1"/>
                <w:sz w:val="24"/>
                <w:szCs w:val="22"/>
                <w:highlight w:val="none"/>
                <w:lang w:val="en-US" w:eastAsia="zh-CN"/>
                <w14:textFill>
                  <w14:solidFill>
                    <w14:schemeClr w14:val="tx1"/>
                  </w14:solidFill>
                </w14:textFill>
              </w:rPr>
              <w:t>年级</w:t>
            </w:r>
            <w:r>
              <w:rPr>
                <w:rFonts w:hint="eastAsia" w:ascii="Times New Roman" w:hAnsi="Times New Roman" w:eastAsia="楷体" w:cs="楷体"/>
                <w:color w:val="000000" w:themeColor="text1"/>
                <w:sz w:val="24"/>
                <w:szCs w:val="22"/>
                <w:highlight w:val="none"/>
                <w14:textFill>
                  <w14:solidFill>
                    <w14:schemeClr w14:val="tx1"/>
                  </w14:solidFill>
                </w14:textFill>
              </w:rPr>
              <w:t>专业</w:t>
            </w:r>
          </w:p>
        </w:tc>
        <w:tc>
          <w:tcPr>
            <w:tcW w:w="1330" w:type="dxa"/>
            <w:tcBorders>
              <w:top w:val="single" w:color="auto" w:sz="4" w:space="0"/>
              <w:left w:val="single" w:color="auto" w:sz="4" w:space="0"/>
              <w:bottom w:val="single" w:color="000000" w:sz="2" w:space="0"/>
              <w:right w:val="single" w:color="000000" w:sz="2" w:space="0"/>
            </w:tcBorders>
            <w:noWrap w:val="0"/>
            <w:vAlign w:val="center"/>
          </w:tcPr>
          <w:p w14:paraId="42BDD854">
            <w:pPr>
              <w:jc w:val="center"/>
              <w:rPr>
                <w:rFonts w:hint="eastAsia" w:ascii="Times New Roman" w:hAnsi="Times New Roman" w:eastAsia="楷体" w:cs="楷体"/>
                <w:color w:val="000000" w:themeColor="text1"/>
                <w:sz w:val="28"/>
                <w:szCs w:val="28"/>
                <w:highlight w:val="none"/>
                <w14:textFill>
                  <w14:solidFill>
                    <w14:schemeClr w14:val="tx1"/>
                  </w14:solidFill>
                </w14:textFill>
              </w:rPr>
            </w:pPr>
            <w:r>
              <w:rPr>
                <w:rFonts w:hint="eastAsia" w:ascii="Times New Roman" w:hAnsi="Times New Roman" w:eastAsia="楷体" w:cs="楷体"/>
                <w:color w:val="000000" w:themeColor="text1"/>
                <w:sz w:val="28"/>
                <w:szCs w:val="28"/>
                <w:highlight w:val="none"/>
                <w14:textFill>
                  <w14:solidFill>
                    <w14:schemeClr w14:val="tx1"/>
                  </w14:solidFill>
                </w14:textFill>
              </w:rPr>
              <w:t>姓名</w:t>
            </w:r>
          </w:p>
        </w:tc>
        <w:tc>
          <w:tcPr>
            <w:tcW w:w="827" w:type="dxa"/>
            <w:tcBorders>
              <w:top w:val="single" w:color="auto" w:sz="4" w:space="0"/>
              <w:left w:val="single" w:color="auto" w:sz="4" w:space="0"/>
              <w:bottom w:val="single" w:color="000000" w:sz="2" w:space="0"/>
              <w:right w:val="single" w:color="000000" w:sz="2" w:space="0"/>
            </w:tcBorders>
            <w:noWrap w:val="0"/>
            <w:vAlign w:val="center"/>
          </w:tcPr>
          <w:p w14:paraId="52F1F6FC">
            <w:pPr>
              <w:jc w:val="center"/>
              <w:rPr>
                <w:rFonts w:hint="eastAsia" w:ascii="Times New Roman" w:hAnsi="Times New Roman" w:eastAsia="楷体" w:cs="楷体"/>
                <w:color w:val="000000" w:themeColor="text1"/>
                <w:sz w:val="28"/>
                <w:szCs w:val="28"/>
                <w:highlight w:val="none"/>
                <w:lang w:eastAsia="zh-CN"/>
                <w14:textFill>
                  <w14:solidFill>
                    <w14:schemeClr w14:val="tx1"/>
                  </w14:solidFill>
                </w14:textFill>
              </w:rPr>
            </w:pPr>
            <w:r>
              <w:rPr>
                <w:rFonts w:hint="eastAsia" w:ascii="Times New Roman" w:hAnsi="Times New Roman" w:eastAsia="楷体" w:cs="楷体"/>
                <w:color w:val="000000" w:themeColor="text1"/>
                <w:sz w:val="28"/>
                <w:szCs w:val="28"/>
                <w:highlight w:val="none"/>
                <w14:textFill>
                  <w14:solidFill>
                    <w14:schemeClr w14:val="tx1"/>
                  </w14:solidFill>
                </w14:textFill>
              </w:rPr>
              <w:t>性别</w:t>
            </w:r>
          </w:p>
        </w:tc>
        <w:tc>
          <w:tcPr>
            <w:tcW w:w="2598" w:type="dxa"/>
            <w:gridSpan w:val="2"/>
            <w:tcBorders>
              <w:top w:val="single" w:color="auto" w:sz="4" w:space="0"/>
              <w:left w:val="single" w:color="auto" w:sz="4" w:space="0"/>
              <w:bottom w:val="single" w:color="000000" w:sz="2" w:space="0"/>
              <w:right w:val="single" w:color="000000" w:sz="2" w:space="0"/>
            </w:tcBorders>
            <w:noWrap w:val="0"/>
            <w:vAlign w:val="center"/>
          </w:tcPr>
          <w:p w14:paraId="3071713D">
            <w:pPr>
              <w:jc w:val="center"/>
              <w:rPr>
                <w:rFonts w:hint="eastAsia" w:ascii="Times New Roman" w:hAnsi="Times New Roman" w:eastAsia="楷体" w:cs="楷体"/>
                <w:color w:val="000000" w:themeColor="text1"/>
                <w:sz w:val="24"/>
                <w:highlight w:val="none"/>
                <w:lang w:val="en-US" w:eastAsia="zh-CN"/>
                <w14:textFill>
                  <w14:solidFill>
                    <w14:schemeClr w14:val="tx1"/>
                  </w14:solidFill>
                </w14:textFill>
              </w:rPr>
            </w:pPr>
            <w:r>
              <w:rPr>
                <w:rFonts w:hint="eastAsia" w:cs="楷体"/>
                <w:color w:val="000000" w:themeColor="text1"/>
                <w:sz w:val="24"/>
                <w:szCs w:val="22"/>
                <w:highlight w:val="none"/>
                <w:lang w:val="en-US" w:eastAsia="zh-CN"/>
                <w14:textFill>
                  <w14:solidFill>
                    <w14:schemeClr w14:val="tx1"/>
                  </w14:solidFill>
                </w14:textFill>
              </w:rPr>
              <w:t>年级</w:t>
            </w:r>
            <w:r>
              <w:rPr>
                <w:rFonts w:hint="eastAsia" w:ascii="Times New Roman" w:hAnsi="Times New Roman" w:eastAsia="楷体" w:cs="楷体"/>
                <w:color w:val="000000" w:themeColor="text1"/>
                <w:sz w:val="24"/>
                <w:szCs w:val="22"/>
                <w:highlight w:val="none"/>
                <w14:textFill>
                  <w14:solidFill>
                    <w14:schemeClr w14:val="tx1"/>
                  </w14:solidFill>
                </w14:textFill>
              </w:rPr>
              <w:t>专业</w:t>
            </w:r>
          </w:p>
        </w:tc>
      </w:tr>
      <w:tr w14:paraId="1765A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0" w:hRule="atLeast"/>
          <w:jc w:val="center"/>
        </w:trPr>
        <w:tc>
          <w:tcPr>
            <w:tcW w:w="540" w:type="dxa"/>
            <w:vMerge w:val="continue"/>
            <w:tcBorders>
              <w:left w:val="single" w:color="000000" w:sz="2" w:space="0"/>
              <w:right w:val="single" w:color="000000" w:sz="2" w:space="0"/>
            </w:tcBorders>
            <w:noWrap w:val="0"/>
            <w:vAlign w:val="center"/>
          </w:tcPr>
          <w:p w14:paraId="11CC11B8">
            <w:pPr>
              <w:spacing w:line="440" w:lineRule="exact"/>
              <w:jc w:val="center"/>
              <w:rPr>
                <w:rFonts w:hint="eastAsia" w:ascii="Times New Roman" w:hAnsi="Times New Roman" w:eastAsia="楷体" w:cs="楷体"/>
                <w:color w:val="000000" w:themeColor="text1"/>
                <w:sz w:val="28"/>
                <w:szCs w:val="28"/>
                <w:highlight w:val="none"/>
                <w14:textFill>
                  <w14:solidFill>
                    <w14:schemeClr w14:val="tx1"/>
                  </w14:solidFill>
                </w14:textFill>
              </w:rPr>
            </w:pPr>
          </w:p>
        </w:tc>
        <w:tc>
          <w:tcPr>
            <w:tcW w:w="1276" w:type="dxa"/>
            <w:tcBorders>
              <w:top w:val="single" w:color="auto" w:sz="4" w:space="0"/>
              <w:left w:val="single" w:color="auto" w:sz="4" w:space="0"/>
              <w:bottom w:val="single" w:color="000000" w:sz="2" w:space="0"/>
              <w:right w:val="single" w:color="000000" w:sz="2" w:space="0"/>
            </w:tcBorders>
            <w:noWrap w:val="0"/>
            <w:vAlign w:val="center"/>
          </w:tcPr>
          <w:p w14:paraId="3C4D43A9">
            <w:pPr>
              <w:jc w:val="center"/>
              <w:rPr>
                <w:rFonts w:hint="eastAsia" w:ascii="Times New Roman" w:hAnsi="Times New Roman" w:eastAsia="楷体" w:cs="楷体"/>
                <w:color w:val="000000" w:themeColor="text1"/>
                <w:sz w:val="28"/>
                <w:szCs w:val="28"/>
                <w:highlight w:val="none"/>
                <w:lang w:val="en-US" w:eastAsia="zh-CN"/>
                <w14:textFill>
                  <w14:solidFill>
                    <w14:schemeClr w14:val="tx1"/>
                  </w14:solidFill>
                </w14:textFill>
              </w:rPr>
            </w:pPr>
            <w:r>
              <w:rPr>
                <w:rFonts w:hint="eastAsia" w:ascii="Times New Roman" w:hAnsi="Times New Roman" w:eastAsia="楷体" w:cs="楷体"/>
                <w:color w:val="000000" w:themeColor="text1"/>
                <w:sz w:val="28"/>
                <w:szCs w:val="28"/>
                <w:highlight w:val="none"/>
                <w:lang w:val="en-US" w:eastAsia="zh-CN"/>
                <w14:textFill>
                  <w14:solidFill>
                    <w14:schemeClr w14:val="tx1"/>
                  </w14:solidFill>
                </w14:textFill>
              </w:rPr>
              <w:t>王羡</w:t>
            </w:r>
          </w:p>
        </w:tc>
        <w:tc>
          <w:tcPr>
            <w:tcW w:w="782" w:type="dxa"/>
            <w:tcBorders>
              <w:top w:val="single" w:color="auto" w:sz="4" w:space="0"/>
              <w:left w:val="single" w:color="auto" w:sz="4" w:space="0"/>
              <w:bottom w:val="single" w:color="000000" w:sz="2" w:space="0"/>
              <w:right w:val="single" w:color="000000" w:sz="2" w:space="0"/>
            </w:tcBorders>
            <w:shd w:val="clear" w:color="auto" w:fill="auto"/>
            <w:noWrap w:val="0"/>
            <w:vAlign w:val="center"/>
          </w:tcPr>
          <w:p w14:paraId="4AF55646">
            <w:pPr>
              <w:jc w:val="center"/>
              <w:rPr>
                <w:rFonts w:hint="eastAsia" w:ascii="Times New Roman" w:hAnsi="Times New Roman" w:eastAsia="楷体" w:cs="楷体"/>
                <w:color w:val="000000" w:themeColor="text1"/>
                <w:sz w:val="28"/>
                <w:szCs w:val="28"/>
                <w:highlight w:val="none"/>
                <w:lang w:val="en-US" w:eastAsia="zh-CN"/>
                <w14:textFill>
                  <w14:solidFill>
                    <w14:schemeClr w14:val="tx1"/>
                  </w14:solidFill>
                </w14:textFill>
              </w:rPr>
            </w:pPr>
            <w:r>
              <w:rPr>
                <w:rFonts w:hint="eastAsia" w:ascii="Times New Roman" w:hAnsi="Times New Roman" w:eastAsia="楷体" w:cs="楷体"/>
                <w:color w:val="000000" w:themeColor="text1"/>
                <w:sz w:val="28"/>
                <w:szCs w:val="28"/>
                <w:highlight w:val="none"/>
                <w:lang w:val="en-US" w:eastAsia="zh-CN"/>
                <w14:textFill>
                  <w14:solidFill>
                    <w14:schemeClr w14:val="tx1"/>
                  </w14:solidFill>
                </w14:textFill>
              </w:rPr>
              <w:t>女</w:t>
            </w:r>
          </w:p>
        </w:tc>
        <w:tc>
          <w:tcPr>
            <w:tcW w:w="2547" w:type="dxa"/>
            <w:gridSpan w:val="2"/>
            <w:tcBorders>
              <w:top w:val="single" w:color="auto" w:sz="4" w:space="0"/>
              <w:left w:val="single" w:color="auto" w:sz="4" w:space="0"/>
              <w:bottom w:val="single" w:color="000000" w:sz="2" w:space="0"/>
              <w:right w:val="single" w:color="000000" w:sz="2" w:space="0"/>
            </w:tcBorders>
            <w:noWrap w:val="0"/>
            <w:vAlign w:val="center"/>
          </w:tcPr>
          <w:p w14:paraId="057D3A30">
            <w:pPr>
              <w:spacing w:line="360" w:lineRule="auto"/>
              <w:jc w:val="center"/>
              <w:rPr>
                <w:rFonts w:hint="default" w:ascii="Times New Roman" w:hAnsi="Times New Roman" w:eastAsia="楷体" w:cs="楷体"/>
                <w:color w:val="000000" w:themeColor="text1"/>
                <w:sz w:val="24"/>
                <w:szCs w:val="22"/>
                <w:highlight w:val="none"/>
                <w:lang w:val="en-US" w:eastAsia="zh-CN"/>
                <w14:textFill>
                  <w14:solidFill>
                    <w14:schemeClr w14:val="tx1"/>
                  </w14:solidFill>
                </w14:textFill>
              </w:rPr>
            </w:pPr>
            <w:r>
              <w:rPr>
                <w:rFonts w:hint="eastAsia" w:cs="楷体"/>
                <w:color w:val="000000" w:themeColor="text1"/>
                <w:sz w:val="24"/>
                <w:szCs w:val="22"/>
                <w:highlight w:val="none"/>
                <w:lang w:val="en-US" w:eastAsia="zh-CN"/>
                <w14:textFill>
                  <w14:solidFill>
                    <w14:schemeClr w14:val="tx1"/>
                  </w14:solidFill>
                </w14:textFill>
              </w:rPr>
              <w:t>2023级</w:t>
            </w:r>
            <w:r>
              <w:rPr>
                <w:rFonts w:hint="eastAsia" w:ascii="Times New Roman" w:hAnsi="Times New Roman" w:eastAsia="楷体" w:cs="楷体"/>
                <w:color w:val="000000" w:themeColor="text1"/>
                <w:sz w:val="24"/>
                <w:szCs w:val="22"/>
                <w:highlight w:val="none"/>
                <w:lang w:val="en-US" w:eastAsia="zh-CN"/>
                <w14:textFill>
                  <w14:solidFill>
                    <w14:schemeClr w14:val="tx1"/>
                  </w14:solidFill>
                </w14:textFill>
              </w:rPr>
              <w:t>国际经济与贸易</w:t>
            </w:r>
          </w:p>
        </w:tc>
        <w:tc>
          <w:tcPr>
            <w:tcW w:w="1330" w:type="dxa"/>
            <w:tcBorders>
              <w:top w:val="single" w:color="auto" w:sz="4" w:space="0"/>
              <w:left w:val="single" w:color="auto" w:sz="4" w:space="0"/>
              <w:bottom w:val="single" w:color="000000" w:sz="2" w:space="0"/>
              <w:right w:val="single" w:color="000000" w:sz="2" w:space="0"/>
            </w:tcBorders>
            <w:shd w:val="clear" w:color="auto" w:fill="auto"/>
            <w:noWrap w:val="0"/>
            <w:vAlign w:val="center"/>
          </w:tcPr>
          <w:p w14:paraId="1D8279D2">
            <w:pPr>
              <w:jc w:val="center"/>
              <w:rPr>
                <w:rFonts w:hint="default" w:cs="楷体"/>
                <w:color w:val="000000" w:themeColor="text1"/>
                <w:sz w:val="28"/>
                <w:szCs w:val="28"/>
                <w:highlight w:val="none"/>
                <w:lang w:val="en-US" w:eastAsia="zh-CN"/>
                <w14:textFill>
                  <w14:solidFill>
                    <w14:schemeClr w14:val="tx1"/>
                  </w14:solidFill>
                </w14:textFill>
              </w:rPr>
            </w:pPr>
            <w:r>
              <w:rPr>
                <w:rFonts w:hint="eastAsia" w:cs="楷体"/>
                <w:color w:val="000000" w:themeColor="text1"/>
                <w:sz w:val="28"/>
                <w:szCs w:val="28"/>
                <w:highlight w:val="none"/>
                <w:lang w:val="en-US" w:eastAsia="zh-CN"/>
                <w14:textFill>
                  <w14:solidFill>
                    <w14:schemeClr w14:val="tx1"/>
                  </w14:solidFill>
                </w14:textFill>
              </w:rPr>
              <w:t>杨思康</w:t>
            </w:r>
          </w:p>
        </w:tc>
        <w:tc>
          <w:tcPr>
            <w:tcW w:w="827" w:type="dxa"/>
            <w:tcBorders>
              <w:top w:val="single" w:color="auto" w:sz="4" w:space="0"/>
              <w:left w:val="single" w:color="auto" w:sz="4" w:space="0"/>
              <w:bottom w:val="single" w:color="000000" w:sz="2" w:space="0"/>
              <w:right w:val="single" w:color="000000" w:sz="2" w:space="0"/>
            </w:tcBorders>
            <w:shd w:val="clear" w:color="auto" w:fill="auto"/>
            <w:noWrap w:val="0"/>
            <w:vAlign w:val="center"/>
          </w:tcPr>
          <w:p w14:paraId="5C06C478">
            <w:pPr>
              <w:jc w:val="center"/>
              <w:rPr>
                <w:rFonts w:hint="default" w:ascii="Times New Roman" w:hAnsi="Times New Roman" w:eastAsia="楷体" w:cs="楷体"/>
                <w:color w:val="000000" w:themeColor="text1"/>
                <w:sz w:val="28"/>
                <w:szCs w:val="28"/>
                <w:highlight w:val="none"/>
                <w:lang w:val="en-US" w:eastAsia="zh-CN"/>
                <w14:textFill>
                  <w14:solidFill>
                    <w14:schemeClr w14:val="tx1"/>
                  </w14:solidFill>
                </w14:textFill>
              </w:rPr>
            </w:pPr>
            <w:r>
              <w:rPr>
                <w:rFonts w:hint="eastAsia" w:cs="楷体"/>
                <w:color w:val="000000" w:themeColor="text1"/>
                <w:sz w:val="28"/>
                <w:szCs w:val="28"/>
                <w:highlight w:val="none"/>
                <w:lang w:val="en-US" w:eastAsia="zh-CN"/>
                <w14:textFill>
                  <w14:solidFill>
                    <w14:schemeClr w14:val="tx1"/>
                  </w14:solidFill>
                </w14:textFill>
              </w:rPr>
              <w:t>男</w:t>
            </w:r>
          </w:p>
        </w:tc>
        <w:tc>
          <w:tcPr>
            <w:tcW w:w="2598" w:type="dxa"/>
            <w:gridSpan w:val="2"/>
            <w:tcBorders>
              <w:top w:val="single" w:color="auto" w:sz="4" w:space="0"/>
              <w:left w:val="single" w:color="auto" w:sz="4" w:space="0"/>
              <w:bottom w:val="single" w:color="000000" w:sz="2" w:space="0"/>
              <w:right w:val="single" w:color="000000" w:sz="2" w:space="0"/>
            </w:tcBorders>
            <w:shd w:val="clear" w:color="auto" w:fill="auto"/>
            <w:noWrap w:val="0"/>
            <w:vAlign w:val="center"/>
          </w:tcPr>
          <w:p w14:paraId="06AA6BD5">
            <w:pPr>
              <w:spacing w:line="360" w:lineRule="auto"/>
              <w:jc w:val="center"/>
              <w:rPr>
                <w:rFonts w:hint="default" w:cs="楷体"/>
                <w:color w:val="000000" w:themeColor="text1"/>
                <w:sz w:val="24"/>
                <w:szCs w:val="22"/>
                <w:highlight w:val="none"/>
                <w:lang w:val="en-US" w:eastAsia="zh-CN"/>
                <w14:textFill>
                  <w14:solidFill>
                    <w14:schemeClr w14:val="tx1"/>
                  </w14:solidFill>
                </w14:textFill>
              </w:rPr>
            </w:pPr>
            <w:r>
              <w:rPr>
                <w:rFonts w:hint="eastAsia" w:cs="楷体"/>
                <w:color w:val="000000" w:themeColor="text1"/>
                <w:sz w:val="24"/>
                <w:szCs w:val="22"/>
                <w:highlight w:val="none"/>
                <w:lang w:val="en-US" w:eastAsia="zh-CN"/>
                <w14:textFill>
                  <w14:solidFill>
                    <w14:schemeClr w14:val="tx1"/>
                  </w14:solidFill>
                </w14:textFill>
              </w:rPr>
              <w:t>2023级楚怡工匠</w:t>
            </w:r>
          </w:p>
        </w:tc>
      </w:tr>
      <w:tr w14:paraId="3CD11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0" w:hRule="atLeast"/>
          <w:jc w:val="center"/>
        </w:trPr>
        <w:tc>
          <w:tcPr>
            <w:tcW w:w="540" w:type="dxa"/>
            <w:vMerge w:val="continue"/>
            <w:tcBorders>
              <w:left w:val="single" w:color="000000" w:sz="2" w:space="0"/>
              <w:right w:val="single" w:color="000000" w:sz="2" w:space="0"/>
            </w:tcBorders>
            <w:noWrap w:val="0"/>
            <w:vAlign w:val="center"/>
          </w:tcPr>
          <w:p w14:paraId="1DA23B3E">
            <w:pPr>
              <w:spacing w:line="440" w:lineRule="exact"/>
              <w:jc w:val="center"/>
              <w:rPr>
                <w:rFonts w:hint="eastAsia" w:ascii="Times New Roman" w:hAnsi="Times New Roman" w:eastAsia="楷体" w:cs="楷体"/>
                <w:color w:val="000000" w:themeColor="text1"/>
                <w:sz w:val="28"/>
                <w:szCs w:val="28"/>
                <w:highlight w:val="none"/>
                <w14:textFill>
                  <w14:solidFill>
                    <w14:schemeClr w14:val="tx1"/>
                  </w14:solidFill>
                </w14:textFill>
              </w:rPr>
            </w:pPr>
          </w:p>
        </w:tc>
        <w:tc>
          <w:tcPr>
            <w:tcW w:w="1276" w:type="dxa"/>
            <w:tcBorders>
              <w:top w:val="single" w:color="auto" w:sz="4" w:space="0"/>
              <w:left w:val="single" w:color="auto" w:sz="4" w:space="0"/>
              <w:bottom w:val="single" w:color="000000" w:sz="2" w:space="0"/>
              <w:right w:val="single" w:color="000000" w:sz="2" w:space="0"/>
            </w:tcBorders>
            <w:noWrap w:val="0"/>
            <w:vAlign w:val="center"/>
          </w:tcPr>
          <w:p w14:paraId="5F282A71">
            <w:pPr>
              <w:jc w:val="center"/>
              <w:rPr>
                <w:rFonts w:hint="eastAsia" w:ascii="Times New Roman" w:hAnsi="Times New Roman" w:eastAsia="楷体" w:cs="楷体"/>
                <w:color w:val="000000" w:themeColor="text1"/>
                <w:sz w:val="28"/>
                <w:szCs w:val="28"/>
                <w:highlight w:val="none"/>
                <w:lang w:val="en-US" w:eastAsia="zh-CN"/>
                <w14:textFill>
                  <w14:solidFill>
                    <w14:schemeClr w14:val="tx1"/>
                  </w14:solidFill>
                </w14:textFill>
              </w:rPr>
            </w:pPr>
            <w:r>
              <w:rPr>
                <w:rFonts w:hint="eastAsia" w:ascii="Times New Roman" w:hAnsi="Times New Roman" w:eastAsia="楷体" w:cs="楷体"/>
                <w:color w:val="000000" w:themeColor="text1"/>
                <w:sz w:val="28"/>
                <w:szCs w:val="28"/>
                <w:highlight w:val="none"/>
                <w:lang w:val="en-US" w:eastAsia="zh-CN"/>
                <w14:textFill>
                  <w14:solidFill>
                    <w14:schemeClr w14:val="tx1"/>
                  </w14:solidFill>
                </w14:textFill>
              </w:rPr>
              <w:t>蒋晨星</w:t>
            </w:r>
          </w:p>
        </w:tc>
        <w:tc>
          <w:tcPr>
            <w:tcW w:w="782" w:type="dxa"/>
            <w:tcBorders>
              <w:top w:val="single" w:color="auto" w:sz="4" w:space="0"/>
              <w:left w:val="single" w:color="auto" w:sz="4" w:space="0"/>
              <w:bottom w:val="single" w:color="000000" w:sz="2" w:space="0"/>
              <w:right w:val="single" w:color="000000" w:sz="2" w:space="0"/>
            </w:tcBorders>
            <w:shd w:val="clear" w:color="auto" w:fill="auto"/>
            <w:noWrap w:val="0"/>
            <w:vAlign w:val="center"/>
          </w:tcPr>
          <w:p w14:paraId="56E11016">
            <w:pPr>
              <w:jc w:val="center"/>
              <w:rPr>
                <w:rFonts w:hint="eastAsia" w:ascii="Times New Roman" w:hAnsi="Times New Roman" w:eastAsia="楷体" w:cs="楷体"/>
                <w:color w:val="000000" w:themeColor="text1"/>
                <w:sz w:val="28"/>
                <w:szCs w:val="28"/>
                <w:highlight w:val="none"/>
                <w:lang w:val="en-US" w:eastAsia="zh-CN"/>
                <w14:textFill>
                  <w14:solidFill>
                    <w14:schemeClr w14:val="tx1"/>
                  </w14:solidFill>
                </w14:textFill>
              </w:rPr>
            </w:pPr>
            <w:r>
              <w:rPr>
                <w:rFonts w:hint="eastAsia" w:ascii="Times New Roman" w:hAnsi="Times New Roman" w:eastAsia="楷体" w:cs="楷体"/>
                <w:color w:val="000000" w:themeColor="text1"/>
                <w:sz w:val="28"/>
                <w:szCs w:val="28"/>
                <w:highlight w:val="none"/>
                <w:lang w:val="en-US" w:eastAsia="zh-CN"/>
                <w14:textFill>
                  <w14:solidFill>
                    <w14:schemeClr w14:val="tx1"/>
                  </w14:solidFill>
                </w14:textFill>
              </w:rPr>
              <w:t>女</w:t>
            </w:r>
          </w:p>
        </w:tc>
        <w:tc>
          <w:tcPr>
            <w:tcW w:w="2547" w:type="dxa"/>
            <w:gridSpan w:val="2"/>
            <w:tcBorders>
              <w:top w:val="single" w:color="auto" w:sz="4" w:space="0"/>
              <w:left w:val="single" w:color="auto" w:sz="4" w:space="0"/>
              <w:bottom w:val="single" w:color="000000" w:sz="2" w:space="0"/>
              <w:right w:val="single" w:color="000000" w:sz="2" w:space="0"/>
            </w:tcBorders>
            <w:noWrap w:val="0"/>
            <w:vAlign w:val="center"/>
          </w:tcPr>
          <w:p w14:paraId="18CA51E0">
            <w:pPr>
              <w:spacing w:line="360" w:lineRule="auto"/>
              <w:jc w:val="center"/>
              <w:rPr>
                <w:rFonts w:hint="eastAsia" w:ascii="Times New Roman" w:hAnsi="Times New Roman" w:eastAsia="楷体" w:cs="楷体"/>
                <w:color w:val="000000" w:themeColor="text1"/>
                <w:sz w:val="24"/>
                <w:szCs w:val="22"/>
                <w:highlight w:val="none"/>
                <w:lang w:val="en-US" w:eastAsia="zh-CN"/>
                <w14:textFill>
                  <w14:solidFill>
                    <w14:schemeClr w14:val="tx1"/>
                  </w14:solidFill>
                </w14:textFill>
              </w:rPr>
            </w:pPr>
            <w:r>
              <w:rPr>
                <w:rFonts w:hint="eastAsia" w:cs="楷体"/>
                <w:color w:val="000000" w:themeColor="text1"/>
                <w:sz w:val="24"/>
                <w:szCs w:val="22"/>
                <w:highlight w:val="none"/>
                <w:lang w:val="en-US" w:eastAsia="zh-CN"/>
                <w14:textFill>
                  <w14:solidFill>
                    <w14:schemeClr w14:val="tx1"/>
                  </w14:solidFill>
                </w14:textFill>
              </w:rPr>
              <w:t>2023级</w:t>
            </w:r>
            <w:r>
              <w:rPr>
                <w:rFonts w:hint="eastAsia" w:ascii="Times New Roman" w:hAnsi="Times New Roman" w:eastAsia="楷体" w:cs="楷体"/>
                <w:color w:val="000000" w:themeColor="text1"/>
                <w:sz w:val="24"/>
                <w:szCs w:val="22"/>
                <w:highlight w:val="none"/>
                <w:lang w:val="en-US" w:eastAsia="zh-CN"/>
                <w14:textFill>
                  <w14:solidFill>
                    <w14:schemeClr w14:val="tx1"/>
                  </w14:solidFill>
                </w14:textFill>
              </w:rPr>
              <w:t>工商管理</w:t>
            </w:r>
          </w:p>
        </w:tc>
        <w:tc>
          <w:tcPr>
            <w:tcW w:w="1330" w:type="dxa"/>
            <w:tcBorders>
              <w:top w:val="single" w:color="auto" w:sz="4" w:space="0"/>
              <w:left w:val="single" w:color="auto" w:sz="4" w:space="0"/>
              <w:bottom w:val="single" w:color="000000" w:sz="2" w:space="0"/>
              <w:right w:val="single" w:color="000000" w:sz="2" w:space="0"/>
            </w:tcBorders>
            <w:shd w:val="clear" w:color="auto" w:fill="auto"/>
            <w:noWrap w:val="0"/>
            <w:vAlign w:val="center"/>
          </w:tcPr>
          <w:p w14:paraId="1B04DB68">
            <w:pPr>
              <w:jc w:val="center"/>
              <w:rPr>
                <w:rFonts w:hint="default" w:cs="楷体"/>
                <w:color w:val="000000" w:themeColor="text1"/>
                <w:sz w:val="28"/>
                <w:szCs w:val="28"/>
                <w:highlight w:val="none"/>
                <w:lang w:val="en-US" w:eastAsia="zh-CN"/>
                <w14:textFill>
                  <w14:solidFill>
                    <w14:schemeClr w14:val="tx1"/>
                  </w14:solidFill>
                </w14:textFill>
              </w:rPr>
            </w:pPr>
            <w:r>
              <w:rPr>
                <w:rFonts w:hint="eastAsia" w:cs="楷体"/>
                <w:color w:val="000000" w:themeColor="text1"/>
                <w:sz w:val="28"/>
                <w:szCs w:val="28"/>
                <w:highlight w:val="none"/>
                <w:lang w:val="en-US" w:eastAsia="zh-CN"/>
                <w14:textFill>
                  <w14:solidFill>
                    <w14:schemeClr w14:val="tx1"/>
                  </w14:solidFill>
                </w14:textFill>
              </w:rPr>
              <w:t>王泽轩</w:t>
            </w:r>
          </w:p>
        </w:tc>
        <w:tc>
          <w:tcPr>
            <w:tcW w:w="827" w:type="dxa"/>
            <w:tcBorders>
              <w:top w:val="single" w:color="auto" w:sz="4" w:space="0"/>
              <w:left w:val="single" w:color="auto" w:sz="4" w:space="0"/>
              <w:bottom w:val="single" w:color="000000" w:sz="2" w:space="0"/>
              <w:right w:val="single" w:color="000000" w:sz="2" w:space="0"/>
            </w:tcBorders>
            <w:shd w:val="clear" w:color="auto" w:fill="auto"/>
            <w:noWrap w:val="0"/>
            <w:vAlign w:val="center"/>
          </w:tcPr>
          <w:p w14:paraId="5DC1DE1E">
            <w:pPr>
              <w:jc w:val="center"/>
              <w:rPr>
                <w:rFonts w:hint="default" w:ascii="Times New Roman" w:hAnsi="Times New Roman" w:eastAsia="楷体" w:cs="楷体"/>
                <w:color w:val="000000" w:themeColor="text1"/>
                <w:sz w:val="28"/>
                <w:szCs w:val="28"/>
                <w:highlight w:val="none"/>
                <w:lang w:val="en-US" w:eastAsia="zh-CN"/>
                <w14:textFill>
                  <w14:solidFill>
                    <w14:schemeClr w14:val="tx1"/>
                  </w14:solidFill>
                </w14:textFill>
              </w:rPr>
            </w:pPr>
            <w:r>
              <w:rPr>
                <w:rFonts w:hint="eastAsia" w:cs="楷体"/>
                <w:color w:val="000000" w:themeColor="text1"/>
                <w:sz w:val="28"/>
                <w:szCs w:val="28"/>
                <w:highlight w:val="none"/>
                <w:lang w:val="en-US" w:eastAsia="zh-CN"/>
                <w14:textFill>
                  <w14:solidFill>
                    <w14:schemeClr w14:val="tx1"/>
                  </w14:solidFill>
                </w14:textFill>
              </w:rPr>
              <w:t>男</w:t>
            </w:r>
          </w:p>
        </w:tc>
        <w:tc>
          <w:tcPr>
            <w:tcW w:w="2598" w:type="dxa"/>
            <w:gridSpan w:val="2"/>
            <w:tcBorders>
              <w:top w:val="single" w:color="auto" w:sz="4" w:space="0"/>
              <w:left w:val="single" w:color="auto" w:sz="4" w:space="0"/>
              <w:bottom w:val="single" w:color="000000" w:sz="2" w:space="0"/>
              <w:right w:val="single" w:color="000000" w:sz="2" w:space="0"/>
            </w:tcBorders>
            <w:shd w:val="clear" w:color="auto" w:fill="auto"/>
            <w:noWrap w:val="0"/>
            <w:vAlign w:val="center"/>
          </w:tcPr>
          <w:p w14:paraId="788D5DB3">
            <w:pPr>
              <w:spacing w:line="360" w:lineRule="auto"/>
              <w:jc w:val="center"/>
              <w:rPr>
                <w:rFonts w:hint="default" w:cs="楷体"/>
                <w:color w:val="000000" w:themeColor="text1"/>
                <w:sz w:val="24"/>
                <w:szCs w:val="22"/>
                <w:highlight w:val="none"/>
                <w:lang w:val="en-US" w:eastAsia="zh-CN"/>
                <w14:textFill>
                  <w14:solidFill>
                    <w14:schemeClr w14:val="tx1"/>
                  </w14:solidFill>
                </w14:textFill>
              </w:rPr>
            </w:pPr>
            <w:r>
              <w:rPr>
                <w:rFonts w:hint="eastAsia" w:cs="楷体"/>
                <w:color w:val="000000" w:themeColor="text1"/>
                <w:sz w:val="24"/>
                <w:szCs w:val="22"/>
                <w:highlight w:val="none"/>
                <w:lang w:val="en-US" w:eastAsia="zh-CN"/>
                <w14:textFill>
                  <w14:solidFill>
                    <w14:schemeClr w14:val="tx1"/>
                  </w14:solidFill>
                </w14:textFill>
              </w:rPr>
              <w:t>2023级工程管理</w:t>
            </w:r>
          </w:p>
        </w:tc>
      </w:tr>
      <w:tr w14:paraId="718DC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0" w:hRule="atLeast"/>
          <w:jc w:val="center"/>
        </w:trPr>
        <w:tc>
          <w:tcPr>
            <w:tcW w:w="540" w:type="dxa"/>
            <w:vMerge w:val="continue"/>
            <w:tcBorders>
              <w:left w:val="single" w:color="000000" w:sz="2" w:space="0"/>
              <w:right w:val="single" w:color="000000" w:sz="2" w:space="0"/>
            </w:tcBorders>
            <w:noWrap w:val="0"/>
            <w:vAlign w:val="center"/>
          </w:tcPr>
          <w:p w14:paraId="1B9EC3CB">
            <w:pPr>
              <w:spacing w:line="440" w:lineRule="exact"/>
              <w:jc w:val="center"/>
              <w:rPr>
                <w:rFonts w:hint="eastAsia" w:ascii="Times New Roman" w:hAnsi="Times New Roman" w:eastAsia="楷体" w:cs="楷体"/>
                <w:color w:val="000000" w:themeColor="text1"/>
                <w:sz w:val="28"/>
                <w:szCs w:val="28"/>
                <w:highlight w:val="none"/>
                <w14:textFill>
                  <w14:solidFill>
                    <w14:schemeClr w14:val="tx1"/>
                  </w14:solidFill>
                </w14:textFill>
              </w:rPr>
            </w:pPr>
          </w:p>
        </w:tc>
        <w:tc>
          <w:tcPr>
            <w:tcW w:w="1276" w:type="dxa"/>
            <w:tcBorders>
              <w:top w:val="single" w:color="auto" w:sz="4" w:space="0"/>
              <w:left w:val="single" w:color="auto" w:sz="4" w:space="0"/>
              <w:bottom w:val="single" w:color="000000" w:sz="2" w:space="0"/>
              <w:right w:val="single" w:color="000000" w:sz="2" w:space="0"/>
            </w:tcBorders>
            <w:noWrap w:val="0"/>
            <w:vAlign w:val="center"/>
          </w:tcPr>
          <w:p w14:paraId="7E58E349">
            <w:pPr>
              <w:jc w:val="center"/>
              <w:rPr>
                <w:rFonts w:hint="eastAsia" w:ascii="Times New Roman" w:hAnsi="Times New Roman" w:eastAsia="楷体" w:cs="楷体"/>
                <w:color w:val="000000" w:themeColor="text1"/>
                <w:sz w:val="28"/>
                <w:szCs w:val="28"/>
                <w:highlight w:val="none"/>
                <w:lang w:val="en-US" w:eastAsia="zh-CN"/>
                <w14:textFill>
                  <w14:solidFill>
                    <w14:schemeClr w14:val="tx1"/>
                  </w14:solidFill>
                </w14:textFill>
              </w:rPr>
            </w:pPr>
            <w:r>
              <w:rPr>
                <w:rFonts w:hint="eastAsia" w:ascii="Times New Roman" w:hAnsi="Times New Roman" w:eastAsia="楷体" w:cs="楷体"/>
                <w:color w:val="000000" w:themeColor="text1"/>
                <w:sz w:val="28"/>
                <w:szCs w:val="28"/>
                <w:highlight w:val="none"/>
                <w:lang w:val="en-US" w:eastAsia="zh-CN"/>
                <w14:textFill>
                  <w14:solidFill>
                    <w14:schemeClr w14:val="tx1"/>
                  </w14:solidFill>
                </w14:textFill>
              </w:rPr>
              <w:t>肖嫣钰</w:t>
            </w:r>
          </w:p>
        </w:tc>
        <w:tc>
          <w:tcPr>
            <w:tcW w:w="782" w:type="dxa"/>
            <w:tcBorders>
              <w:top w:val="single" w:color="auto" w:sz="4" w:space="0"/>
              <w:left w:val="single" w:color="auto" w:sz="4" w:space="0"/>
              <w:bottom w:val="single" w:color="000000" w:sz="2" w:space="0"/>
              <w:right w:val="single" w:color="000000" w:sz="2" w:space="0"/>
            </w:tcBorders>
            <w:shd w:val="clear" w:color="auto" w:fill="auto"/>
            <w:noWrap w:val="0"/>
            <w:vAlign w:val="center"/>
          </w:tcPr>
          <w:p w14:paraId="6348FDE4">
            <w:pPr>
              <w:jc w:val="center"/>
              <w:rPr>
                <w:rFonts w:hint="eastAsia" w:ascii="Times New Roman" w:hAnsi="Times New Roman" w:eastAsia="楷体" w:cs="楷体"/>
                <w:color w:val="000000" w:themeColor="text1"/>
                <w:sz w:val="28"/>
                <w:szCs w:val="28"/>
                <w:highlight w:val="none"/>
                <w:lang w:val="en-US" w:eastAsia="zh-CN"/>
                <w14:textFill>
                  <w14:solidFill>
                    <w14:schemeClr w14:val="tx1"/>
                  </w14:solidFill>
                </w14:textFill>
              </w:rPr>
            </w:pPr>
            <w:r>
              <w:rPr>
                <w:rFonts w:hint="eastAsia" w:ascii="Times New Roman" w:hAnsi="Times New Roman" w:eastAsia="楷体" w:cs="楷体"/>
                <w:color w:val="000000" w:themeColor="text1"/>
                <w:sz w:val="28"/>
                <w:szCs w:val="28"/>
                <w:highlight w:val="none"/>
                <w:lang w:val="en-US" w:eastAsia="zh-CN"/>
                <w14:textFill>
                  <w14:solidFill>
                    <w14:schemeClr w14:val="tx1"/>
                  </w14:solidFill>
                </w14:textFill>
              </w:rPr>
              <w:t>女</w:t>
            </w:r>
          </w:p>
        </w:tc>
        <w:tc>
          <w:tcPr>
            <w:tcW w:w="2547" w:type="dxa"/>
            <w:gridSpan w:val="2"/>
            <w:tcBorders>
              <w:top w:val="single" w:color="auto" w:sz="4" w:space="0"/>
              <w:left w:val="single" w:color="auto" w:sz="4" w:space="0"/>
              <w:bottom w:val="single" w:color="000000" w:sz="2" w:space="0"/>
              <w:right w:val="single" w:color="000000" w:sz="2" w:space="0"/>
            </w:tcBorders>
            <w:noWrap w:val="0"/>
            <w:vAlign w:val="center"/>
          </w:tcPr>
          <w:p w14:paraId="38C76CD3">
            <w:pPr>
              <w:spacing w:line="360" w:lineRule="auto"/>
              <w:jc w:val="center"/>
              <w:rPr>
                <w:rFonts w:hint="default" w:ascii="Times New Roman" w:hAnsi="Times New Roman" w:eastAsia="楷体" w:cs="楷体"/>
                <w:color w:val="000000" w:themeColor="text1"/>
                <w:sz w:val="24"/>
                <w:szCs w:val="22"/>
                <w:highlight w:val="none"/>
                <w:lang w:val="en-US" w:eastAsia="zh-CN"/>
                <w14:textFill>
                  <w14:solidFill>
                    <w14:schemeClr w14:val="tx1"/>
                  </w14:solidFill>
                </w14:textFill>
              </w:rPr>
            </w:pPr>
            <w:r>
              <w:rPr>
                <w:rFonts w:hint="eastAsia" w:cs="楷体"/>
                <w:color w:val="000000" w:themeColor="text1"/>
                <w:sz w:val="24"/>
                <w:szCs w:val="22"/>
                <w:highlight w:val="none"/>
                <w:lang w:val="en-US" w:eastAsia="zh-CN"/>
                <w14:textFill>
                  <w14:solidFill>
                    <w14:schemeClr w14:val="tx1"/>
                  </w14:solidFill>
                </w14:textFill>
              </w:rPr>
              <w:t>2023级</w:t>
            </w:r>
            <w:r>
              <w:rPr>
                <w:rFonts w:hint="eastAsia" w:ascii="Times New Roman" w:hAnsi="Times New Roman" w:eastAsia="楷体" w:cs="楷体"/>
                <w:color w:val="000000" w:themeColor="text1"/>
                <w:sz w:val="24"/>
                <w:szCs w:val="22"/>
                <w:highlight w:val="none"/>
                <w:lang w:val="en-US" w:eastAsia="zh-CN"/>
                <w14:textFill>
                  <w14:solidFill>
                    <w14:schemeClr w14:val="tx1"/>
                  </w14:solidFill>
                </w14:textFill>
              </w:rPr>
              <w:t>工程造价</w:t>
            </w:r>
          </w:p>
        </w:tc>
        <w:tc>
          <w:tcPr>
            <w:tcW w:w="1330" w:type="dxa"/>
            <w:tcBorders>
              <w:top w:val="single" w:color="auto" w:sz="4" w:space="0"/>
              <w:left w:val="single" w:color="auto" w:sz="4" w:space="0"/>
              <w:bottom w:val="single" w:color="000000" w:sz="2" w:space="0"/>
              <w:right w:val="single" w:color="000000" w:sz="2" w:space="0"/>
            </w:tcBorders>
            <w:shd w:val="clear" w:color="auto" w:fill="auto"/>
            <w:noWrap w:val="0"/>
            <w:vAlign w:val="center"/>
          </w:tcPr>
          <w:p w14:paraId="55DE806D">
            <w:pPr>
              <w:jc w:val="center"/>
              <w:rPr>
                <w:rFonts w:hint="default" w:cs="楷体"/>
                <w:color w:val="000000" w:themeColor="text1"/>
                <w:sz w:val="28"/>
                <w:szCs w:val="28"/>
                <w:highlight w:val="none"/>
                <w:lang w:val="en-US" w:eastAsia="zh-CN"/>
                <w14:textFill>
                  <w14:solidFill>
                    <w14:schemeClr w14:val="tx1"/>
                  </w14:solidFill>
                </w14:textFill>
              </w:rPr>
            </w:pPr>
            <w:r>
              <w:rPr>
                <w:rFonts w:hint="eastAsia" w:cs="楷体"/>
                <w:color w:val="000000" w:themeColor="text1"/>
                <w:sz w:val="28"/>
                <w:szCs w:val="28"/>
                <w:highlight w:val="none"/>
                <w:lang w:val="en-US" w:eastAsia="zh-CN"/>
                <w14:textFill>
                  <w14:solidFill>
                    <w14:schemeClr w14:val="tx1"/>
                  </w14:solidFill>
                </w14:textFill>
              </w:rPr>
              <w:t>蒋叶莹</w:t>
            </w:r>
          </w:p>
        </w:tc>
        <w:tc>
          <w:tcPr>
            <w:tcW w:w="827" w:type="dxa"/>
            <w:tcBorders>
              <w:top w:val="single" w:color="auto" w:sz="4" w:space="0"/>
              <w:left w:val="single" w:color="auto" w:sz="4" w:space="0"/>
              <w:bottom w:val="single" w:color="000000" w:sz="2" w:space="0"/>
              <w:right w:val="single" w:color="000000" w:sz="2" w:space="0"/>
            </w:tcBorders>
            <w:shd w:val="clear" w:color="auto" w:fill="auto"/>
            <w:noWrap w:val="0"/>
            <w:vAlign w:val="center"/>
          </w:tcPr>
          <w:p w14:paraId="44A593B4">
            <w:pPr>
              <w:jc w:val="center"/>
              <w:rPr>
                <w:rFonts w:hint="default" w:ascii="Times New Roman" w:hAnsi="Times New Roman" w:eastAsia="楷体" w:cs="楷体"/>
                <w:color w:val="000000" w:themeColor="text1"/>
                <w:sz w:val="28"/>
                <w:szCs w:val="28"/>
                <w:highlight w:val="none"/>
                <w:lang w:val="en-US" w:eastAsia="zh-CN"/>
                <w14:textFill>
                  <w14:solidFill>
                    <w14:schemeClr w14:val="tx1"/>
                  </w14:solidFill>
                </w14:textFill>
              </w:rPr>
            </w:pPr>
            <w:r>
              <w:rPr>
                <w:rFonts w:hint="eastAsia" w:cs="楷体"/>
                <w:color w:val="000000" w:themeColor="text1"/>
                <w:sz w:val="28"/>
                <w:szCs w:val="28"/>
                <w:highlight w:val="none"/>
                <w:lang w:val="en-US" w:eastAsia="zh-CN"/>
                <w14:textFill>
                  <w14:solidFill>
                    <w14:schemeClr w14:val="tx1"/>
                  </w14:solidFill>
                </w14:textFill>
              </w:rPr>
              <w:t>女</w:t>
            </w:r>
          </w:p>
        </w:tc>
        <w:tc>
          <w:tcPr>
            <w:tcW w:w="2598" w:type="dxa"/>
            <w:gridSpan w:val="2"/>
            <w:tcBorders>
              <w:top w:val="single" w:color="auto" w:sz="4" w:space="0"/>
              <w:left w:val="single" w:color="auto" w:sz="4" w:space="0"/>
              <w:bottom w:val="single" w:color="000000" w:sz="2" w:space="0"/>
              <w:right w:val="single" w:color="000000" w:sz="2" w:space="0"/>
            </w:tcBorders>
            <w:shd w:val="clear" w:color="auto" w:fill="auto"/>
            <w:noWrap w:val="0"/>
            <w:vAlign w:val="center"/>
          </w:tcPr>
          <w:p w14:paraId="3CB66419">
            <w:pPr>
              <w:spacing w:line="360" w:lineRule="auto"/>
              <w:jc w:val="center"/>
              <w:rPr>
                <w:rFonts w:hint="default" w:cs="楷体"/>
                <w:color w:val="000000" w:themeColor="text1"/>
                <w:sz w:val="24"/>
                <w:szCs w:val="22"/>
                <w:highlight w:val="none"/>
                <w:lang w:val="en-US" w:eastAsia="zh-CN"/>
                <w14:textFill>
                  <w14:solidFill>
                    <w14:schemeClr w14:val="tx1"/>
                  </w14:solidFill>
                </w14:textFill>
              </w:rPr>
            </w:pPr>
            <w:r>
              <w:rPr>
                <w:rFonts w:hint="eastAsia" w:cs="楷体"/>
                <w:color w:val="000000" w:themeColor="text1"/>
                <w:sz w:val="24"/>
                <w:szCs w:val="22"/>
                <w:highlight w:val="none"/>
                <w:lang w:val="en-US" w:eastAsia="zh-CN"/>
                <w14:textFill>
                  <w14:solidFill>
                    <w14:schemeClr w14:val="tx1"/>
                  </w14:solidFill>
                </w14:textFill>
              </w:rPr>
              <w:t>2022级土木工程</w:t>
            </w:r>
          </w:p>
        </w:tc>
      </w:tr>
      <w:tr w14:paraId="46E97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0" w:hRule="atLeast"/>
          <w:jc w:val="center"/>
        </w:trPr>
        <w:tc>
          <w:tcPr>
            <w:tcW w:w="540" w:type="dxa"/>
            <w:vMerge w:val="continue"/>
            <w:tcBorders>
              <w:left w:val="single" w:color="000000" w:sz="2" w:space="0"/>
              <w:right w:val="single" w:color="000000" w:sz="2" w:space="0"/>
            </w:tcBorders>
            <w:noWrap w:val="0"/>
            <w:vAlign w:val="center"/>
          </w:tcPr>
          <w:p w14:paraId="6E5F54DB">
            <w:pPr>
              <w:spacing w:line="440" w:lineRule="exact"/>
              <w:jc w:val="center"/>
              <w:rPr>
                <w:rFonts w:hint="eastAsia" w:ascii="Times New Roman" w:hAnsi="Times New Roman" w:eastAsia="楷体" w:cs="楷体"/>
                <w:color w:val="000000" w:themeColor="text1"/>
                <w:sz w:val="28"/>
                <w:szCs w:val="28"/>
                <w:highlight w:val="none"/>
                <w14:textFill>
                  <w14:solidFill>
                    <w14:schemeClr w14:val="tx1"/>
                  </w14:solidFill>
                </w14:textFill>
              </w:rPr>
            </w:pPr>
          </w:p>
        </w:tc>
        <w:tc>
          <w:tcPr>
            <w:tcW w:w="1276" w:type="dxa"/>
            <w:tcBorders>
              <w:top w:val="single" w:color="auto" w:sz="4" w:space="0"/>
              <w:left w:val="single" w:color="auto" w:sz="4" w:space="0"/>
              <w:bottom w:val="single" w:color="000000" w:sz="2" w:space="0"/>
              <w:right w:val="single" w:color="000000" w:sz="2" w:space="0"/>
            </w:tcBorders>
            <w:noWrap w:val="0"/>
            <w:vAlign w:val="center"/>
          </w:tcPr>
          <w:p w14:paraId="04B726A7">
            <w:pPr>
              <w:jc w:val="center"/>
              <w:rPr>
                <w:rFonts w:hint="eastAsia" w:ascii="Times New Roman" w:hAnsi="Times New Roman" w:eastAsia="楷体" w:cs="楷体"/>
                <w:color w:val="000000" w:themeColor="text1"/>
                <w:sz w:val="28"/>
                <w:szCs w:val="28"/>
                <w:highlight w:val="none"/>
                <w:lang w:val="en-US" w:eastAsia="zh-CN"/>
                <w14:textFill>
                  <w14:solidFill>
                    <w14:schemeClr w14:val="tx1"/>
                  </w14:solidFill>
                </w14:textFill>
              </w:rPr>
            </w:pPr>
            <w:r>
              <w:rPr>
                <w:rFonts w:hint="eastAsia" w:ascii="Times New Roman" w:hAnsi="Times New Roman" w:eastAsia="楷体" w:cs="楷体"/>
                <w:color w:val="000000" w:themeColor="text1"/>
                <w:sz w:val="28"/>
                <w:szCs w:val="28"/>
                <w:highlight w:val="none"/>
                <w:lang w:val="en-US" w:eastAsia="zh-CN"/>
                <w14:textFill>
                  <w14:solidFill>
                    <w14:schemeClr w14:val="tx1"/>
                  </w14:solidFill>
                </w14:textFill>
              </w:rPr>
              <w:t>刘名高</w:t>
            </w:r>
          </w:p>
        </w:tc>
        <w:tc>
          <w:tcPr>
            <w:tcW w:w="782" w:type="dxa"/>
            <w:tcBorders>
              <w:top w:val="single" w:color="auto" w:sz="4" w:space="0"/>
              <w:left w:val="single" w:color="auto" w:sz="4" w:space="0"/>
              <w:bottom w:val="single" w:color="000000" w:sz="2" w:space="0"/>
              <w:right w:val="single" w:color="000000" w:sz="2" w:space="0"/>
            </w:tcBorders>
            <w:shd w:val="clear" w:color="auto" w:fill="auto"/>
            <w:noWrap w:val="0"/>
            <w:vAlign w:val="center"/>
          </w:tcPr>
          <w:p w14:paraId="32D0A332">
            <w:pPr>
              <w:jc w:val="center"/>
              <w:rPr>
                <w:rFonts w:hint="eastAsia" w:ascii="Times New Roman" w:hAnsi="Times New Roman" w:eastAsia="楷体" w:cs="楷体"/>
                <w:color w:val="000000" w:themeColor="text1"/>
                <w:sz w:val="28"/>
                <w:szCs w:val="28"/>
                <w:highlight w:val="none"/>
                <w:lang w:val="en-US" w:eastAsia="zh-CN"/>
                <w14:textFill>
                  <w14:solidFill>
                    <w14:schemeClr w14:val="tx1"/>
                  </w14:solidFill>
                </w14:textFill>
              </w:rPr>
            </w:pPr>
            <w:r>
              <w:rPr>
                <w:rFonts w:hint="eastAsia" w:ascii="Times New Roman" w:hAnsi="Times New Roman" w:eastAsia="楷体" w:cs="楷体"/>
                <w:color w:val="000000" w:themeColor="text1"/>
                <w:sz w:val="28"/>
                <w:szCs w:val="28"/>
                <w:highlight w:val="none"/>
                <w:lang w:val="en-US" w:eastAsia="zh-CN"/>
                <w14:textFill>
                  <w14:solidFill>
                    <w14:schemeClr w14:val="tx1"/>
                  </w14:solidFill>
                </w14:textFill>
              </w:rPr>
              <w:t>男</w:t>
            </w:r>
          </w:p>
        </w:tc>
        <w:tc>
          <w:tcPr>
            <w:tcW w:w="2547" w:type="dxa"/>
            <w:gridSpan w:val="2"/>
            <w:tcBorders>
              <w:top w:val="single" w:color="auto" w:sz="4" w:space="0"/>
              <w:left w:val="single" w:color="auto" w:sz="4" w:space="0"/>
              <w:bottom w:val="single" w:color="000000" w:sz="2" w:space="0"/>
              <w:right w:val="single" w:color="000000" w:sz="2" w:space="0"/>
            </w:tcBorders>
            <w:noWrap w:val="0"/>
            <w:vAlign w:val="center"/>
          </w:tcPr>
          <w:p w14:paraId="7A109CD7">
            <w:pPr>
              <w:spacing w:line="360" w:lineRule="auto"/>
              <w:jc w:val="center"/>
              <w:rPr>
                <w:rFonts w:hint="default" w:ascii="Times New Roman" w:hAnsi="Times New Roman" w:eastAsia="楷体" w:cs="楷体"/>
                <w:color w:val="000000" w:themeColor="text1"/>
                <w:sz w:val="24"/>
                <w:szCs w:val="22"/>
                <w:highlight w:val="none"/>
                <w:lang w:val="en-US" w:eastAsia="zh-CN"/>
                <w14:textFill>
                  <w14:solidFill>
                    <w14:schemeClr w14:val="tx1"/>
                  </w14:solidFill>
                </w14:textFill>
              </w:rPr>
            </w:pPr>
            <w:r>
              <w:fldChar w:fldCharType="begin"/>
            </w:r>
            <w:r>
              <w:instrText xml:space="preserve"> HYPERLINK "http://www.hnit.edu.cn/dqgc" \t "https://www.hnit.edu.cn/_blank" \o "电气与信息工程学院" </w:instrText>
            </w:r>
            <w:r>
              <w:fldChar w:fldCharType="separate"/>
            </w:r>
            <w:r>
              <w:rPr>
                <w:rFonts w:hint="eastAsia" w:cs="楷体"/>
                <w:color w:val="000000" w:themeColor="text1"/>
                <w:sz w:val="24"/>
                <w:szCs w:val="22"/>
                <w:highlight w:val="none"/>
                <w:lang w:val="en-US" w:eastAsia="zh-CN"/>
                <w14:textFill>
                  <w14:solidFill>
                    <w14:schemeClr w14:val="tx1"/>
                  </w14:solidFill>
                </w14:textFill>
              </w:rPr>
              <w:t>2024级</w:t>
            </w:r>
            <w:r>
              <w:rPr>
                <w:rFonts w:hint="default" w:ascii="Times New Roman" w:hAnsi="Times New Roman" w:eastAsia="楷体" w:cs="楷体"/>
                <w:color w:val="000000" w:themeColor="text1"/>
                <w:sz w:val="24"/>
                <w:szCs w:val="22"/>
                <w:highlight w:val="none"/>
                <w:lang w:val="en-US" w:eastAsia="zh-CN"/>
                <w14:textFill>
                  <w14:solidFill>
                    <w14:schemeClr w14:val="tx1"/>
                  </w14:solidFill>
                </w14:textFill>
              </w:rPr>
              <w:t>电子信息工程</w:t>
            </w:r>
            <w:r>
              <w:rPr>
                <w:rFonts w:hint="default" w:ascii="Times New Roman" w:hAnsi="Times New Roman" w:eastAsia="楷体" w:cs="楷体"/>
                <w:color w:val="000000" w:themeColor="text1"/>
                <w:sz w:val="24"/>
                <w:szCs w:val="22"/>
                <w:highlight w:val="none"/>
                <w:lang w:val="en-US" w:eastAsia="zh-CN"/>
                <w14:textFill>
                  <w14:solidFill>
                    <w14:schemeClr w14:val="tx1"/>
                  </w14:solidFill>
                </w14:textFill>
              </w:rPr>
              <w:fldChar w:fldCharType="end"/>
            </w:r>
          </w:p>
        </w:tc>
        <w:tc>
          <w:tcPr>
            <w:tcW w:w="1330" w:type="dxa"/>
            <w:tcBorders>
              <w:top w:val="single" w:color="auto" w:sz="4" w:space="0"/>
              <w:left w:val="single" w:color="auto" w:sz="4" w:space="0"/>
              <w:bottom w:val="single" w:color="000000" w:sz="2" w:space="0"/>
              <w:right w:val="single" w:color="000000" w:sz="2" w:space="0"/>
            </w:tcBorders>
            <w:shd w:val="clear" w:color="auto" w:fill="auto"/>
            <w:noWrap w:val="0"/>
            <w:vAlign w:val="center"/>
          </w:tcPr>
          <w:p w14:paraId="33DD9D69">
            <w:pPr>
              <w:jc w:val="center"/>
              <w:rPr>
                <w:rFonts w:hint="default" w:cs="楷体"/>
                <w:color w:val="000000" w:themeColor="text1"/>
                <w:sz w:val="28"/>
                <w:szCs w:val="28"/>
                <w:highlight w:val="none"/>
                <w:lang w:val="en-US" w:eastAsia="zh-CN"/>
                <w14:textFill>
                  <w14:solidFill>
                    <w14:schemeClr w14:val="tx1"/>
                  </w14:solidFill>
                </w14:textFill>
              </w:rPr>
            </w:pPr>
            <w:r>
              <w:rPr>
                <w:rFonts w:hint="eastAsia" w:cs="楷体"/>
                <w:color w:val="000000" w:themeColor="text1"/>
                <w:sz w:val="28"/>
                <w:szCs w:val="28"/>
                <w:highlight w:val="none"/>
                <w:lang w:val="en-US" w:eastAsia="zh-CN"/>
                <w14:textFill>
                  <w14:solidFill>
                    <w14:schemeClr w14:val="tx1"/>
                  </w14:solidFill>
                </w14:textFill>
              </w:rPr>
              <w:t>周羿霖</w:t>
            </w:r>
          </w:p>
        </w:tc>
        <w:tc>
          <w:tcPr>
            <w:tcW w:w="827" w:type="dxa"/>
            <w:tcBorders>
              <w:top w:val="single" w:color="auto" w:sz="4" w:space="0"/>
              <w:left w:val="single" w:color="auto" w:sz="4" w:space="0"/>
              <w:bottom w:val="single" w:color="000000" w:sz="2" w:space="0"/>
              <w:right w:val="single" w:color="000000" w:sz="2" w:space="0"/>
            </w:tcBorders>
            <w:shd w:val="clear" w:color="auto" w:fill="auto"/>
            <w:noWrap w:val="0"/>
            <w:vAlign w:val="center"/>
          </w:tcPr>
          <w:p w14:paraId="1C4C7076">
            <w:pPr>
              <w:jc w:val="center"/>
              <w:rPr>
                <w:rFonts w:hint="default" w:ascii="Times New Roman" w:hAnsi="Times New Roman" w:eastAsia="楷体" w:cs="楷体"/>
                <w:color w:val="000000" w:themeColor="text1"/>
                <w:sz w:val="28"/>
                <w:szCs w:val="28"/>
                <w:highlight w:val="none"/>
                <w:lang w:val="en-US" w:eastAsia="zh-CN"/>
                <w14:textFill>
                  <w14:solidFill>
                    <w14:schemeClr w14:val="tx1"/>
                  </w14:solidFill>
                </w14:textFill>
              </w:rPr>
            </w:pPr>
            <w:r>
              <w:rPr>
                <w:rFonts w:hint="eastAsia" w:cs="楷体"/>
                <w:color w:val="000000" w:themeColor="text1"/>
                <w:sz w:val="28"/>
                <w:szCs w:val="28"/>
                <w:highlight w:val="none"/>
                <w:lang w:val="en-US" w:eastAsia="zh-CN"/>
                <w14:textFill>
                  <w14:solidFill>
                    <w14:schemeClr w14:val="tx1"/>
                  </w14:solidFill>
                </w14:textFill>
              </w:rPr>
              <w:t>男</w:t>
            </w:r>
          </w:p>
        </w:tc>
        <w:tc>
          <w:tcPr>
            <w:tcW w:w="2598" w:type="dxa"/>
            <w:gridSpan w:val="2"/>
            <w:tcBorders>
              <w:top w:val="single" w:color="auto" w:sz="4" w:space="0"/>
              <w:left w:val="single" w:color="auto" w:sz="4" w:space="0"/>
              <w:bottom w:val="single" w:color="000000" w:sz="2" w:space="0"/>
              <w:right w:val="single" w:color="000000" w:sz="2" w:space="0"/>
            </w:tcBorders>
            <w:shd w:val="clear" w:color="auto" w:fill="auto"/>
            <w:noWrap w:val="0"/>
            <w:vAlign w:val="center"/>
          </w:tcPr>
          <w:p w14:paraId="4C694D0F">
            <w:pPr>
              <w:spacing w:line="360" w:lineRule="auto"/>
              <w:jc w:val="center"/>
              <w:rPr>
                <w:rFonts w:hint="default" w:cs="楷体"/>
                <w:color w:val="000000" w:themeColor="text1"/>
                <w:sz w:val="24"/>
                <w:szCs w:val="22"/>
                <w:highlight w:val="none"/>
                <w:lang w:val="en-US" w:eastAsia="zh-CN"/>
                <w14:textFill>
                  <w14:solidFill>
                    <w14:schemeClr w14:val="tx1"/>
                  </w14:solidFill>
                </w14:textFill>
              </w:rPr>
            </w:pPr>
            <w:r>
              <w:rPr>
                <w:rFonts w:hint="eastAsia" w:cs="楷体"/>
                <w:color w:val="000000" w:themeColor="text1"/>
                <w:sz w:val="24"/>
                <w:szCs w:val="22"/>
                <w:highlight w:val="none"/>
                <w:lang w:val="en-US" w:eastAsia="zh-CN"/>
                <w14:textFill>
                  <w14:solidFill>
                    <w14:schemeClr w14:val="tx1"/>
                  </w14:solidFill>
                </w14:textFill>
              </w:rPr>
              <w:t>2024级工程造价</w:t>
            </w:r>
          </w:p>
        </w:tc>
      </w:tr>
      <w:tr w14:paraId="5016E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0" w:hRule="atLeast"/>
          <w:jc w:val="center"/>
        </w:trPr>
        <w:tc>
          <w:tcPr>
            <w:tcW w:w="540" w:type="dxa"/>
            <w:vMerge w:val="continue"/>
            <w:tcBorders>
              <w:left w:val="single" w:color="000000" w:sz="2" w:space="0"/>
              <w:right w:val="single" w:color="000000" w:sz="2" w:space="0"/>
            </w:tcBorders>
            <w:noWrap w:val="0"/>
            <w:vAlign w:val="center"/>
          </w:tcPr>
          <w:p w14:paraId="77C3992C">
            <w:pPr>
              <w:spacing w:line="440" w:lineRule="exact"/>
              <w:jc w:val="center"/>
              <w:rPr>
                <w:rFonts w:hint="eastAsia" w:ascii="Times New Roman" w:hAnsi="Times New Roman" w:eastAsia="楷体" w:cs="楷体"/>
                <w:color w:val="000000" w:themeColor="text1"/>
                <w:sz w:val="28"/>
                <w:szCs w:val="28"/>
                <w:highlight w:val="none"/>
                <w14:textFill>
                  <w14:solidFill>
                    <w14:schemeClr w14:val="tx1"/>
                  </w14:solidFill>
                </w14:textFill>
              </w:rPr>
            </w:pPr>
          </w:p>
        </w:tc>
        <w:tc>
          <w:tcPr>
            <w:tcW w:w="1276" w:type="dxa"/>
            <w:tcBorders>
              <w:top w:val="single" w:color="auto" w:sz="4" w:space="0"/>
              <w:left w:val="single" w:color="auto" w:sz="4" w:space="0"/>
              <w:bottom w:val="single" w:color="000000" w:sz="2" w:space="0"/>
              <w:right w:val="single" w:color="000000" w:sz="2" w:space="0"/>
            </w:tcBorders>
            <w:shd w:val="clear" w:color="auto" w:fill="auto"/>
            <w:noWrap w:val="0"/>
            <w:vAlign w:val="center"/>
          </w:tcPr>
          <w:p w14:paraId="6857C851">
            <w:pPr>
              <w:jc w:val="center"/>
              <w:rPr>
                <w:rFonts w:hint="eastAsia" w:ascii="Times New Roman" w:hAnsi="Times New Roman" w:eastAsia="楷体" w:cs="楷体"/>
                <w:color w:val="000000" w:themeColor="text1"/>
                <w:kern w:val="2"/>
                <w:sz w:val="28"/>
                <w:szCs w:val="28"/>
                <w:highlight w:val="none"/>
                <w:lang w:val="en-US" w:eastAsia="zh-CN" w:bidi="ar-SA"/>
                <w14:textFill>
                  <w14:solidFill>
                    <w14:schemeClr w14:val="tx1"/>
                  </w14:solidFill>
                </w14:textFill>
              </w:rPr>
            </w:pPr>
            <w:r>
              <w:rPr>
                <w:rFonts w:hint="eastAsia" w:ascii="Times New Roman" w:hAnsi="Times New Roman" w:eastAsia="楷体" w:cs="楷体"/>
                <w:color w:val="000000" w:themeColor="text1"/>
                <w:sz w:val="28"/>
                <w:szCs w:val="28"/>
                <w:highlight w:val="none"/>
                <w:lang w:val="en-US" w:eastAsia="zh-CN"/>
                <w14:textFill>
                  <w14:solidFill>
                    <w14:schemeClr w14:val="tx1"/>
                  </w14:solidFill>
                </w14:textFill>
              </w:rPr>
              <w:t>袁文淑</w:t>
            </w:r>
          </w:p>
        </w:tc>
        <w:tc>
          <w:tcPr>
            <w:tcW w:w="782" w:type="dxa"/>
            <w:tcBorders>
              <w:top w:val="single" w:color="auto" w:sz="4" w:space="0"/>
              <w:left w:val="single" w:color="auto" w:sz="4" w:space="0"/>
              <w:bottom w:val="single" w:color="000000" w:sz="2" w:space="0"/>
              <w:right w:val="single" w:color="000000" w:sz="2" w:space="0"/>
            </w:tcBorders>
            <w:shd w:val="clear" w:color="auto" w:fill="auto"/>
            <w:noWrap w:val="0"/>
            <w:vAlign w:val="center"/>
          </w:tcPr>
          <w:p w14:paraId="06E151CA">
            <w:pPr>
              <w:jc w:val="center"/>
              <w:rPr>
                <w:rFonts w:hint="eastAsia" w:ascii="Times New Roman" w:hAnsi="Times New Roman" w:eastAsia="楷体" w:cs="楷体"/>
                <w:color w:val="000000" w:themeColor="text1"/>
                <w:kern w:val="2"/>
                <w:sz w:val="28"/>
                <w:szCs w:val="28"/>
                <w:highlight w:val="none"/>
                <w:lang w:val="en-US" w:eastAsia="zh-CN" w:bidi="ar-SA"/>
                <w14:textFill>
                  <w14:solidFill>
                    <w14:schemeClr w14:val="tx1"/>
                  </w14:solidFill>
                </w14:textFill>
              </w:rPr>
            </w:pPr>
            <w:r>
              <w:rPr>
                <w:rFonts w:hint="eastAsia" w:ascii="Times New Roman" w:hAnsi="Times New Roman" w:eastAsia="楷体" w:cs="楷体"/>
                <w:color w:val="000000" w:themeColor="text1"/>
                <w:sz w:val="28"/>
                <w:szCs w:val="28"/>
                <w:highlight w:val="none"/>
                <w:lang w:val="en-US" w:eastAsia="zh-CN"/>
                <w14:textFill>
                  <w14:solidFill>
                    <w14:schemeClr w14:val="tx1"/>
                  </w14:solidFill>
                </w14:textFill>
              </w:rPr>
              <w:t>女</w:t>
            </w:r>
          </w:p>
        </w:tc>
        <w:tc>
          <w:tcPr>
            <w:tcW w:w="2547" w:type="dxa"/>
            <w:gridSpan w:val="2"/>
            <w:tcBorders>
              <w:top w:val="single" w:color="auto" w:sz="4" w:space="0"/>
              <w:left w:val="single" w:color="auto" w:sz="4" w:space="0"/>
              <w:bottom w:val="single" w:color="000000" w:sz="2" w:space="0"/>
              <w:right w:val="single" w:color="000000" w:sz="2" w:space="0"/>
            </w:tcBorders>
            <w:shd w:val="clear" w:color="auto" w:fill="auto"/>
            <w:noWrap w:val="0"/>
            <w:vAlign w:val="center"/>
          </w:tcPr>
          <w:p w14:paraId="4E855CD5">
            <w:pPr>
              <w:spacing w:line="360" w:lineRule="auto"/>
              <w:jc w:val="center"/>
              <w:rPr>
                <w:rFonts w:hint="eastAsia" w:ascii="Times New Roman" w:hAnsi="Times New Roman" w:eastAsia="楷体" w:cs="楷体"/>
                <w:color w:val="000000" w:themeColor="text1"/>
                <w:sz w:val="24"/>
                <w:szCs w:val="22"/>
                <w:highlight w:val="none"/>
                <w:lang w:val="en-US" w:eastAsia="zh-CN"/>
                <w14:textFill>
                  <w14:solidFill>
                    <w14:schemeClr w14:val="tx1"/>
                  </w14:solidFill>
                </w14:textFill>
              </w:rPr>
            </w:pPr>
            <w:r>
              <w:rPr>
                <w:rFonts w:hint="eastAsia" w:cs="楷体"/>
                <w:color w:val="000000" w:themeColor="text1"/>
                <w:sz w:val="24"/>
                <w:szCs w:val="22"/>
                <w:highlight w:val="none"/>
                <w:lang w:val="en-US" w:eastAsia="zh-CN"/>
                <w14:textFill>
                  <w14:solidFill>
                    <w14:schemeClr w14:val="tx1"/>
                  </w14:solidFill>
                </w14:textFill>
              </w:rPr>
              <w:t>2024级</w:t>
            </w:r>
            <w:r>
              <w:rPr>
                <w:rFonts w:hint="eastAsia" w:ascii="Times New Roman" w:hAnsi="Times New Roman" w:eastAsia="楷体" w:cs="楷体"/>
                <w:color w:val="000000" w:themeColor="text1"/>
                <w:sz w:val="24"/>
                <w:szCs w:val="22"/>
                <w:highlight w:val="none"/>
                <w:lang w:val="en-US" w:eastAsia="zh-CN"/>
                <w14:textFill>
                  <w14:solidFill>
                    <w14:schemeClr w14:val="tx1"/>
                  </w14:solidFill>
                </w14:textFill>
              </w:rPr>
              <w:t>土木工程</w:t>
            </w:r>
          </w:p>
        </w:tc>
        <w:tc>
          <w:tcPr>
            <w:tcW w:w="1330" w:type="dxa"/>
            <w:tcBorders>
              <w:top w:val="single" w:color="auto" w:sz="4" w:space="0"/>
              <w:left w:val="single" w:color="auto" w:sz="4" w:space="0"/>
              <w:bottom w:val="single" w:color="000000" w:sz="2" w:space="0"/>
              <w:right w:val="single" w:color="000000" w:sz="2" w:space="0"/>
            </w:tcBorders>
            <w:shd w:val="clear" w:color="auto" w:fill="auto"/>
            <w:noWrap w:val="0"/>
            <w:vAlign w:val="center"/>
          </w:tcPr>
          <w:p w14:paraId="16A60F8A">
            <w:pPr>
              <w:jc w:val="center"/>
              <w:rPr>
                <w:rFonts w:hint="default" w:cs="楷体"/>
                <w:color w:val="000000" w:themeColor="text1"/>
                <w:sz w:val="28"/>
                <w:szCs w:val="28"/>
                <w:highlight w:val="none"/>
                <w:lang w:val="en-US" w:eastAsia="zh-CN"/>
                <w14:textFill>
                  <w14:solidFill>
                    <w14:schemeClr w14:val="tx1"/>
                  </w14:solidFill>
                </w14:textFill>
              </w:rPr>
            </w:pPr>
            <w:r>
              <w:rPr>
                <w:rFonts w:hint="eastAsia" w:cs="楷体"/>
                <w:color w:val="000000" w:themeColor="text1"/>
                <w:sz w:val="28"/>
                <w:szCs w:val="28"/>
                <w:highlight w:val="none"/>
                <w:lang w:val="en-US" w:eastAsia="zh-CN"/>
                <w14:textFill>
                  <w14:solidFill>
                    <w14:schemeClr w14:val="tx1"/>
                  </w14:solidFill>
                </w14:textFill>
              </w:rPr>
              <w:t>李文凯</w:t>
            </w:r>
          </w:p>
        </w:tc>
        <w:tc>
          <w:tcPr>
            <w:tcW w:w="827" w:type="dxa"/>
            <w:tcBorders>
              <w:top w:val="single" w:color="auto" w:sz="4" w:space="0"/>
              <w:left w:val="single" w:color="auto" w:sz="4" w:space="0"/>
              <w:bottom w:val="single" w:color="000000" w:sz="2" w:space="0"/>
              <w:right w:val="single" w:color="000000" w:sz="2" w:space="0"/>
            </w:tcBorders>
            <w:shd w:val="clear" w:color="auto" w:fill="auto"/>
            <w:noWrap w:val="0"/>
            <w:vAlign w:val="center"/>
          </w:tcPr>
          <w:p w14:paraId="4DFCFF12">
            <w:pPr>
              <w:spacing w:line="440" w:lineRule="exact"/>
              <w:jc w:val="center"/>
              <w:rPr>
                <w:rFonts w:hint="default" w:ascii="Times New Roman" w:hAnsi="Times New Roman" w:eastAsia="楷体" w:cs="楷体"/>
                <w:color w:val="000000" w:themeColor="text1"/>
                <w:kern w:val="2"/>
                <w:sz w:val="24"/>
                <w:szCs w:val="28"/>
                <w:highlight w:val="none"/>
                <w:lang w:val="en-US" w:eastAsia="zh-CN" w:bidi="ar-SA"/>
                <w14:textFill>
                  <w14:solidFill>
                    <w14:schemeClr w14:val="tx1"/>
                  </w14:solidFill>
                </w14:textFill>
              </w:rPr>
            </w:pPr>
            <w:r>
              <w:rPr>
                <w:rFonts w:hint="eastAsia" w:cs="楷体"/>
                <w:color w:val="000000" w:themeColor="text1"/>
                <w:kern w:val="2"/>
                <w:sz w:val="24"/>
                <w:szCs w:val="28"/>
                <w:highlight w:val="none"/>
                <w:lang w:val="en-US" w:eastAsia="zh-CN" w:bidi="ar-SA"/>
                <w14:textFill>
                  <w14:solidFill>
                    <w14:schemeClr w14:val="tx1"/>
                  </w14:solidFill>
                </w14:textFill>
              </w:rPr>
              <w:t>男</w:t>
            </w:r>
          </w:p>
        </w:tc>
        <w:tc>
          <w:tcPr>
            <w:tcW w:w="2598" w:type="dxa"/>
            <w:gridSpan w:val="2"/>
            <w:tcBorders>
              <w:top w:val="single" w:color="auto" w:sz="4" w:space="0"/>
              <w:left w:val="single" w:color="auto" w:sz="4" w:space="0"/>
              <w:bottom w:val="single" w:color="000000" w:sz="2" w:space="0"/>
              <w:right w:val="single" w:color="000000" w:sz="2" w:space="0"/>
            </w:tcBorders>
            <w:shd w:val="clear" w:color="auto" w:fill="auto"/>
            <w:noWrap w:val="0"/>
            <w:vAlign w:val="center"/>
          </w:tcPr>
          <w:p w14:paraId="2503D5F1">
            <w:pPr>
              <w:spacing w:line="360" w:lineRule="auto"/>
              <w:jc w:val="center"/>
              <w:rPr>
                <w:rFonts w:hint="default" w:cs="楷体"/>
                <w:color w:val="000000" w:themeColor="text1"/>
                <w:sz w:val="24"/>
                <w:szCs w:val="22"/>
                <w:highlight w:val="none"/>
                <w:lang w:val="en-US" w:eastAsia="zh-CN"/>
                <w14:textFill>
                  <w14:solidFill>
                    <w14:schemeClr w14:val="tx1"/>
                  </w14:solidFill>
                </w14:textFill>
              </w:rPr>
            </w:pPr>
            <w:r>
              <w:rPr>
                <w:rFonts w:hint="eastAsia" w:cs="楷体"/>
                <w:color w:val="000000" w:themeColor="text1"/>
                <w:sz w:val="24"/>
                <w:szCs w:val="22"/>
                <w:highlight w:val="none"/>
                <w:lang w:val="en-US" w:eastAsia="zh-CN"/>
                <w14:textFill>
                  <w14:solidFill>
                    <w14:schemeClr w14:val="tx1"/>
                  </w14:solidFill>
                </w14:textFill>
              </w:rPr>
              <w:t>2024级自动化</w:t>
            </w:r>
          </w:p>
        </w:tc>
      </w:tr>
      <w:tr w14:paraId="37ADE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0" w:hRule="atLeast"/>
          <w:jc w:val="center"/>
        </w:trPr>
        <w:tc>
          <w:tcPr>
            <w:tcW w:w="540" w:type="dxa"/>
            <w:vMerge w:val="continue"/>
            <w:tcBorders>
              <w:left w:val="single" w:color="000000" w:sz="2" w:space="0"/>
              <w:right w:val="single" w:color="000000" w:sz="2" w:space="0"/>
            </w:tcBorders>
            <w:noWrap w:val="0"/>
            <w:vAlign w:val="center"/>
          </w:tcPr>
          <w:p w14:paraId="71787019">
            <w:pPr>
              <w:spacing w:line="440" w:lineRule="exact"/>
              <w:jc w:val="center"/>
              <w:rPr>
                <w:rFonts w:hint="eastAsia" w:ascii="Times New Roman" w:hAnsi="Times New Roman" w:eastAsia="楷体" w:cs="楷体"/>
                <w:color w:val="000000" w:themeColor="text1"/>
                <w:sz w:val="28"/>
                <w:szCs w:val="28"/>
                <w:highlight w:val="none"/>
                <w14:textFill>
                  <w14:solidFill>
                    <w14:schemeClr w14:val="tx1"/>
                  </w14:solidFill>
                </w14:textFill>
              </w:rPr>
            </w:pPr>
          </w:p>
        </w:tc>
        <w:tc>
          <w:tcPr>
            <w:tcW w:w="1276" w:type="dxa"/>
            <w:tcBorders>
              <w:top w:val="single" w:color="auto" w:sz="4" w:space="0"/>
              <w:left w:val="single" w:color="auto" w:sz="4" w:space="0"/>
              <w:bottom w:val="single" w:color="000000" w:sz="2" w:space="0"/>
              <w:right w:val="single" w:color="000000" w:sz="2" w:space="0"/>
            </w:tcBorders>
            <w:shd w:val="clear" w:color="auto" w:fill="auto"/>
            <w:noWrap w:val="0"/>
            <w:vAlign w:val="center"/>
          </w:tcPr>
          <w:p w14:paraId="0EB25872">
            <w:pPr>
              <w:jc w:val="center"/>
              <w:rPr>
                <w:rFonts w:hint="default" w:ascii="Times New Roman" w:hAnsi="Times New Roman" w:eastAsia="楷体" w:cs="楷体"/>
                <w:color w:val="000000" w:themeColor="text1"/>
                <w:sz w:val="28"/>
                <w:szCs w:val="28"/>
                <w:highlight w:val="none"/>
                <w:lang w:val="en-US" w:eastAsia="zh-CN"/>
                <w14:textFill>
                  <w14:solidFill>
                    <w14:schemeClr w14:val="tx1"/>
                  </w14:solidFill>
                </w14:textFill>
              </w:rPr>
            </w:pPr>
            <w:r>
              <w:rPr>
                <w:rFonts w:hint="eastAsia" w:cs="楷体"/>
                <w:color w:val="000000" w:themeColor="text1"/>
                <w:sz w:val="28"/>
                <w:szCs w:val="28"/>
                <w:highlight w:val="none"/>
                <w:lang w:val="en-US" w:eastAsia="zh-CN"/>
                <w14:textFill>
                  <w14:solidFill>
                    <w14:schemeClr w14:val="tx1"/>
                  </w14:solidFill>
                </w14:textFill>
              </w:rPr>
              <w:t>蒋小强</w:t>
            </w:r>
          </w:p>
        </w:tc>
        <w:tc>
          <w:tcPr>
            <w:tcW w:w="782" w:type="dxa"/>
            <w:tcBorders>
              <w:top w:val="single" w:color="auto" w:sz="4" w:space="0"/>
              <w:left w:val="single" w:color="auto" w:sz="4" w:space="0"/>
              <w:bottom w:val="single" w:color="000000" w:sz="2" w:space="0"/>
              <w:right w:val="single" w:color="000000" w:sz="2" w:space="0"/>
            </w:tcBorders>
            <w:shd w:val="clear" w:color="auto" w:fill="auto"/>
            <w:noWrap w:val="0"/>
            <w:vAlign w:val="center"/>
          </w:tcPr>
          <w:p w14:paraId="148266A6">
            <w:pPr>
              <w:jc w:val="center"/>
              <w:rPr>
                <w:rFonts w:hint="default" w:ascii="Times New Roman" w:hAnsi="Times New Roman" w:eastAsia="楷体" w:cs="楷体"/>
                <w:color w:val="000000" w:themeColor="text1"/>
                <w:sz w:val="28"/>
                <w:szCs w:val="28"/>
                <w:highlight w:val="none"/>
                <w:lang w:val="en-US" w:eastAsia="zh-CN"/>
                <w14:textFill>
                  <w14:solidFill>
                    <w14:schemeClr w14:val="tx1"/>
                  </w14:solidFill>
                </w14:textFill>
              </w:rPr>
            </w:pPr>
            <w:r>
              <w:rPr>
                <w:rFonts w:hint="eastAsia" w:cs="楷体"/>
                <w:color w:val="000000" w:themeColor="text1"/>
                <w:sz w:val="28"/>
                <w:szCs w:val="28"/>
                <w:highlight w:val="none"/>
                <w:lang w:val="en-US" w:eastAsia="zh-CN"/>
                <w14:textFill>
                  <w14:solidFill>
                    <w14:schemeClr w14:val="tx1"/>
                  </w14:solidFill>
                </w14:textFill>
              </w:rPr>
              <w:t>男</w:t>
            </w:r>
          </w:p>
        </w:tc>
        <w:tc>
          <w:tcPr>
            <w:tcW w:w="2547" w:type="dxa"/>
            <w:gridSpan w:val="2"/>
            <w:tcBorders>
              <w:top w:val="single" w:color="auto" w:sz="4" w:space="0"/>
              <w:left w:val="single" w:color="auto" w:sz="4" w:space="0"/>
              <w:bottom w:val="single" w:color="000000" w:sz="2" w:space="0"/>
              <w:right w:val="single" w:color="000000" w:sz="2" w:space="0"/>
            </w:tcBorders>
            <w:shd w:val="clear" w:color="auto" w:fill="auto"/>
            <w:noWrap w:val="0"/>
            <w:vAlign w:val="center"/>
          </w:tcPr>
          <w:p w14:paraId="484B7CE4">
            <w:pPr>
              <w:spacing w:line="360" w:lineRule="auto"/>
              <w:jc w:val="center"/>
              <w:rPr>
                <w:rFonts w:hint="default" w:ascii="Times New Roman" w:hAnsi="Times New Roman" w:eastAsia="楷体" w:cs="楷体"/>
                <w:color w:val="000000" w:themeColor="text1"/>
                <w:sz w:val="24"/>
                <w:szCs w:val="22"/>
                <w:highlight w:val="none"/>
                <w:lang w:val="en-US" w:eastAsia="zh-CN"/>
                <w14:textFill>
                  <w14:solidFill>
                    <w14:schemeClr w14:val="tx1"/>
                  </w14:solidFill>
                </w14:textFill>
              </w:rPr>
            </w:pPr>
            <w:r>
              <w:rPr>
                <w:rFonts w:hint="eastAsia" w:cs="楷体"/>
                <w:color w:val="000000" w:themeColor="text1"/>
                <w:sz w:val="24"/>
                <w:szCs w:val="22"/>
                <w:highlight w:val="none"/>
                <w:lang w:val="en-US" w:eastAsia="zh-CN"/>
                <w14:textFill>
                  <w14:solidFill>
                    <w14:schemeClr w14:val="tx1"/>
                  </w14:solidFill>
                </w14:textFill>
              </w:rPr>
              <w:t>2022级</w:t>
            </w:r>
            <w:r>
              <w:rPr>
                <w:rFonts w:hint="eastAsia" w:ascii="Times New Roman" w:hAnsi="Times New Roman" w:eastAsia="楷体" w:cs="楷体"/>
                <w:color w:val="000000" w:themeColor="text1"/>
                <w:sz w:val="24"/>
                <w:szCs w:val="22"/>
                <w:highlight w:val="none"/>
                <w:lang w:val="en-US" w:eastAsia="zh-CN"/>
                <w14:textFill>
                  <w14:solidFill>
                    <w14:schemeClr w14:val="tx1"/>
                  </w14:solidFill>
                </w14:textFill>
              </w:rPr>
              <w:t>土木工程</w:t>
            </w:r>
          </w:p>
        </w:tc>
        <w:tc>
          <w:tcPr>
            <w:tcW w:w="1330" w:type="dxa"/>
            <w:tcBorders>
              <w:top w:val="single" w:color="auto" w:sz="4" w:space="0"/>
              <w:left w:val="single" w:color="auto" w:sz="4" w:space="0"/>
              <w:bottom w:val="single" w:color="000000" w:sz="2" w:space="0"/>
              <w:right w:val="single" w:color="000000" w:sz="2" w:space="0"/>
            </w:tcBorders>
            <w:shd w:val="clear" w:color="auto" w:fill="auto"/>
            <w:noWrap w:val="0"/>
            <w:vAlign w:val="center"/>
          </w:tcPr>
          <w:p w14:paraId="192FF622">
            <w:pPr>
              <w:jc w:val="center"/>
              <w:rPr>
                <w:rFonts w:hint="default" w:cs="楷体"/>
                <w:color w:val="000000" w:themeColor="text1"/>
                <w:sz w:val="28"/>
                <w:szCs w:val="28"/>
                <w:highlight w:val="none"/>
                <w:lang w:val="en-US" w:eastAsia="zh-CN"/>
                <w14:textFill>
                  <w14:solidFill>
                    <w14:schemeClr w14:val="tx1"/>
                  </w14:solidFill>
                </w14:textFill>
              </w:rPr>
            </w:pPr>
            <w:r>
              <w:rPr>
                <w:rFonts w:hint="eastAsia" w:cs="楷体"/>
                <w:color w:val="000000" w:themeColor="text1"/>
                <w:sz w:val="28"/>
                <w:szCs w:val="28"/>
                <w:highlight w:val="none"/>
                <w:lang w:val="en-US" w:eastAsia="zh-CN"/>
                <w14:textFill>
                  <w14:solidFill>
                    <w14:schemeClr w14:val="tx1"/>
                  </w14:solidFill>
                </w14:textFill>
              </w:rPr>
              <w:t>程宇婕</w:t>
            </w:r>
          </w:p>
        </w:tc>
        <w:tc>
          <w:tcPr>
            <w:tcW w:w="827" w:type="dxa"/>
            <w:tcBorders>
              <w:top w:val="single" w:color="auto" w:sz="4" w:space="0"/>
              <w:left w:val="single" w:color="auto" w:sz="4" w:space="0"/>
              <w:bottom w:val="single" w:color="000000" w:sz="2" w:space="0"/>
              <w:right w:val="single" w:color="000000" w:sz="2" w:space="0"/>
            </w:tcBorders>
            <w:shd w:val="clear" w:color="auto" w:fill="auto"/>
            <w:noWrap w:val="0"/>
            <w:vAlign w:val="center"/>
          </w:tcPr>
          <w:p w14:paraId="52536569">
            <w:pPr>
              <w:jc w:val="center"/>
              <w:rPr>
                <w:rFonts w:hint="default" w:ascii="Times New Roman" w:hAnsi="Times New Roman" w:eastAsia="楷体" w:cs="楷体"/>
                <w:color w:val="000000" w:themeColor="text1"/>
                <w:kern w:val="2"/>
                <w:sz w:val="24"/>
                <w:szCs w:val="28"/>
                <w:highlight w:val="none"/>
                <w:lang w:val="en-US" w:eastAsia="zh-CN" w:bidi="ar-SA"/>
                <w14:textFill>
                  <w14:solidFill>
                    <w14:schemeClr w14:val="tx1"/>
                  </w14:solidFill>
                </w14:textFill>
              </w:rPr>
            </w:pPr>
            <w:r>
              <w:rPr>
                <w:rFonts w:hint="eastAsia" w:cs="楷体"/>
                <w:color w:val="000000" w:themeColor="text1"/>
                <w:sz w:val="28"/>
                <w:szCs w:val="28"/>
                <w:highlight w:val="none"/>
                <w:lang w:val="en-US" w:eastAsia="zh-CN"/>
                <w14:textFill>
                  <w14:solidFill>
                    <w14:schemeClr w14:val="tx1"/>
                  </w14:solidFill>
                </w14:textFill>
              </w:rPr>
              <w:t>女</w:t>
            </w:r>
          </w:p>
        </w:tc>
        <w:tc>
          <w:tcPr>
            <w:tcW w:w="2598" w:type="dxa"/>
            <w:gridSpan w:val="2"/>
            <w:tcBorders>
              <w:top w:val="single" w:color="auto" w:sz="4" w:space="0"/>
              <w:left w:val="single" w:color="auto" w:sz="4" w:space="0"/>
              <w:bottom w:val="single" w:color="000000" w:sz="2" w:space="0"/>
              <w:right w:val="single" w:color="000000" w:sz="2" w:space="0"/>
            </w:tcBorders>
            <w:shd w:val="clear" w:color="auto" w:fill="auto"/>
            <w:noWrap w:val="0"/>
            <w:vAlign w:val="center"/>
          </w:tcPr>
          <w:p w14:paraId="6942815C">
            <w:pPr>
              <w:spacing w:line="360" w:lineRule="auto"/>
              <w:jc w:val="center"/>
              <w:rPr>
                <w:rFonts w:hint="eastAsia" w:cs="楷体"/>
                <w:color w:val="000000" w:themeColor="text1"/>
                <w:sz w:val="24"/>
                <w:szCs w:val="22"/>
                <w:highlight w:val="none"/>
                <w:lang w:val="en-US" w:eastAsia="zh-CN"/>
                <w14:textFill>
                  <w14:solidFill>
                    <w14:schemeClr w14:val="tx1"/>
                  </w14:solidFill>
                </w14:textFill>
              </w:rPr>
            </w:pPr>
            <w:r>
              <w:rPr>
                <w:rFonts w:hint="eastAsia" w:cs="楷体"/>
                <w:color w:val="000000" w:themeColor="text1"/>
                <w:sz w:val="24"/>
                <w:szCs w:val="22"/>
                <w:highlight w:val="none"/>
                <w:lang w:val="en-US" w:eastAsia="zh-CN"/>
                <w14:textFill>
                  <w14:solidFill>
                    <w14:schemeClr w14:val="tx1"/>
                  </w14:solidFill>
                </w14:textFill>
              </w:rPr>
              <w:t>2023级</w:t>
            </w:r>
            <w:r>
              <w:rPr>
                <w:rFonts w:hint="eastAsia" w:ascii="Times New Roman" w:hAnsi="Times New Roman" w:eastAsia="楷体" w:cs="楷体"/>
                <w:color w:val="000000" w:themeColor="text1"/>
                <w:sz w:val="24"/>
                <w:szCs w:val="22"/>
                <w:highlight w:val="none"/>
                <w:lang w:val="en-US" w:eastAsia="zh-CN"/>
                <w14:textFill>
                  <w14:solidFill>
                    <w14:schemeClr w14:val="tx1"/>
                  </w14:solidFill>
                </w14:textFill>
              </w:rPr>
              <w:t>工程管理</w:t>
            </w:r>
          </w:p>
        </w:tc>
      </w:tr>
      <w:tr w14:paraId="08E08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0" w:hRule="atLeast"/>
          <w:jc w:val="center"/>
        </w:trPr>
        <w:tc>
          <w:tcPr>
            <w:tcW w:w="540" w:type="dxa"/>
            <w:vMerge w:val="continue"/>
            <w:tcBorders>
              <w:left w:val="single" w:color="000000" w:sz="2" w:space="0"/>
              <w:right w:val="single" w:color="000000" w:sz="2" w:space="0"/>
            </w:tcBorders>
            <w:noWrap w:val="0"/>
            <w:vAlign w:val="center"/>
          </w:tcPr>
          <w:p w14:paraId="71A3E7BB">
            <w:pPr>
              <w:spacing w:line="440" w:lineRule="exact"/>
              <w:jc w:val="center"/>
              <w:rPr>
                <w:rFonts w:hint="eastAsia" w:ascii="Times New Roman" w:hAnsi="Times New Roman" w:eastAsia="楷体" w:cs="楷体"/>
                <w:color w:val="000000" w:themeColor="text1"/>
                <w:sz w:val="28"/>
                <w:szCs w:val="28"/>
                <w:highlight w:val="none"/>
                <w14:textFill>
                  <w14:solidFill>
                    <w14:schemeClr w14:val="tx1"/>
                  </w14:solidFill>
                </w14:textFill>
              </w:rPr>
            </w:pPr>
          </w:p>
        </w:tc>
        <w:tc>
          <w:tcPr>
            <w:tcW w:w="1276" w:type="dxa"/>
            <w:tcBorders>
              <w:top w:val="single" w:color="auto" w:sz="4" w:space="0"/>
              <w:left w:val="single" w:color="auto" w:sz="4" w:space="0"/>
              <w:bottom w:val="single" w:color="000000" w:sz="2" w:space="0"/>
              <w:right w:val="single" w:color="000000" w:sz="2" w:space="0"/>
            </w:tcBorders>
            <w:shd w:val="clear" w:color="auto" w:fill="auto"/>
            <w:noWrap w:val="0"/>
            <w:vAlign w:val="center"/>
          </w:tcPr>
          <w:p w14:paraId="02FCD446">
            <w:pPr>
              <w:jc w:val="center"/>
              <w:rPr>
                <w:rFonts w:hint="default" w:ascii="Times New Roman" w:hAnsi="Times New Roman" w:eastAsia="楷体" w:cs="楷体"/>
                <w:color w:val="000000" w:themeColor="text1"/>
                <w:sz w:val="28"/>
                <w:szCs w:val="28"/>
                <w:highlight w:val="none"/>
                <w:lang w:val="en-US" w:eastAsia="zh-CN"/>
                <w14:textFill>
                  <w14:solidFill>
                    <w14:schemeClr w14:val="tx1"/>
                  </w14:solidFill>
                </w14:textFill>
              </w:rPr>
            </w:pPr>
            <w:r>
              <w:rPr>
                <w:rFonts w:hint="eastAsia" w:cs="楷体"/>
                <w:color w:val="000000" w:themeColor="text1"/>
                <w:sz w:val="28"/>
                <w:szCs w:val="28"/>
                <w:highlight w:val="none"/>
                <w:lang w:val="en-US" w:eastAsia="zh-CN"/>
                <w14:textFill>
                  <w14:solidFill>
                    <w14:schemeClr w14:val="tx1"/>
                  </w14:solidFill>
                </w14:textFill>
              </w:rPr>
              <w:t>刘冉</w:t>
            </w:r>
          </w:p>
        </w:tc>
        <w:tc>
          <w:tcPr>
            <w:tcW w:w="782" w:type="dxa"/>
            <w:tcBorders>
              <w:top w:val="single" w:color="auto" w:sz="4" w:space="0"/>
              <w:left w:val="single" w:color="auto" w:sz="4" w:space="0"/>
              <w:bottom w:val="single" w:color="000000" w:sz="2" w:space="0"/>
              <w:right w:val="single" w:color="000000" w:sz="2" w:space="0"/>
            </w:tcBorders>
            <w:shd w:val="clear" w:color="auto" w:fill="auto"/>
            <w:noWrap w:val="0"/>
            <w:vAlign w:val="center"/>
          </w:tcPr>
          <w:p w14:paraId="30B873BD">
            <w:pPr>
              <w:jc w:val="center"/>
              <w:rPr>
                <w:rFonts w:hint="default" w:ascii="Times New Roman" w:hAnsi="Times New Roman" w:eastAsia="楷体" w:cs="楷体"/>
                <w:color w:val="000000" w:themeColor="text1"/>
                <w:sz w:val="28"/>
                <w:szCs w:val="28"/>
                <w:highlight w:val="none"/>
                <w:lang w:val="en-US" w:eastAsia="zh-CN"/>
                <w14:textFill>
                  <w14:solidFill>
                    <w14:schemeClr w14:val="tx1"/>
                  </w14:solidFill>
                </w14:textFill>
              </w:rPr>
            </w:pPr>
            <w:r>
              <w:rPr>
                <w:rFonts w:hint="eastAsia" w:cs="楷体"/>
                <w:color w:val="000000" w:themeColor="text1"/>
                <w:sz w:val="28"/>
                <w:szCs w:val="28"/>
                <w:highlight w:val="none"/>
                <w:lang w:val="en-US" w:eastAsia="zh-CN"/>
                <w14:textFill>
                  <w14:solidFill>
                    <w14:schemeClr w14:val="tx1"/>
                  </w14:solidFill>
                </w14:textFill>
              </w:rPr>
              <w:t>女</w:t>
            </w:r>
          </w:p>
        </w:tc>
        <w:tc>
          <w:tcPr>
            <w:tcW w:w="2547" w:type="dxa"/>
            <w:gridSpan w:val="2"/>
            <w:tcBorders>
              <w:top w:val="single" w:color="auto" w:sz="4" w:space="0"/>
              <w:left w:val="single" w:color="auto" w:sz="4" w:space="0"/>
              <w:bottom w:val="single" w:color="000000" w:sz="2" w:space="0"/>
              <w:right w:val="single" w:color="000000" w:sz="2" w:space="0"/>
            </w:tcBorders>
            <w:shd w:val="clear" w:color="auto" w:fill="auto"/>
            <w:noWrap w:val="0"/>
            <w:vAlign w:val="center"/>
          </w:tcPr>
          <w:p w14:paraId="53FDD4E6">
            <w:pPr>
              <w:spacing w:line="360" w:lineRule="auto"/>
              <w:jc w:val="center"/>
              <w:rPr>
                <w:rFonts w:hint="default" w:ascii="Times New Roman" w:hAnsi="Times New Roman" w:eastAsia="楷体" w:cs="楷体"/>
                <w:color w:val="000000" w:themeColor="text1"/>
                <w:sz w:val="24"/>
                <w:szCs w:val="22"/>
                <w:highlight w:val="none"/>
                <w:lang w:val="en-US" w:eastAsia="zh-CN"/>
                <w14:textFill>
                  <w14:solidFill>
                    <w14:schemeClr w14:val="tx1"/>
                  </w14:solidFill>
                </w14:textFill>
              </w:rPr>
            </w:pPr>
            <w:r>
              <w:rPr>
                <w:rFonts w:hint="eastAsia" w:cs="楷体"/>
                <w:color w:val="000000" w:themeColor="text1"/>
                <w:sz w:val="24"/>
                <w:szCs w:val="22"/>
                <w:highlight w:val="none"/>
                <w:lang w:val="en-US" w:eastAsia="zh-CN"/>
                <w14:textFill>
                  <w14:solidFill>
                    <w14:schemeClr w14:val="tx1"/>
                  </w14:solidFill>
                </w14:textFill>
              </w:rPr>
              <w:t>2023级会计学</w:t>
            </w:r>
          </w:p>
        </w:tc>
        <w:tc>
          <w:tcPr>
            <w:tcW w:w="1330" w:type="dxa"/>
            <w:tcBorders>
              <w:top w:val="single" w:color="auto" w:sz="4" w:space="0"/>
              <w:left w:val="single" w:color="auto" w:sz="4" w:space="0"/>
              <w:bottom w:val="single" w:color="000000" w:sz="2" w:space="0"/>
              <w:right w:val="single" w:color="000000" w:sz="2" w:space="0"/>
            </w:tcBorders>
            <w:shd w:val="clear" w:color="auto" w:fill="auto"/>
            <w:noWrap w:val="0"/>
            <w:vAlign w:val="center"/>
          </w:tcPr>
          <w:p w14:paraId="7BC0869C">
            <w:pPr>
              <w:jc w:val="center"/>
              <w:rPr>
                <w:rFonts w:hint="default" w:cs="楷体"/>
                <w:color w:val="000000" w:themeColor="text1"/>
                <w:sz w:val="28"/>
                <w:szCs w:val="28"/>
                <w:highlight w:val="none"/>
                <w:lang w:val="en-US" w:eastAsia="zh-CN"/>
                <w14:textFill>
                  <w14:solidFill>
                    <w14:schemeClr w14:val="tx1"/>
                  </w14:solidFill>
                </w14:textFill>
              </w:rPr>
            </w:pPr>
            <w:r>
              <w:rPr>
                <w:rFonts w:hint="eastAsia" w:cs="楷体"/>
                <w:color w:val="000000" w:themeColor="text1"/>
                <w:sz w:val="28"/>
                <w:szCs w:val="28"/>
                <w:highlight w:val="none"/>
                <w:lang w:val="en-US" w:eastAsia="zh-CN"/>
                <w14:textFill>
                  <w14:solidFill>
                    <w14:schemeClr w14:val="tx1"/>
                  </w14:solidFill>
                </w14:textFill>
              </w:rPr>
              <w:t>谭璐熙</w:t>
            </w:r>
          </w:p>
        </w:tc>
        <w:tc>
          <w:tcPr>
            <w:tcW w:w="827" w:type="dxa"/>
            <w:tcBorders>
              <w:top w:val="single" w:color="auto" w:sz="4" w:space="0"/>
              <w:left w:val="single" w:color="auto" w:sz="4" w:space="0"/>
              <w:bottom w:val="single" w:color="000000" w:sz="2" w:space="0"/>
              <w:right w:val="single" w:color="000000" w:sz="2" w:space="0"/>
            </w:tcBorders>
            <w:shd w:val="clear" w:color="auto" w:fill="auto"/>
            <w:noWrap w:val="0"/>
            <w:vAlign w:val="center"/>
          </w:tcPr>
          <w:p w14:paraId="489C4DB5">
            <w:pPr>
              <w:spacing w:line="440" w:lineRule="exact"/>
              <w:jc w:val="center"/>
              <w:rPr>
                <w:rFonts w:hint="default" w:ascii="Times New Roman" w:hAnsi="Times New Roman" w:eastAsia="楷体" w:cs="楷体"/>
                <w:color w:val="000000" w:themeColor="text1"/>
                <w:kern w:val="2"/>
                <w:sz w:val="24"/>
                <w:szCs w:val="28"/>
                <w:highlight w:val="none"/>
                <w:lang w:val="en-US" w:eastAsia="zh-CN" w:bidi="ar-SA"/>
                <w14:textFill>
                  <w14:solidFill>
                    <w14:schemeClr w14:val="tx1"/>
                  </w14:solidFill>
                </w14:textFill>
              </w:rPr>
            </w:pPr>
            <w:r>
              <w:rPr>
                <w:rFonts w:hint="eastAsia" w:cs="楷体"/>
                <w:color w:val="000000" w:themeColor="text1"/>
                <w:kern w:val="2"/>
                <w:sz w:val="24"/>
                <w:szCs w:val="28"/>
                <w:highlight w:val="none"/>
                <w:lang w:val="en-US" w:eastAsia="zh-CN" w:bidi="ar-SA"/>
                <w14:textFill>
                  <w14:solidFill>
                    <w14:schemeClr w14:val="tx1"/>
                  </w14:solidFill>
                </w14:textFill>
              </w:rPr>
              <w:t>女</w:t>
            </w:r>
          </w:p>
        </w:tc>
        <w:tc>
          <w:tcPr>
            <w:tcW w:w="2598" w:type="dxa"/>
            <w:gridSpan w:val="2"/>
            <w:tcBorders>
              <w:top w:val="single" w:color="auto" w:sz="4" w:space="0"/>
              <w:left w:val="single" w:color="auto" w:sz="4" w:space="0"/>
              <w:bottom w:val="single" w:color="000000" w:sz="2" w:space="0"/>
              <w:right w:val="single" w:color="000000" w:sz="2" w:space="0"/>
            </w:tcBorders>
            <w:shd w:val="clear" w:color="auto" w:fill="auto"/>
            <w:noWrap w:val="0"/>
            <w:vAlign w:val="center"/>
          </w:tcPr>
          <w:p w14:paraId="0F1546A8">
            <w:pPr>
              <w:spacing w:line="360" w:lineRule="auto"/>
              <w:jc w:val="center"/>
              <w:rPr>
                <w:rFonts w:hint="eastAsia" w:cs="楷体"/>
                <w:color w:val="000000" w:themeColor="text1"/>
                <w:sz w:val="24"/>
                <w:szCs w:val="22"/>
                <w:highlight w:val="none"/>
                <w:lang w:val="en-US" w:eastAsia="zh-CN"/>
                <w14:textFill>
                  <w14:solidFill>
                    <w14:schemeClr w14:val="tx1"/>
                  </w14:solidFill>
                </w14:textFill>
              </w:rPr>
            </w:pPr>
            <w:r>
              <w:fldChar w:fldCharType="begin"/>
            </w:r>
            <w:r>
              <w:instrText xml:space="preserve"> HYPERLINK "http://www.hnit.edu.cn/dqgc" \t "https://www.hnit.edu.cn/_blank" \o "电气与信息工程学院" </w:instrText>
            </w:r>
            <w:r>
              <w:fldChar w:fldCharType="separate"/>
            </w:r>
            <w:r>
              <w:rPr>
                <w:rFonts w:hint="eastAsia" w:cs="楷体"/>
                <w:color w:val="000000" w:themeColor="text1"/>
                <w:sz w:val="24"/>
                <w:szCs w:val="22"/>
                <w:highlight w:val="none"/>
                <w:lang w:val="en-US" w:eastAsia="zh-CN"/>
                <w14:textFill>
                  <w14:solidFill>
                    <w14:schemeClr w14:val="tx1"/>
                  </w14:solidFill>
                </w14:textFill>
              </w:rPr>
              <w:t>2023级</w:t>
            </w:r>
            <w:r>
              <w:rPr>
                <w:rFonts w:hint="default" w:cs="楷体"/>
                <w:color w:val="000000" w:themeColor="text1"/>
                <w:sz w:val="24"/>
                <w:szCs w:val="22"/>
                <w:highlight w:val="none"/>
                <w:lang w:val="en-US" w:eastAsia="zh-CN"/>
                <w14:textFill>
                  <w14:solidFill>
                    <w14:schemeClr w14:val="tx1"/>
                  </w14:solidFill>
                </w14:textFill>
              </w:rPr>
              <w:t>电子信息工程</w:t>
            </w:r>
            <w:r>
              <w:rPr>
                <w:rFonts w:hint="default" w:cs="楷体"/>
                <w:color w:val="000000" w:themeColor="text1"/>
                <w:sz w:val="24"/>
                <w:szCs w:val="22"/>
                <w:highlight w:val="none"/>
                <w:lang w:val="en-US" w:eastAsia="zh-CN"/>
                <w14:textFill>
                  <w14:solidFill>
                    <w14:schemeClr w14:val="tx1"/>
                  </w14:solidFill>
                </w14:textFill>
              </w:rPr>
              <w:fldChar w:fldCharType="end"/>
            </w:r>
          </w:p>
        </w:tc>
      </w:tr>
      <w:tr w14:paraId="56539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704" w:hRule="atLeast"/>
          <w:jc w:val="center"/>
        </w:trPr>
        <w:tc>
          <w:tcPr>
            <w:tcW w:w="540" w:type="dxa"/>
            <w:vMerge w:val="restart"/>
            <w:tcBorders>
              <w:top w:val="single" w:color="auto" w:sz="4" w:space="0"/>
              <w:left w:val="single" w:color="000000" w:sz="2" w:space="0"/>
              <w:right w:val="single" w:color="000000" w:sz="2" w:space="0"/>
            </w:tcBorders>
            <w:noWrap w:val="0"/>
            <w:vAlign w:val="center"/>
          </w:tcPr>
          <w:p w14:paraId="7D50C7B2">
            <w:pPr>
              <w:spacing w:line="480" w:lineRule="exact"/>
              <w:jc w:val="center"/>
              <w:rPr>
                <w:rFonts w:hint="eastAsia" w:ascii="Times New Roman" w:hAnsi="Times New Roman" w:eastAsia="楷体" w:cs="楷体"/>
                <w:color w:val="000000" w:themeColor="text1"/>
                <w:sz w:val="28"/>
                <w:szCs w:val="28"/>
                <w:highlight w:val="none"/>
                <w14:textFill>
                  <w14:solidFill>
                    <w14:schemeClr w14:val="tx1"/>
                  </w14:solidFill>
                </w14:textFill>
              </w:rPr>
            </w:pPr>
            <w:r>
              <w:rPr>
                <w:rFonts w:ascii="Times New Roman" w:hAnsi="Times New Roman" w:eastAsia="楷体" w:cs="Times New Roman"/>
                <w:color w:val="000000" w:themeColor="text1"/>
                <w:sz w:val="28"/>
                <w:szCs w:val="28"/>
                <w:highlight w:val="none"/>
                <w14:textFill>
                  <w14:solidFill>
                    <w14:schemeClr w14:val="tx1"/>
                  </w14:solidFill>
                </w14:textFill>
              </w:rPr>
              <w:t>指导教师情况</w:t>
            </w:r>
          </w:p>
        </w:tc>
        <w:tc>
          <w:tcPr>
            <w:tcW w:w="1276" w:type="dxa"/>
            <w:tcBorders>
              <w:top w:val="single" w:color="auto" w:sz="4" w:space="0"/>
              <w:left w:val="single" w:color="auto" w:sz="4" w:space="0"/>
              <w:bottom w:val="single" w:color="auto" w:sz="4" w:space="0"/>
              <w:right w:val="single" w:color="000000" w:sz="2" w:space="0"/>
            </w:tcBorders>
            <w:noWrap w:val="0"/>
            <w:vAlign w:val="center"/>
          </w:tcPr>
          <w:p w14:paraId="6EB45578">
            <w:pPr>
              <w:jc w:val="center"/>
              <w:rPr>
                <w:rFonts w:hint="eastAsia" w:ascii="Times New Roman" w:hAnsi="Times New Roman" w:eastAsia="楷体" w:cs="楷体"/>
                <w:color w:val="000000" w:themeColor="text1"/>
                <w:sz w:val="28"/>
                <w:szCs w:val="28"/>
                <w:highlight w:val="none"/>
                <w:lang w:val="en-US" w:eastAsia="zh-CN"/>
                <w14:textFill>
                  <w14:solidFill>
                    <w14:schemeClr w14:val="tx1"/>
                  </w14:solidFill>
                </w14:textFill>
              </w:rPr>
            </w:pPr>
            <w:r>
              <w:rPr>
                <w:rFonts w:hint="default" w:ascii="Times New Roman" w:hAnsi="Times New Roman" w:eastAsia="楷体" w:cs="楷体"/>
                <w:color w:val="000000" w:themeColor="text1"/>
                <w:sz w:val="28"/>
                <w:szCs w:val="28"/>
                <w:highlight w:val="none"/>
                <w:lang w:val="en-US" w:eastAsia="zh-CN"/>
                <w14:textFill>
                  <w14:solidFill>
                    <w14:schemeClr w14:val="tx1"/>
                  </w14:solidFill>
                </w14:textFill>
              </w:rPr>
              <w:t>姓名</w:t>
            </w:r>
          </w:p>
        </w:tc>
        <w:tc>
          <w:tcPr>
            <w:tcW w:w="5486" w:type="dxa"/>
            <w:gridSpan w:val="5"/>
            <w:tcBorders>
              <w:top w:val="single" w:color="auto" w:sz="4" w:space="0"/>
              <w:left w:val="single" w:color="auto" w:sz="4" w:space="0"/>
              <w:bottom w:val="single" w:color="auto" w:sz="4" w:space="0"/>
              <w:right w:val="single" w:color="000000" w:sz="2" w:space="0"/>
            </w:tcBorders>
            <w:noWrap w:val="0"/>
            <w:vAlign w:val="center"/>
          </w:tcPr>
          <w:p w14:paraId="46E6341A">
            <w:pPr>
              <w:jc w:val="center"/>
              <w:rPr>
                <w:rFonts w:hint="eastAsia" w:ascii="Times New Roman" w:hAnsi="Times New Roman" w:eastAsia="楷体" w:cs="楷体"/>
                <w:color w:val="000000" w:themeColor="text1"/>
                <w:sz w:val="28"/>
                <w:szCs w:val="28"/>
                <w:highlight w:val="none"/>
                <w:lang w:val="en-US" w:eastAsia="zh-CN"/>
                <w14:textFill>
                  <w14:solidFill>
                    <w14:schemeClr w14:val="tx1"/>
                  </w14:solidFill>
                </w14:textFill>
              </w:rPr>
            </w:pPr>
            <w:r>
              <w:rPr>
                <w:rFonts w:hint="eastAsia" w:cs="楷体"/>
                <w:color w:val="000000" w:themeColor="text1"/>
                <w:sz w:val="28"/>
                <w:szCs w:val="28"/>
                <w:highlight w:val="none"/>
                <w:lang w:val="en-US" w:eastAsia="zh-CN"/>
                <w14:textFill>
                  <w14:solidFill>
                    <w14:schemeClr w14:val="tx1"/>
                  </w14:solidFill>
                </w14:textFill>
              </w:rPr>
              <w:t>学历/</w:t>
            </w:r>
            <w:r>
              <w:rPr>
                <w:rFonts w:hint="default" w:ascii="Times New Roman" w:hAnsi="Times New Roman" w:eastAsia="楷体" w:cs="楷体"/>
                <w:color w:val="000000" w:themeColor="text1"/>
                <w:sz w:val="28"/>
                <w:szCs w:val="28"/>
                <w:highlight w:val="none"/>
                <w:lang w:val="en-US" w:eastAsia="zh-CN"/>
                <w14:textFill>
                  <w14:solidFill>
                    <w14:schemeClr w14:val="tx1"/>
                  </w14:solidFill>
                </w14:textFill>
              </w:rPr>
              <w:t>职称</w:t>
            </w:r>
          </w:p>
        </w:tc>
        <w:tc>
          <w:tcPr>
            <w:tcW w:w="2598" w:type="dxa"/>
            <w:gridSpan w:val="2"/>
            <w:tcBorders>
              <w:top w:val="single" w:color="auto" w:sz="4" w:space="0"/>
              <w:left w:val="single" w:color="auto" w:sz="4" w:space="0"/>
              <w:bottom w:val="single" w:color="auto" w:sz="4" w:space="0"/>
              <w:right w:val="single" w:color="000000" w:sz="2" w:space="0"/>
            </w:tcBorders>
            <w:noWrap w:val="0"/>
            <w:vAlign w:val="center"/>
          </w:tcPr>
          <w:p w14:paraId="4E619BFA">
            <w:pPr>
              <w:jc w:val="center"/>
              <w:rPr>
                <w:rFonts w:hint="eastAsia" w:ascii="Times New Roman" w:hAnsi="Times New Roman" w:eastAsia="楷体" w:cs="楷体"/>
                <w:color w:val="000000" w:themeColor="text1"/>
                <w:sz w:val="28"/>
                <w:szCs w:val="28"/>
                <w:highlight w:val="none"/>
                <w:lang w:val="en-US" w:eastAsia="zh-CN"/>
                <w14:textFill>
                  <w14:solidFill>
                    <w14:schemeClr w14:val="tx1"/>
                  </w14:solidFill>
                </w14:textFill>
              </w:rPr>
            </w:pPr>
            <w:r>
              <w:rPr>
                <w:rFonts w:hint="default" w:ascii="Times New Roman" w:hAnsi="Times New Roman" w:eastAsia="楷体" w:cs="楷体"/>
                <w:color w:val="000000" w:themeColor="text1"/>
                <w:sz w:val="28"/>
                <w:szCs w:val="28"/>
                <w:highlight w:val="none"/>
                <w:lang w:val="en-US" w:eastAsia="zh-CN"/>
                <w14:textFill>
                  <w14:solidFill>
                    <w14:schemeClr w14:val="tx1"/>
                  </w14:solidFill>
                </w14:textFill>
              </w:rPr>
              <w:t>联系方式</w:t>
            </w:r>
          </w:p>
        </w:tc>
      </w:tr>
      <w:tr w14:paraId="3763D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704" w:hRule="atLeast"/>
          <w:jc w:val="center"/>
        </w:trPr>
        <w:tc>
          <w:tcPr>
            <w:tcW w:w="540" w:type="dxa"/>
            <w:vMerge w:val="continue"/>
            <w:tcBorders>
              <w:left w:val="single" w:color="000000" w:sz="2" w:space="0"/>
              <w:right w:val="single" w:color="000000" w:sz="2" w:space="0"/>
            </w:tcBorders>
            <w:noWrap w:val="0"/>
            <w:vAlign w:val="center"/>
          </w:tcPr>
          <w:p w14:paraId="60C633A3">
            <w:pPr>
              <w:spacing w:line="480" w:lineRule="exact"/>
              <w:jc w:val="center"/>
              <w:rPr>
                <w:rFonts w:ascii="Times New Roman" w:hAnsi="Times New Roman" w:eastAsia="楷体" w:cs="Times New Roman"/>
                <w:color w:val="000000" w:themeColor="text1"/>
                <w:sz w:val="24"/>
                <w:szCs w:val="28"/>
                <w:highlight w:val="none"/>
                <w14:textFill>
                  <w14:solidFill>
                    <w14:schemeClr w14:val="tx1"/>
                  </w14:solidFill>
                </w14:textFill>
              </w:rPr>
            </w:pPr>
          </w:p>
        </w:tc>
        <w:tc>
          <w:tcPr>
            <w:tcW w:w="1276" w:type="dxa"/>
            <w:tcBorders>
              <w:top w:val="single" w:color="auto" w:sz="4" w:space="0"/>
              <w:left w:val="single" w:color="auto" w:sz="4" w:space="0"/>
              <w:bottom w:val="single" w:color="auto" w:sz="4" w:space="0"/>
              <w:right w:val="single" w:color="000000" w:sz="2" w:space="0"/>
            </w:tcBorders>
            <w:noWrap w:val="0"/>
            <w:vAlign w:val="center"/>
          </w:tcPr>
          <w:p w14:paraId="34CF228F">
            <w:pPr>
              <w:jc w:val="center"/>
              <w:rPr>
                <w:rFonts w:hint="eastAsia" w:ascii="Times New Roman" w:hAnsi="Times New Roman" w:eastAsia="楷体" w:cs="楷体"/>
                <w:color w:val="000000" w:themeColor="text1"/>
                <w:sz w:val="28"/>
                <w:szCs w:val="28"/>
                <w:highlight w:val="none"/>
                <w:lang w:val="en-US" w:eastAsia="zh-CN"/>
                <w14:textFill>
                  <w14:solidFill>
                    <w14:schemeClr w14:val="tx1"/>
                  </w14:solidFill>
                </w14:textFill>
              </w:rPr>
            </w:pPr>
            <w:r>
              <w:rPr>
                <w:rFonts w:hint="default" w:ascii="Times New Roman" w:hAnsi="Times New Roman" w:eastAsia="楷体" w:cs="楷体"/>
                <w:color w:val="000000" w:themeColor="text1"/>
                <w:sz w:val="28"/>
                <w:szCs w:val="28"/>
                <w:highlight w:val="none"/>
                <w:lang w:val="en-US" w:eastAsia="zh-CN"/>
                <w14:textFill>
                  <w14:solidFill>
                    <w14:schemeClr w14:val="tx1"/>
                  </w14:solidFill>
                </w14:textFill>
              </w:rPr>
              <w:t>罗江花</w:t>
            </w:r>
          </w:p>
        </w:tc>
        <w:tc>
          <w:tcPr>
            <w:tcW w:w="5486" w:type="dxa"/>
            <w:gridSpan w:val="5"/>
            <w:tcBorders>
              <w:top w:val="single" w:color="auto" w:sz="4" w:space="0"/>
              <w:left w:val="single" w:color="auto" w:sz="4" w:space="0"/>
              <w:bottom w:val="single" w:color="auto" w:sz="4" w:space="0"/>
              <w:right w:val="single" w:color="000000" w:sz="2" w:space="0"/>
            </w:tcBorders>
            <w:noWrap w:val="0"/>
            <w:vAlign w:val="center"/>
          </w:tcPr>
          <w:p w14:paraId="769D042C">
            <w:pPr>
              <w:jc w:val="center"/>
              <w:rPr>
                <w:rFonts w:hint="eastAsia" w:ascii="Times New Roman" w:hAnsi="Times New Roman" w:eastAsia="楷体" w:cs="楷体"/>
                <w:color w:val="000000" w:themeColor="text1"/>
                <w:sz w:val="28"/>
                <w:szCs w:val="28"/>
                <w:highlight w:val="none"/>
                <w:lang w:val="en-US" w:eastAsia="zh-CN"/>
                <w14:textFill>
                  <w14:solidFill>
                    <w14:schemeClr w14:val="tx1"/>
                  </w14:solidFill>
                </w14:textFill>
              </w:rPr>
            </w:pPr>
            <w:r>
              <w:rPr>
                <w:rFonts w:hint="eastAsia" w:cs="楷体"/>
                <w:color w:val="000000" w:themeColor="text1"/>
                <w:sz w:val="28"/>
                <w:szCs w:val="28"/>
                <w:highlight w:val="none"/>
                <w:lang w:val="en-US" w:eastAsia="zh-CN"/>
                <w14:textFill>
                  <w14:solidFill>
                    <w14:schemeClr w14:val="tx1"/>
                  </w14:solidFill>
                </w14:textFill>
              </w:rPr>
              <w:t>硕士/</w:t>
            </w:r>
            <w:r>
              <w:rPr>
                <w:rFonts w:hint="default" w:ascii="Times New Roman" w:hAnsi="Times New Roman" w:eastAsia="楷体" w:cs="楷体"/>
                <w:color w:val="000000" w:themeColor="text1"/>
                <w:sz w:val="28"/>
                <w:szCs w:val="28"/>
                <w:highlight w:val="none"/>
                <w:lang w:val="en-US" w:eastAsia="zh-CN"/>
                <w14:textFill>
                  <w14:solidFill>
                    <w14:schemeClr w14:val="tx1"/>
                  </w14:solidFill>
                </w14:textFill>
              </w:rPr>
              <w:t>讲师</w:t>
            </w:r>
          </w:p>
        </w:tc>
        <w:tc>
          <w:tcPr>
            <w:tcW w:w="2598" w:type="dxa"/>
            <w:gridSpan w:val="2"/>
            <w:tcBorders>
              <w:top w:val="single" w:color="auto" w:sz="4" w:space="0"/>
              <w:left w:val="single" w:color="auto" w:sz="4" w:space="0"/>
              <w:bottom w:val="single" w:color="auto" w:sz="4" w:space="0"/>
              <w:right w:val="single" w:color="000000" w:sz="2" w:space="0"/>
            </w:tcBorders>
            <w:noWrap w:val="0"/>
            <w:vAlign w:val="center"/>
          </w:tcPr>
          <w:p w14:paraId="323CE9A1">
            <w:pPr>
              <w:jc w:val="center"/>
              <w:rPr>
                <w:rFonts w:hint="eastAsia" w:ascii="Times New Roman" w:hAnsi="Times New Roman" w:eastAsia="楷体" w:cs="楷体"/>
                <w:color w:val="000000" w:themeColor="text1"/>
                <w:sz w:val="28"/>
                <w:szCs w:val="28"/>
                <w:highlight w:val="none"/>
                <w:lang w:val="en-US" w:eastAsia="zh-CN"/>
                <w14:textFill>
                  <w14:solidFill>
                    <w14:schemeClr w14:val="tx1"/>
                  </w14:solidFill>
                </w14:textFill>
              </w:rPr>
            </w:pPr>
            <w:r>
              <w:rPr>
                <w:rFonts w:hint="default" w:ascii="Times New Roman" w:hAnsi="Times New Roman" w:eastAsia="楷体" w:cs="楷体"/>
                <w:color w:val="000000" w:themeColor="text1"/>
                <w:sz w:val="28"/>
                <w:szCs w:val="28"/>
                <w:highlight w:val="none"/>
                <w:lang w:val="en-US" w:eastAsia="zh-CN"/>
                <w14:textFill>
                  <w14:solidFill>
                    <w14:schemeClr w14:val="tx1"/>
                  </w14:solidFill>
                </w14:textFill>
              </w:rPr>
              <w:t>17700290260</w:t>
            </w:r>
          </w:p>
        </w:tc>
      </w:tr>
      <w:tr w14:paraId="1F5D2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764" w:hRule="atLeast"/>
          <w:jc w:val="center"/>
        </w:trPr>
        <w:tc>
          <w:tcPr>
            <w:tcW w:w="540" w:type="dxa"/>
            <w:vMerge w:val="continue"/>
            <w:tcBorders>
              <w:left w:val="single" w:color="000000" w:sz="2" w:space="0"/>
              <w:right w:val="single" w:color="000000" w:sz="2" w:space="0"/>
            </w:tcBorders>
            <w:noWrap w:val="0"/>
            <w:vAlign w:val="center"/>
          </w:tcPr>
          <w:p w14:paraId="39457269">
            <w:pPr>
              <w:spacing w:line="480" w:lineRule="exact"/>
              <w:jc w:val="center"/>
              <w:rPr>
                <w:rFonts w:ascii="Times New Roman" w:hAnsi="Times New Roman" w:eastAsia="楷体" w:cs="Times New Roman"/>
                <w:color w:val="000000" w:themeColor="text1"/>
                <w:sz w:val="24"/>
                <w:szCs w:val="28"/>
                <w:highlight w:val="none"/>
                <w14:textFill>
                  <w14:solidFill>
                    <w14:schemeClr w14:val="tx1"/>
                  </w14:solidFill>
                </w14:textFill>
              </w:rPr>
            </w:pPr>
          </w:p>
        </w:tc>
        <w:tc>
          <w:tcPr>
            <w:tcW w:w="1276" w:type="dxa"/>
            <w:tcBorders>
              <w:top w:val="single" w:color="auto" w:sz="4" w:space="0"/>
              <w:left w:val="single" w:color="auto" w:sz="4" w:space="0"/>
              <w:bottom w:val="single" w:color="auto" w:sz="4" w:space="0"/>
              <w:right w:val="single" w:color="000000" w:sz="2" w:space="0"/>
            </w:tcBorders>
            <w:noWrap w:val="0"/>
            <w:vAlign w:val="center"/>
          </w:tcPr>
          <w:p w14:paraId="2CA70D54">
            <w:pPr>
              <w:jc w:val="center"/>
              <w:rPr>
                <w:rFonts w:hint="default" w:ascii="Times New Roman" w:hAnsi="Times New Roman" w:eastAsia="楷体" w:cs="楷体"/>
                <w:color w:val="000000" w:themeColor="text1"/>
                <w:sz w:val="28"/>
                <w:szCs w:val="28"/>
                <w:highlight w:val="none"/>
                <w:lang w:val="en-US" w:eastAsia="zh-CN"/>
                <w14:textFill>
                  <w14:solidFill>
                    <w14:schemeClr w14:val="tx1"/>
                  </w14:solidFill>
                </w14:textFill>
              </w:rPr>
            </w:pPr>
            <w:r>
              <w:rPr>
                <w:rFonts w:hint="eastAsia" w:cs="楷体"/>
                <w:color w:val="000000" w:themeColor="text1"/>
                <w:sz w:val="28"/>
                <w:szCs w:val="28"/>
                <w:highlight w:val="none"/>
                <w:lang w:val="en-US" w:eastAsia="zh-CN"/>
                <w14:textFill>
                  <w14:solidFill>
                    <w14:schemeClr w14:val="tx1"/>
                  </w14:solidFill>
                </w14:textFill>
              </w:rPr>
              <w:t>夏宇</w:t>
            </w:r>
          </w:p>
        </w:tc>
        <w:tc>
          <w:tcPr>
            <w:tcW w:w="5486" w:type="dxa"/>
            <w:gridSpan w:val="5"/>
            <w:tcBorders>
              <w:top w:val="single" w:color="auto" w:sz="4" w:space="0"/>
              <w:left w:val="single" w:color="auto" w:sz="4" w:space="0"/>
              <w:bottom w:val="single" w:color="auto" w:sz="4" w:space="0"/>
              <w:right w:val="single" w:color="000000" w:sz="2" w:space="0"/>
            </w:tcBorders>
            <w:noWrap w:val="0"/>
            <w:vAlign w:val="center"/>
          </w:tcPr>
          <w:p w14:paraId="4E5FBFE3">
            <w:pPr>
              <w:jc w:val="center"/>
              <w:rPr>
                <w:rFonts w:hint="default" w:ascii="Times New Roman" w:hAnsi="Times New Roman" w:eastAsia="楷体" w:cs="楷体"/>
                <w:color w:val="000000" w:themeColor="text1"/>
                <w:sz w:val="28"/>
                <w:szCs w:val="28"/>
                <w:highlight w:val="none"/>
                <w:lang w:val="en-US" w:eastAsia="zh-CN"/>
                <w14:textFill>
                  <w14:solidFill>
                    <w14:schemeClr w14:val="tx1"/>
                  </w14:solidFill>
                </w14:textFill>
              </w:rPr>
            </w:pPr>
            <w:r>
              <w:rPr>
                <w:rFonts w:hint="eastAsia" w:cs="楷体"/>
                <w:color w:val="000000" w:themeColor="text1"/>
                <w:sz w:val="28"/>
                <w:szCs w:val="28"/>
                <w:highlight w:val="none"/>
                <w:lang w:val="en-US" w:eastAsia="zh-CN"/>
                <w14:textFill>
                  <w14:solidFill>
                    <w14:schemeClr w14:val="tx1"/>
                  </w14:solidFill>
                </w14:textFill>
              </w:rPr>
              <w:t>硕士/讲师</w:t>
            </w:r>
          </w:p>
        </w:tc>
        <w:tc>
          <w:tcPr>
            <w:tcW w:w="2598" w:type="dxa"/>
            <w:gridSpan w:val="2"/>
            <w:tcBorders>
              <w:top w:val="single" w:color="auto" w:sz="4" w:space="0"/>
              <w:left w:val="single" w:color="auto" w:sz="4" w:space="0"/>
              <w:bottom w:val="single" w:color="auto" w:sz="4" w:space="0"/>
              <w:right w:val="single" w:color="000000" w:sz="2" w:space="0"/>
            </w:tcBorders>
            <w:noWrap w:val="0"/>
            <w:vAlign w:val="center"/>
          </w:tcPr>
          <w:p w14:paraId="1EAC4C9A">
            <w:pPr>
              <w:jc w:val="center"/>
              <w:rPr>
                <w:rFonts w:hint="eastAsia" w:ascii="Times New Roman" w:hAnsi="Times New Roman" w:eastAsia="楷体" w:cs="楷体"/>
                <w:color w:val="000000" w:themeColor="text1"/>
                <w:sz w:val="28"/>
                <w:szCs w:val="28"/>
                <w:highlight w:val="none"/>
                <w:lang w:val="en-US" w:eastAsia="zh-CN"/>
                <w14:textFill>
                  <w14:solidFill>
                    <w14:schemeClr w14:val="tx1"/>
                  </w14:solidFill>
                </w14:textFill>
              </w:rPr>
            </w:pPr>
            <w:r>
              <w:rPr>
                <w:rFonts w:hint="eastAsia" w:ascii="Times New Roman" w:hAnsi="Times New Roman" w:eastAsia="楷体" w:cs="楷体"/>
                <w:color w:val="000000" w:themeColor="text1"/>
                <w:sz w:val="28"/>
                <w:szCs w:val="28"/>
                <w:highlight w:val="none"/>
                <w:lang w:val="en-US" w:eastAsia="zh-CN"/>
                <w14:textFill>
                  <w14:solidFill>
                    <w14:schemeClr w14:val="tx1"/>
                  </w14:solidFill>
                </w14:textFill>
              </w:rPr>
              <w:t>18273475886</w:t>
            </w:r>
          </w:p>
        </w:tc>
      </w:tr>
      <w:tr w14:paraId="0C9F9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98" w:hRule="atLeast"/>
          <w:jc w:val="center"/>
        </w:trPr>
        <w:tc>
          <w:tcPr>
            <w:tcW w:w="540" w:type="dxa"/>
            <w:vMerge w:val="continue"/>
            <w:tcBorders>
              <w:left w:val="single" w:color="000000" w:sz="2" w:space="0"/>
              <w:right w:val="single" w:color="000000" w:sz="2" w:space="0"/>
            </w:tcBorders>
            <w:noWrap w:val="0"/>
            <w:vAlign w:val="center"/>
          </w:tcPr>
          <w:p w14:paraId="28FAB7A5">
            <w:pPr>
              <w:spacing w:line="480" w:lineRule="exact"/>
              <w:jc w:val="center"/>
              <w:rPr>
                <w:rFonts w:ascii="Times New Roman" w:hAnsi="Times New Roman" w:eastAsia="楷体" w:cs="Times New Roman"/>
                <w:color w:val="000000" w:themeColor="text1"/>
                <w:sz w:val="24"/>
                <w:szCs w:val="28"/>
                <w:highlight w:val="none"/>
                <w14:textFill>
                  <w14:solidFill>
                    <w14:schemeClr w14:val="tx1"/>
                  </w14:solidFill>
                </w14:textFill>
              </w:rPr>
            </w:pPr>
          </w:p>
        </w:tc>
        <w:tc>
          <w:tcPr>
            <w:tcW w:w="1276" w:type="dxa"/>
            <w:tcBorders>
              <w:top w:val="single" w:color="auto" w:sz="4" w:space="0"/>
              <w:left w:val="single" w:color="auto" w:sz="4" w:space="0"/>
              <w:bottom w:val="single" w:color="auto" w:sz="4" w:space="0"/>
              <w:right w:val="single" w:color="000000" w:sz="2" w:space="0"/>
            </w:tcBorders>
            <w:noWrap w:val="0"/>
            <w:vAlign w:val="center"/>
          </w:tcPr>
          <w:p w14:paraId="308494F0">
            <w:pPr>
              <w:jc w:val="center"/>
              <w:rPr>
                <w:rFonts w:hint="eastAsia" w:ascii="Times New Roman" w:hAnsi="Times New Roman" w:eastAsia="楷体" w:cs="楷体"/>
                <w:color w:val="000000" w:themeColor="text1"/>
                <w:sz w:val="28"/>
                <w:szCs w:val="28"/>
                <w:highlight w:val="none"/>
                <w:lang w:val="en-US" w:eastAsia="zh-CN"/>
                <w14:textFill>
                  <w14:solidFill>
                    <w14:schemeClr w14:val="tx1"/>
                  </w14:solidFill>
                </w14:textFill>
              </w:rPr>
            </w:pPr>
            <w:r>
              <w:rPr>
                <w:rFonts w:hint="default" w:ascii="Times New Roman" w:hAnsi="Times New Roman" w:eastAsia="楷体" w:cs="楷体"/>
                <w:color w:val="000000" w:themeColor="text1"/>
                <w:sz w:val="28"/>
                <w:szCs w:val="28"/>
                <w:highlight w:val="none"/>
                <w:lang w:val="en-US" w:eastAsia="zh-CN"/>
                <w14:textFill>
                  <w14:solidFill>
                    <w14:schemeClr w14:val="tx1"/>
                  </w14:solidFill>
                </w14:textFill>
              </w:rPr>
              <w:t>贺辉</w:t>
            </w:r>
          </w:p>
        </w:tc>
        <w:tc>
          <w:tcPr>
            <w:tcW w:w="5486" w:type="dxa"/>
            <w:gridSpan w:val="5"/>
            <w:tcBorders>
              <w:top w:val="single" w:color="auto" w:sz="4" w:space="0"/>
              <w:left w:val="single" w:color="auto" w:sz="4" w:space="0"/>
              <w:bottom w:val="single" w:color="auto" w:sz="4" w:space="0"/>
              <w:right w:val="single" w:color="000000" w:sz="2" w:space="0"/>
            </w:tcBorders>
            <w:noWrap w:val="0"/>
            <w:vAlign w:val="center"/>
          </w:tcPr>
          <w:p w14:paraId="60065600">
            <w:pPr>
              <w:jc w:val="center"/>
              <w:rPr>
                <w:rFonts w:hint="default" w:ascii="Times New Roman" w:hAnsi="Times New Roman" w:eastAsia="楷体" w:cs="楷体"/>
                <w:color w:val="000000" w:themeColor="text1"/>
                <w:sz w:val="28"/>
                <w:szCs w:val="28"/>
                <w:highlight w:val="none"/>
                <w:lang w:val="en-US" w:eastAsia="zh-CN"/>
                <w14:textFill>
                  <w14:solidFill>
                    <w14:schemeClr w14:val="tx1"/>
                  </w14:solidFill>
                </w14:textFill>
              </w:rPr>
            </w:pPr>
            <w:r>
              <w:rPr>
                <w:rFonts w:hint="default" w:ascii="Times New Roman" w:hAnsi="Times New Roman" w:eastAsia="楷体" w:cs="楷体"/>
                <w:color w:val="000000" w:themeColor="text1"/>
                <w:sz w:val="28"/>
                <w:szCs w:val="28"/>
                <w:highlight w:val="none"/>
                <w:lang w:val="en-US" w:eastAsia="zh-CN"/>
                <w14:textFill>
                  <w14:solidFill>
                    <w14:schemeClr w14:val="tx1"/>
                  </w14:solidFill>
                </w14:textFill>
              </w:rPr>
              <w:t>博士</w:t>
            </w:r>
            <w:r>
              <w:rPr>
                <w:rFonts w:hint="eastAsia" w:cs="楷体"/>
                <w:color w:val="000000" w:themeColor="text1"/>
                <w:sz w:val="28"/>
                <w:szCs w:val="28"/>
                <w:highlight w:val="none"/>
                <w:lang w:val="en-US" w:eastAsia="zh-CN"/>
                <w14:textFill>
                  <w14:solidFill>
                    <w14:schemeClr w14:val="tx1"/>
                  </w14:solidFill>
                </w14:textFill>
              </w:rPr>
              <w:t>/副教授</w:t>
            </w:r>
          </w:p>
        </w:tc>
        <w:tc>
          <w:tcPr>
            <w:tcW w:w="2598" w:type="dxa"/>
            <w:gridSpan w:val="2"/>
            <w:tcBorders>
              <w:top w:val="single" w:color="auto" w:sz="4" w:space="0"/>
              <w:left w:val="single" w:color="auto" w:sz="4" w:space="0"/>
              <w:bottom w:val="single" w:color="auto" w:sz="4" w:space="0"/>
              <w:right w:val="single" w:color="000000" w:sz="2" w:space="0"/>
            </w:tcBorders>
            <w:noWrap w:val="0"/>
            <w:vAlign w:val="center"/>
          </w:tcPr>
          <w:p w14:paraId="50965448">
            <w:pPr>
              <w:jc w:val="center"/>
              <w:rPr>
                <w:rFonts w:hint="eastAsia" w:ascii="Times New Roman" w:hAnsi="Times New Roman" w:eastAsia="楷体" w:cs="楷体"/>
                <w:color w:val="000000" w:themeColor="text1"/>
                <w:sz w:val="28"/>
                <w:szCs w:val="28"/>
                <w:highlight w:val="none"/>
                <w:lang w:val="en-US" w:eastAsia="zh-CN"/>
                <w14:textFill>
                  <w14:solidFill>
                    <w14:schemeClr w14:val="tx1"/>
                  </w14:solidFill>
                </w14:textFill>
              </w:rPr>
            </w:pPr>
            <w:r>
              <w:rPr>
                <w:rFonts w:hint="default" w:ascii="Times New Roman" w:hAnsi="Times New Roman" w:eastAsia="楷体" w:cs="楷体"/>
                <w:color w:val="000000" w:themeColor="text1"/>
                <w:sz w:val="28"/>
                <w:szCs w:val="28"/>
                <w:highlight w:val="none"/>
                <w:lang w:val="en-US" w:eastAsia="zh-CN"/>
                <w14:textFill>
                  <w14:solidFill>
                    <w14:schemeClr w14:val="tx1"/>
                  </w14:solidFill>
                </w14:textFill>
              </w:rPr>
              <w:t>18826223526</w:t>
            </w:r>
          </w:p>
        </w:tc>
      </w:tr>
      <w:tr w14:paraId="4E721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98" w:hRule="atLeast"/>
          <w:jc w:val="center"/>
        </w:trPr>
        <w:tc>
          <w:tcPr>
            <w:tcW w:w="540" w:type="dxa"/>
            <w:vMerge w:val="continue"/>
            <w:tcBorders>
              <w:left w:val="single" w:color="000000" w:sz="2" w:space="0"/>
              <w:right w:val="single" w:color="000000" w:sz="2" w:space="0"/>
            </w:tcBorders>
            <w:noWrap w:val="0"/>
            <w:vAlign w:val="center"/>
          </w:tcPr>
          <w:p w14:paraId="53283F14">
            <w:pPr>
              <w:spacing w:line="480" w:lineRule="exact"/>
              <w:jc w:val="center"/>
              <w:rPr>
                <w:rFonts w:ascii="Times New Roman" w:hAnsi="Times New Roman" w:eastAsia="楷体" w:cs="Times New Roman"/>
                <w:color w:val="000000" w:themeColor="text1"/>
                <w:sz w:val="24"/>
                <w:szCs w:val="28"/>
                <w:highlight w:val="none"/>
                <w14:textFill>
                  <w14:solidFill>
                    <w14:schemeClr w14:val="tx1"/>
                  </w14:solidFill>
                </w14:textFill>
              </w:rPr>
            </w:pPr>
          </w:p>
        </w:tc>
        <w:tc>
          <w:tcPr>
            <w:tcW w:w="1276" w:type="dxa"/>
            <w:tcBorders>
              <w:top w:val="single" w:color="auto" w:sz="4" w:space="0"/>
              <w:left w:val="single" w:color="auto" w:sz="4" w:space="0"/>
              <w:bottom w:val="single" w:color="auto" w:sz="4" w:space="0"/>
              <w:right w:val="single" w:color="000000" w:sz="2" w:space="0"/>
            </w:tcBorders>
            <w:noWrap w:val="0"/>
            <w:vAlign w:val="center"/>
          </w:tcPr>
          <w:p w14:paraId="6587E0C2">
            <w:pPr>
              <w:jc w:val="center"/>
              <w:rPr>
                <w:rFonts w:hint="default" w:ascii="Times New Roman" w:hAnsi="Times New Roman" w:eastAsia="楷体" w:cs="楷体"/>
                <w:color w:val="000000" w:themeColor="text1"/>
                <w:sz w:val="28"/>
                <w:szCs w:val="28"/>
                <w:highlight w:val="none"/>
                <w:lang w:val="en-US" w:eastAsia="zh-CN"/>
                <w14:textFill>
                  <w14:solidFill>
                    <w14:schemeClr w14:val="tx1"/>
                  </w14:solidFill>
                </w14:textFill>
              </w:rPr>
            </w:pPr>
            <w:r>
              <w:rPr>
                <w:rFonts w:hint="default" w:ascii="Times New Roman" w:hAnsi="Times New Roman" w:eastAsia="楷体" w:cs="楷体"/>
                <w:color w:val="000000" w:themeColor="text1"/>
                <w:sz w:val="28"/>
                <w:szCs w:val="28"/>
                <w:highlight w:val="none"/>
                <w:lang w:val="en-US" w:eastAsia="zh-CN"/>
                <w14:textFill>
                  <w14:solidFill>
                    <w14:schemeClr w14:val="tx1"/>
                  </w14:solidFill>
                </w14:textFill>
              </w:rPr>
              <w:t>谭平</w:t>
            </w:r>
          </w:p>
        </w:tc>
        <w:tc>
          <w:tcPr>
            <w:tcW w:w="5486" w:type="dxa"/>
            <w:gridSpan w:val="5"/>
            <w:tcBorders>
              <w:top w:val="single" w:color="auto" w:sz="4" w:space="0"/>
              <w:left w:val="single" w:color="auto" w:sz="4" w:space="0"/>
              <w:bottom w:val="single" w:color="auto" w:sz="4" w:space="0"/>
              <w:right w:val="single" w:color="000000" w:sz="2" w:space="0"/>
            </w:tcBorders>
            <w:noWrap w:val="0"/>
            <w:vAlign w:val="center"/>
          </w:tcPr>
          <w:p w14:paraId="43D9FC2F">
            <w:pPr>
              <w:jc w:val="center"/>
              <w:rPr>
                <w:rFonts w:hint="default" w:ascii="Times New Roman" w:hAnsi="Times New Roman" w:eastAsia="楷体" w:cs="楷体"/>
                <w:color w:val="000000" w:themeColor="text1"/>
                <w:sz w:val="28"/>
                <w:szCs w:val="28"/>
                <w:highlight w:val="none"/>
                <w:lang w:val="en-US" w:eastAsia="zh-CN"/>
                <w14:textFill>
                  <w14:solidFill>
                    <w14:schemeClr w14:val="tx1"/>
                  </w14:solidFill>
                </w14:textFill>
              </w:rPr>
            </w:pPr>
            <w:r>
              <w:rPr>
                <w:rFonts w:hint="eastAsia" w:cs="楷体"/>
                <w:color w:val="000000" w:themeColor="text1"/>
                <w:sz w:val="28"/>
                <w:szCs w:val="28"/>
                <w:highlight w:val="none"/>
                <w:lang w:val="en-US" w:eastAsia="zh-CN"/>
                <w14:textFill>
                  <w14:solidFill>
                    <w14:schemeClr w14:val="tx1"/>
                  </w14:solidFill>
                </w14:textFill>
              </w:rPr>
              <w:t>博士/</w:t>
            </w:r>
            <w:r>
              <w:rPr>
                <w:rFonts w:hint="default" w:ascii="Times New Roman" w:hAnsi="Times New Roman" w:eastAsia="楷体" w:cs="楷体"/>
                <w:color w:val="000000" w:themeColor="text1"/>
                <w:sz w:val="28"/>
                <w:szCs w:val="28"/>
                <w:highlight w:val="none"/>
                <w:lang w:val="en-US" w:eastAsia="zh-CN"/>
                <w14:textFill>
                  <w14:solidFill>
                    <w14:schemeClr w14:val="tx1"/>
                  </w14:solidFill>
                </w14:textFill>
              </w:rPr>
              <w:t>研究员</w:t>
            </w:r>
          </w:p>
        </w:tc>
        <w:tc>
          <w:tcPr>
            <w:tcW w:w="2598" w:type="dxa"/>
            <w:gridSpan w:val="2"/>
            <w:tcBorders>
              <w:top w:val="single" w:color="auto" w:sz="4" w:space="0"/>
              <w:left w:val="single" w:color="auto" w:sz="4" w:space="0"/>
              <w:bottom w:val="single" w:color="auto" w:sz="4" w:space="0"/>
              <w:right w:val="single" w:color="000000" w:sz="2" w:space="0"/>
            </w:tcBorders>
            <w:noWrap w:val="0"/>
            <w:vAlign w:val="center"/>
          </w:tcPr>
          <w:p w14:paraId="0D24B30C">
            <w:pPr>
              <w:jc w:val="center"/>
              <w:rPr>
                <w:rFonts w:hint="default" w:ascii="Times New Roman" w:hAnsi="Times New Roman" w:eastAsia="楷体" w:cs="楷体"/>
                <w:color w:val="000000" w:themeColor="text1"/>
                <w:sz w:val="28"/>
                <w:szCs w:val="28"/>
                <w:highlight w:val="none"/>
                <w:lang w:val="en-US" w:eastAsia="zh-CN"/>
                <w14:textFill>
                  <w14:solidFill>
                    <w14:schemeClr w14:val="tx1"/>
                  </w14:solidFill>
                </w14:textFill>
              </w:rPr>
            </w:pPr>
            <w:r>
              <w:rPr>
                <w:rFonts w:hint="default" w:ascii="Times New Roman" w:hAnsi="Times New Roman" w:eastAsia="楷体" w:cs="楷体"/>
                <w:color w:val="000000" w:themeColor="text1"/>
                <w:sz w:val="28"/>
                <w:szCs w:val="28"/>
                <w:highlight w:val="none"/>
                <w:lang w:val="en-US" w:eastAsia="zh-CN"/>
                <w14:textFill>
                  <w14:solidFill>
                    <w14:schemeClr w14:val="tx1"/>
                  </w14:solidFill>
                </w14:textFill>
              </w:rPr>
              <w:t>13342886639</w:t>
            </w:r>
          </w:p>
        </w:tc>
      </w:tr>
      <w:tr w14:paraId="08EEA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98" w:hRule="atLeast"/>
          <w:jc w:val="center"/>
        </w:trPr>
        <w:tc>
          <w:tcPr>
            <w:tcW w:w="540" w:type="dxa"/>
            <w:vMerge w:val="continue"/>
            <w:tcBorders>
              <w:left w:val="single" w:color="000000" w:sz="2" w:space="0"/>
              <w:bottom w:val="single" w:color="auto" w:sz="4" w:space="0"/>
              <w:right w:val="single" w:color="000000" w:sz="2" w:space="0"/>
            </w:tcBorders>
            <w:noWrap w:val="0"/>
            <w:vAlign w:val="center"/>
          </w:tcPr>
          <w:p w14:paraId="179F04C2">
            <w:pPr>
              <w:spacing w:line="480" w:lineRule="exact"/>
              <w:jc w:val="center"/>
              <w:rPr>
                <w:rFonts w:ascii="Times New Roman" w:hAnsi="Times New Roman" w:eastAsia="楷体" w:cs="Times New Roman"/>
                <w:color w:val="000000" w:themeColor="text1"/>
                <w:sz w:val="24"/>
                <w:szCs w:val="28"/>
                <w:highlight w:val="none"/>
                <w14:textFill>
                  <w14:solidFill>
                    <w14:schemeClr w14:val="tx1"/>
                  </w14:solidFill>
                </w14:textFill>
              </w:rPr>
            </w:pPr>
          </w:p>
        </w:tc>
        <w:tc>
          <w:tcPr>
            <w:tcW w:w="1276" w:type="dxa"/>
            <w:tcBorders>
              <w:top w:val="single" w:color="auto" w:sz="4" w:space="0"/>
              <w:left w:val="single" w:color="auto" w:sz="4" w:space="0"/>
              <w:bottom w:val="single" w:color="auto" w:sz="4" w:space="0"/>
              <w:right w:val="single" w:color="000000" w:sz="2" w:space="0"/>
            </w:tcBorders>
            <w:noWrap w:val="0"/>
            <w:vAlign w:val="center"/>
          </w:tcPr>
          <w:p w14:paraId="56CB536C">
            <w:pPr>
              <w:jc w:val="center"/>
              <w:rPr>
                <w:rFonts w:hint="default" w:ascii="Times New Roman" w:hAnsi="Times New Roman" w:eastAsia="楷体" w:cs="楷体"/>
                <w:color w:val="000000" w:themeColor="text1"/>
                <w:sz w:val="28"/>
                <w:szCs w:val="28"/>
                <w:highlight w:val="none"/>
                <w:lang w:val="en-US" w:eastAsia="zh-CN"/>
                <w14:textFill>
                  <w14:solidFill>
                    <w14:schemeClr w14:val="tx1"/>
                  </w14:solidFill>
                </w14:textFill>
              </w:rPr>
            </w:pPr>
            <w:r>
              <w:rPr>
                <w:rFonts w:hint="eastAsia" w:cs="楷体"/>
                <w:color w:val="000000" w:themeColor="text1"/>
                <w:sz w:val="28"/>
                <w:szCs w:val="28"/>
                <w:highlight w:val="none"/>
                <w:lang w:val="en-US" w:eastAsia="zh-CN"/>
                <w14:textFill>
                  <w14:solidFill>
                    <w14:schemeClr w14:val="tx1"/>
                  </w14:solidFill>
                </w14:textFill>
              </w:rPr>
              <w:t>杨翼玮</w:t>
            </w:r>
          </w:p>
        </w:tc>
        <w:tc>
          <w:tcPr>
            <w:tcW w:w="5486" w:type="dxa"/>
            <w:gridSpan w:val="5"/>
            <w:tcBorders>
              <w:top w:val="single" w:color="auto" w:sz="4" w:space="0"/>
              <w:left w:val="single" w:color="auto" w:sz="4" w:space="0"/>
              <w:bottom w:val="single" w:color="auto" w:sz="4" w:space="0"/>
              <w:right w:val="single" w:color="000000" w:sz="2" w:space="0"/>
            </w:tcBorders>
            <w:noWrap w:val="0"/>
            <w:vAlign w:val="center"/>
          </w:tcPr>
          <w:p w14:paraId="4C0085FC">
            <w:pPr>
              <w:jc w:val="center"/>
              <w:rPr>
                <w:rFonts w:hint="default" w:ascii="Times New Roman" w:hAnsi="Times New Roman" w:eastAsia="楷体" w:cs="楷体"/>
                <w:color w:val="000000" w:themeColor="text1"/>
                <w:sz w:val="28"/>
                <w:szCs w:val="28"/>
                <w:highlight w:val="none"/>
                <w:lang w:val="en-US" w:eastAsia="zh-CN"/>
                <w14:textFill>
                  <w14:solidFill>
                    <w14:schemeClr w14:val="tx1"/>
                  </w14:solidFill>
                </w14:textFill>
              </w:rPr>
            </w:pPr>
            <w:r>
              <w:rPr>
                <w:rFonts w:hint="eastAsia" w:cs="楷体"/>
                <w:color w:val="000000" w:themeColor="text1"/>
                <w:sz w:val="28"/>
                <w:szCs w:val="28"/>
                <w:highlight w:val="none"/>
                <w:lang w:val="en-US" w:eastAsia="zh-CN"/>
                <w14:textFill>
                  <w14:solidFill>
                    <w14:schemeClr w14:val="tx1"/>
                  </w14:solidFill>
                </w14:textFill>
              </w:rPr>
              <w:t>博士/讲师</w:t>
            </w:r>
          </w:p>
        </w:tc>
        <w:tc>
          <w:tcPr>
            <w:tcW w:w="2598" w:type="dxa"/>
            <w:gridSpan w:val="2"/>
            <w:tcBorders>
              <w:top w:val="single" w:color="auto" w:sz="4" w:space="0"/>
              <w:left w:val="single" w:color="auto" w:sz="4" w:space="0"/>
              <w:bottom w:val="single" w:color="auto" w:sz="4" w:space="0"/>
              <w:right w:val="single" w:color="000000" w:sz="2" w:space="0"/>
            </w:tcBorders>
            <w:noWrap w:val="0"/>
            <w:vAlign w:val="center"/>
          </w:tcPr>
          <w:p w14:paraId="6809C333">
            <w:pPr>
              <w:jc w:val="center"/>
              <w:rPr>
                <w:rFonts w:hint="default" w:ascii="Times New Roman" w:hAnsi="Times New Roman" w:eastAsia="楷体" w:cs="楷体"/>
                <w:color w:val="000000" w:themeColor="text1"/>
                <w:sz w:val="28"/>
                <w:szCs w:val="28"/>
                <w:highlight w:val="none"/>
                <w:lang w:val="en-US" w:eastAsia="zh-CN"/>
                <w14:textFill>
                  <w14:solidFill>
                    <w14:schemeClr w14:val="tx1"/>
                  </w14:solidFill>
                </w14:textFill>
              </w:rPr>
            </w:pPr>
            <w:r>
              <w:rPr>
                <w:rFonts w:hint="default" w:ascii="Times New Roman" w:hAnsi="Times New Roman" w:eastAsia="楷体" w:cs="楷体"/>
                <w:color w:val="000000" w:themeColor="text1"/>
                <w:sz w:val="28"/>
                <w:szCs w:val="28"/>
                <w:highlight w:val="none"/>
                <w:lang w:val="en-US" w:eastAsia="zh-CN"/>
                <w14:textFill>
                  <w14:solidFill>
                    <w14:schemeClr w14:val="tx1"/>
                  </w14:solidFill>
                </w14:textFill>
              </w:rPr>
              <w:t>15574313741</w:t>
            </w:r>
          </w:p>
        </w:tc>
      </w:tr>
    </w:tbl>
    <w:p w14:paraId="6190326B">
      <w:pPr>
        <w:jc w:val="both"/>
        <w:rPr>
          <w:rFonts w:ascii="Times New Roman" w:hAnsi="Times New Roman" w:eastAsia="楷体" w:cs="Times New Roman"/>
          <w:color w:val="000000" w:themeColor="text1"/>
          <w:sz w:val="28"/>
          <w:szCs w:val="28"/>
          <w:highlight w:val="none"/>
          <w14:textFill>
            <w14:solidFill>
              <w14:schemeClr w14:val="tx1"/>
            </w14:solidFill>
          </w14:textFill>
        </w:rPr>
        <w:sectPr>
          <w:footerReference r:id="rId4" w:type="default"/>
          <w:pgSz w:w="11906" w:h="16838"/>
          <w:pgMar w:top="1440" w:right="1800" w:bottom="1440" w:left="1800" w:header="397" w:footer="1077" w:gutter="0"/>
          <w:pgBorders>
            <w:top w:val="none" w:sz="0" w:space="0"/>
            <w:left w:val="none" w:sz="0" w:space="0"/>
            <w:bottom w:val="none" w:sz="0" w:space="0"/>
            <w:right w:val="none" w:sz="0" w:space="0"/>
          </w:pgBorders>
          <w:pgNumType w:fmt="decimal" w:start="1"/>
          <w:cols w:space="425" w:num="1"/>
          <w:docGrid w:type="lines" w:linePitch="312" w:charSpace="0"/>
        </w:sectPr>
      </w:pPr>
    </w:p>
    <w:sdt>
      <w:sdtPr>
        <w:rPr>
          <w:rFonts w:hint="eastAsia" w:ascii="楷体" w:hAnsi="楷体" w:eastAsia="楷体" w:cs="楷体"/>
          <w:kern w:val="2"/>
          <w:sz w:val="36"/>
          <w:szCs w:val="36"/>
          <w:highlight w:val="none"/>
          <w:lang w:val="en-US" w:eastAsia="zh-CN" w:bidi="ar-SA"/>
        </w:rPr>
        <w:id w:val="147462831"/>
        <w15:color w:val="DBDBDB"/>
        <w:docPartObj>
          <w:docPartGallery w:val="Table of Contents"/>
          <w:docPartUnique/>
        </w:docPartObj>
      </w:sdtPr>
      <w:sdtEndPr>
        <w:rPr>
          <w:rFonts w:hint="eastAsia" w:asciiTheme="minorHAnsi" w:hAnsiTheme="minorHAnsi" w:eastAsiaTheme="minorEastAsia" w:cstheme="minorBidi"/>
          <w:kern w:val="2"/>
          <w:sz w:val="21"/>
          <w:szCs w:val="24"/>
          <w:highlight w:val="none"/>
          <w:lang w:val="en-US" w:eastAsia="zh-CN" w:bidi="ar-SA"/>
        </w:rPr>
      </w:sdtEndPr>
      <w:sdtContent>
        <w:p w14:paraId="724EE24F">
          <w:pPr>
            <w:keepNext w:val="0"/>
            <w:keepLines w:val="0"/>
            <w:pageBreakBefore w:val="0"/>
            <w:widowControl w:val="0"/>
            <w:tabs>
              <w:tab w:val="left" w:leader="dot" w:pos="0"/>
            </w:tabs>
            <w:kinsoku/>
            <w:wordWrap/>
            <w:overflowPunct/>
            <w:topLinePunct w:val="0"/>
            <w:autoSpaceDE/>
            <w:autoSpaceDN/>
            <w:bidi w:val="0"/>
            <w:adjustRightInd/>
            <w:snapToGrid w:val="0"/>
            <w:spacing w:before="156" w:beforeLines="50" w:after="156" w:afterLines="50" w:line="240" w:lineRule="auto"/>
            <w:ind w:left="0" w:leftChars="0" w:right="0" w:rightChars="0" w:firstLine="0" w:firstLineChars="0"/>
            <w:jc w:val="center"/>
            <w:textAlignment w:val="auto"/>
            <w:rPr>
              <w:rFonts w:hint="eastAsia" w:ascii="楷体" w:hAnsi="楷体" w:eastAsia="楷体" w:cs="楷体"/>
              <w:sz w:val="36"/>
              <w:szCs w:val="36"/>
              <w:highlight w:val="none"/>
            </w:rPr>
          </w:pPr>
          <w:r>
            <w:rPr>
              <w:rFonts w:hint="eastAsia" w:ascii="楷体" w:hAnsi="楷体" w:eastAsia="楷体" w:cs="楷体"/>
              <w:b/>
              <w:bCs/>
              <w:sz w:val="36"/>
              <w:szCs w:val="36"/>
              <w:highlight w:val="none"/>
            </w:rPr>
            <w:t>目录</w:t>
          </w:r>
        </w:p>
        <w:p w14:paraId="1D30ED76">
          <w:pPr>
            <w:pStyle w:val="13"/>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TOC \o "1-3" \h \u </w:instrText>
          </w:r>
          <w:r>
            <w:fldChar w:fldCharType="separate"/>
          </w:r>
          <w:r>
            <w:fldChar w:fldCharType="begin"/>
          </w:r>
          <w:r>
            <w:instrText xml:space="preserve"> HYPERLINK \l "_Toc19463" </w:instrText>
          </w:r>
          <w:r>
            <w:fldChar w:fldCharType="separate"/>
          </w:r>
          <w:r>
            <w:rPr>
              <w:rFonts w:hint="eastAsia"/>
              <w:highlight w:val="none"/>
              <w:lang w:val="en-US" w:eastAsia="zh-CN"/>
            </w:rPr>
            <w:t>第一章 项目概要</w:t>
          </w:r>
          <w:r>
            <w:tab/>
          </w:r>
          <w:r>
            <w:fldChar w:fldCharType="begin"/>
          </w:r>
          <w:r>
            <w:instrText xml:space="preserve"> PAGEREF _Toc19463 \h </w:instrText>
          </w:r>
          <w:r>
            <w:fldChar w:fldCharType="separate"/>
          </w:r>
          <w:r>
            <w:t>12</w:t>
          </w:r>
          <w:r>
            <w:fldChar w:fldCharType="end"/>
          </w:r>
          <w:r>
            <w:fldChar w:fldCharType="end"/>
          </w:r>
        </w:p>
        <w:p w14:paraId="668C2D27">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"_Toc3250" </w:instrText>
          </w:r>
          <w:r>
            <w:fldChar w:fldCharType="separate"/>
          </w:r>
          <w:r>
            <w:rPr>
              <w:rFonts w:hint="eastAsia" w:ascii="Times New Roman" w:hAnsi="Times New Roman" w:eastAsia="楷体"/>
              <w:highlight w:val="none"/>
              <w:lang w:val="en-US" w:eastAsia="zh-CN"/>
            </w:rPr>
            <w:t>1.1行业背景</w:t>
          </w:r>
          <w:r>
            <w:tab/>
          </w:r>
          <w:r>
            <w:fldChar w:fldCharType="begin"/>
          </w:r>
          <w:r>
            <w:instrText xml:space="preserve"> PAGEREF _Toc3250 \h </w:instrText>
          </w:r>
          <w:r>
            <w:fldChar w:fldCharType="separate"/>
          </w:r>
          <w:r>
            <w:t>12</w:t>
          </w:r>
          <w:r>
            <w:fldChar w:fldCharType="end"/>
          </w:r>
          <w:r>
            <w:fldChar w:fldCharType="end"/>
          </w:r>
        </w:p>
        <w:p w14:paraId="59E95295">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"_Toc21939" </w:instrText>
          </w:r>
          <w:r>
            <w:fldChar w:fldCharType="separate"/>
          </w:r>
          <w:r>
            <w:rPr>
              <w:rFonts w:hint="eastAsia" w:ascii="Times New Roman" w:hAnsi="Times New Roman" w:eastAsia="楷体"/>
              <w:highlight w:val="none"/>
              <w:lang w:val="en-US" w:eastAsia="zh-CN"/>
            </w:rPr>
            <w:t>1.1.1项目痛点</w:t>
          </w:r>
          <w:r>
            <w:tab/>
          </w:r>
          <w:r>
            <w:fldChar w:fldCharType="begin"/>
          </w:r>
          <w:r>
            <w:instrText xml:space="preserve"> PAGEREF _Toc21939 \h </w:instrText>
          </w:r>
          <w:r>
            <w:fldChar w:fldCharType="separate"/>
          </w:r>
          <w:r>
            <w:t>12</w:t>
          </w:r>
          <w:r>
            <w:fldChar w:fldCharType="end"/>
          </w:r>
          <w:r>
            <w:fldChar w:fldCharType="end"/>
          </w:r>
        </w:p>
        <w:p w14:paraId="001EE082">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"_Toc18326" </w:instrText>
          </w:r>
          <w:r>
            <w:fldChar w:fldCharType="separate"/>
          </w:r>
          <w:r>
            <w:rPr>
              <w:rFonts w:hint="eastAsia" w:ascii="Times New Roman" w:hAnsi="Times New Roman" w:eastAsia="楷体" w:cs="宋体"/>
              <w:highlight w:val="none"/>
              <w:lang w:val="en-US" w:eastAsia="zh-CN"/>
            </w:rPr>
            <w:t>1.1.2初心</w:t>
          </w:r>
          <w:r>
            <w:tab/>
          </w:r>
          <w:r>
            <w:fldChar w:fldCharType="begin"/>
          </w:r>
          <w:r>
            <w:instrText xml:space="preserve"> PAGEREF _Toc18326 \h </w:instrText>
          </w:r>
          <w:r>
            <w:fldChar w:fldCharType="separate"/>
          </w:r>
          <w:r>
            <w:t>13</w:t>
          </w:r>
          <w:r>
            <w:fldChar w:fldCharType="end"/>
          </w:r>
          <w:r>
            <w:fldChar w:fldCharType="end"/>
          </w:r>
        </w:p>
        <w:p w14:paraId="6746CE0B">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"_Toc358" </w:instrText>
          </w:r>
          <w:r>
            <w:fldChar w:fldCharType="separate"/>
          </w:r>
          <w:r>
            <w:rPr>
              <w:rFonts w:hint="eastAsia"/>
              <w:highlight w:val="none"/>
              <w:lang w:val="en-US" w:eastAsia="zh-CN"/>
            </w:rPr>
            <w:t>1.2创新解决方案</w:t>
          </w:r>
          <w:r>
            <w:tab/>
          </w:r>
          <w:r>
            <w:fldChar w:fldCharType="begin"/>
          </w:r>
          <w:r>
            <w:instrText xml:space="preserve"> PAGEREF _Toc358 \h </w:instrText>
          </w:r>
          <w:r>
            <w:fldChar w:fldCharType="separate"/>
          </w:r>
          <w:r>
            <w:t>14</w:t>
          </w:r>
          <w:r>
            <w:fldChar w:fldCharType="end"/>
          </w:r>
          <w:r>
            <w:fldChar w:fldCharType="end"/>
          </w:r>
        </w:p>
        <w:p w14:paraId="43D2E707">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"_Toc765" </w:instrText>
          </w:r>
          <w:r>
            <w:fldChar w:fldCharType="separate"/>
          </w:r>
          <w:r>
            <w:rPr>
              <w:rFonts w:hint="eastAsia" w:ascii="Times New Roman" w:hAnsi="Times New Roman" w:eastAsia="仿宋" w:cs="Times New Roman"/>
              <w:kern w:val="2"/>
              <w:szCs w:val="32"/>
              <w:highlight w:val="none"/>
              <w:lang w:val="en-US" w:eastAsia="zh-CN" w:bidi="ar-SA"/>
            </w:rPr>
            <w:t>1.</w:t>
          </w:r>
          <w:r>
            <w:rPr>
              <w:rFonts w:hint="eastAsia" w:ascii="Times New Roman" w:hAnsi="Times New Roman" w:cs="Times New Roman"/>
              <w:kern w:val="2"/>
              <w:szCs w:val="32"/>
              <w:highlight w:val="none"/>
              <w:lang w:val="en-US" w:eastAsia="zh-CN" w:bidi="ar-SA"/>
            </w:rPr>
            <w:t>3社会价值</w:t>
          </w:r>
          <w:r>
            <w:tab/>
          </w:r>
          <w:r>
            <w:fldChar w:fldCharType="begin"/>
          </w:r>
          <w:r>
            <w:instrText xml:space="preserve"> PAGEREF _Toc765 \h </w:instrText>
          </w:r>
          <w:r>
            <w:fldChar w:fldCharType="separate"/>
          </w:r>
          <w:r>
            <w:t>15</w:t>
          </w:r>
          <w:r>
            <w:fldChar w:fldCharType="end"/>
          </w:r>
          <w:r>
            <w:fldChar w:fldCharType="end"/>
          </w:r>
        </w:p>
        <w:p w14:paraId="7C523A59">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"_Toc6358" </w:instrText>
          </w:r>
          <w:r>
            <w:fldChar w:fldCharType="separate"/>
          </w:r>
          <w:r>
            <w:rPr>
              <w:rFonts w:hint="eastAsia"/>
              <w:highlight w:val="none"/>
              <w:lang w:val="en-US" w:eastAsia="zh-CN"/>
            </w:rPr>
            <w:t>1.4核心优势</w:t>
          </w:r>
          <w:r>
            <w:tab/>
          </w:r>
          <w:r>
            <w:fldChar w:fldCharType="begin"/>
          </w:r>
          <w:r>
            <w:instrText xml:space="preserve"> PAGEREF _Toc6358 \h </w:instrText>
          </w:r>
          <w:r>
            <w:fldChar w:fldCharType="separate"/>
          </w:r>
          <w:r>
            <w:t>17</w:t>
          </w:r>
          <w:r>
            <w:fldChar w:fldCharType="end"/>
          </w:r>
          <w:r>
            <w:fldChar w:fldCharType="end"/>
          </w:r>
        </w:p>
        <w:p w14:paraId="693C80D9">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"_Toc20577" </w:instrText>
          </w:r>
          <w:r>
            <w:fldChar w:fldCharType="separate"/>
          </w:r>
          <w:r>
            <w:rPr>
              <w:rFonts w:hint="eastAsia"/>
              <w:highlight w:val="none"/>
            </w:rPr>
            <w:t>1.</w:t>
          </w:r>
          <w:r>
            <w:rPr>
              <w:rFonts w:hint="eastAsia"/>
              <w:highlight w:val="none"/>
              <w:lang w:val="en-US" w:eastAsia="zh-CN"/>
            </w:rPr>
            <w:t>5</w:t>
          </w:r>
          <w:r>
            <w:rPr>
              <w:rFonts w:hint="eastAsia"/>
              <w:highlight w:val="none"/>
            </w:rPr>
            <w:t>阶段性成果</w:t>
          </w:r>
          <w:r>
            <w:tab/>
          </w:r>
          <w:r>
            <w:fldChar w:fldCharType="begin"/>
          </w:r>
          <w:r>
            <w:instrText xml:space="preserve"> PAGEREF _Toc20577 \h </w:instrText>
          </w:r>
          <w:r>
            <w:fldChar w:fldCharType="separate"/>
          </w:r>
          <w:r>
            <w:t>18</w:t>
          </w:r>
          <w:r>
            <w:fldChar w:fldCharType="end"/>
          </w:r>
          <w:r>
            <w:fldChar w:fldCharType="end"/>
          </w:r>
        </w:p>
        <w:p w14:paraId="65099157">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"_Toc9129" </w:instrText>
          </w:r>
          <w:r>
            <w:fldChar w:fldCharType="separate"/>
          </w:r>
          <w:r>
            <w:rPr>
              <w:rFonts w:hint="eastAsia"/>
              <w:highlight w:val="none"/>
              <w:lang w:val="en-US" w:eastAsia="zh-CN"/>
            </w:rPr>
            <w:t>1.5.1</w:t>
          </w:r>
          <w:r>
            <w:rPr>
              <w:rFonts w:hint="default"/>
              <w:highlight w:val="none"/>
              <w:lang w:val="en-US" w:eastAsia="zh-CN"/>
            </w:rPr>
            <w:t>震前房屋改造阶段</w:t>
          </w:r>
          <w:r>
            <w:tab/>
          </w:r>
          <w:r>
            <w:fldChar w:fldCharType="begin"/>
          </w:r>
          <w:r>
            <w:instrText xml:space="preserve"> PAGEREF _Toc9129 \h </w:instrText>
          </w:r>
          <w:r>
            <w:fldChar w:fldCharType="separate"/>
          </w:r>
          <w:r>
            <w:t>18</w:t>
          </w:r>
          <w:r>
            <w:fldChar w:fldCharType="end"/>
          </w:r>
          <w:r>
            <w:fldChar w:fldCharType="end"/>
          </w:r>
        </w:p>
        <w:p w14:paraId="1FE8C599">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"_Toc19591" </w:instrText>
          </w:r>
          <w:r>
            <w:fldChar w:fldCharType="separate"/>
          </w:r>
          <w:r>
            <w:rPr>
              <w:rFonts w:hint="eastAsia"/>
              <w:highlight w:val="none"/>
              <w:lang w:val="en-US" w:eastAsia="zh-CN"/>
            </w:rPr>
            <w:t>1.5.2</w:t>
          </w:r>
          <w:r>
            <w:rPr>
              <w:rFonts w:hint="default"/>
              <w:highlight w:val="none"/>
              <w:lang w:val="en-US" w:eastAsia="zh-CN"/>
            </w:rPr>
            <w:t>灾后重建与村镇新建阶段</w:t>
          </w:r>
          <w:r>
            <w:tab/>
          </w:r>
          <w:r>
            <w:fldChar w:fldCharType="begin"/>
          </w:r>
          <w:r>
            <w:instrText xml:space="preserve"> PAGEREF _Toc19591 \h </w:instrText>
          </w:r>
          <w:r>
            <w:fldChar w:fldCharType="separate"/>
          </w:r>
          <w:r>
            <w:t>18</w:t>
          </w:r>
          <w:r>
            <w:fldChar w:fldCharType="end"/>
          </w:r>
          <w:r>
            <w:fldChar w:fldCharType="end"/>
          </w:r>
        </w:p>
        <w:p w14:paraId="1A94DEC6">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"_Toc30849" </w:instrText>
          </w:r>
          <w:r>
            <w:fldChar w:fldCharType="separate"/>
          </w:r>
          <w:r>
            <w:rPr>
              <w:rFonts w:hint="eastAsia"/>
              <w:highlight w:val="none"/>
              <w:lang w:val="en-US" w:eastAsia="zh-CN"/>
            </w:rPr>
            <w:t>1.5.3</w:t>
          </w:r>
          <w:r>
            <w:rPr>
              <w:rFonts w:hint="default"/>
              <w:highlight w:val="none"/>
              <w:lang w:val="en-US" w:eastAsia="zh-CN"/>
            </w:rPr>
            <w:t>社会效益</w:t>
          </w:r>
          <w:r>
            <w:tab/>
          </w:r>
          <w:r>
            <w:fldChar w:fldCharType="begin"/>
          </w:r>
          <w:r>
            <w:instrText xml:space="preserve"> PAGEREF _Toc30849 \h </w:instrText>
          </w:r>
          <w:r>
            <w:fldChar w:fldCharType="separate"/>
          </w:r>
          <w:r>
            <w:t>18</w:t>
          </w:r>
          <w:r>
            <w:fldChar w:fldCharType="end"/>
          </w:r>
          <w:r>
            <w:fldChar w:fldCharType="end"/>
          </w:r>
        </w:p>
        <w:p w14:paraId="0547E53C">
          <w:pPr>
            <w:pStyle w:val="13"/>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"_Toc5316" </w:instrText>
          </w:r>
          <w:r>
            <w:fldChar w:fldCharType="separate"/>
          </w:r>
          <w:r>
            <w:rPr>
              <w:rFonts w:hint="eastAsia"/>
              <w:highlight w:val="none"/>
              <w:lang w:val="en-US" w:eastAsia="zh-CN"/>
            </w:rPr>
            <w:t xml:space="preserve">第二章 </w:t>
          </w:r>
          <w:r>
            <w:rPr>
              <w:rFonts w:hint="default"/>
              <w:highlight w:val="none"/>
              <w:lang w:val="en-US" w:eastAsia="zh-CN"/>
            </w:rPr>
            <w:t>社会价值与政策契合</w:t>
          </w:r>
          <w:r>
            <w:tab/>
          </w:r>
          <w:r>
            <w:fldChar w:fldCharType="begin"/>
          </w:r>
          <w:r>
            <w:instrText xml:space="preserve"> PAGEREF _Toc5316 \h </w:instrText>
          </w:r>
          <w:r>
            <w:fldChar w:fldCharType="separate"/>
          </w:r>
          <w:r>
            <w:t>19</w:t>
          </w:r>
          <w:r>
            <w:fldChar w:fldCharType="end"/>
          </w:r>
          <w:r>
            <w:fldChar w:fldCharType="end"/>
          </w:r>
        </w:p>
        <w:p w14:paraId="63FACA64">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"_Toc25491" </w:instrText>
          </w:r>
          <w:r>
            <w:fldChar w:fldCharType="separate"/>
          </w:r>
          <w:r>
            <w:rPr>
              <w:rFonts w:hint="default"/>
              <w:highlight w:val="none"/>
              <w:lang w:val="en-US" w:eastAsia="zh-CN"/>
            </w:rPr>
            <w:t>2.1服务乡村振兴的具体场景</w:t>
          </w:r>
          <w:r>
            <w:tab/>
          </w:r>
          <w:r>
            <w:fldChar w:fldCharType="begin"/>
          </w:r>
          <w:r>
            <w:instrText xml:space="preserve"> PAGEREF _Toc25491 \h </w:instrText>
          </w:r>
          <w:r>
            <w:fldChar w:fldCharType="separate"/>
          </w:r>
          <w:r>
            <w:t>19</w:t>
          </w:r>
          <w:r>
            <w:fldChar w:fldCharType="end"/>
          </w:r>
          <w:r>
            <w:fldChar w:fldCharType="end"/>
          </w:r>
        </w:p>
        <w:p w14:paraId="090342E6">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"_Toc16339" </w:instrText>
          </w:r>
          <w:r>
            <w:fldChar w:fldCharType="separate"/>
          </w:r>
          <w:r>
            <w:rPr>
              <w:rFonts w:hint="eastAsia"/>
              <w:highlight w:val="none"/>
              <w:lang w:val="en-US" w:eastAsia="zh-CN"/>
            </w:rPr>
            <w:t>2.1.1</w:t>
          </w:r>
          <w:r>
            <w:rPr>
              <w:rFonts w:hint="default"/>
              <w:highlight w:val="none"/>
              <w:lang w:val="en-US" w:eastAsia="zh-CN"/>
            </w:rPr>
            <w:t>农村危房改造——经济困难户的</w:t>
          </w:r>
          <w:r>
            <w:rPr>
              <w:rFonts w:hint="eastAsia" w:cs="Times New Roman"/>
              <w:kern w:val="2"/>
              <w:szCs w:val="21"/>
              <w:highlight w:val="none"/>
              <w:lang w:val="en-US" w:eastAsia="zh-CN" w:bidi="ar-SA"/>
            </w:rPr>
            <w:t>“</w:t>
          </w:r>
          <w:r>
            <w:rPr>
              <w:rFonts w:hint="default"/>
              <w:highlight w:val="none"/>
              <w:lang w:val="en-US" w:eastAsia="zh-CN"/>
            </w:rPr>
            <w:t>安全资产</w:t>
          </w:r>
          <w:r>
            <w:rPr>
              <w:rFonts w:hint="eastAsia"/>
              <w:highlight w:val="none"/>
              <w:lang w:val="en-US" w:eastAsia="zh-CN"/>
            </w:rPr>
            <w:t>”</w:t>
          </w:r>
          <w:r>
            <w:rPr>
              <w:rFonts w:hint="default"/>
              <w:highlight w:val="none"/>
              <w:lang w:val="en-US" w:eastAsia="zh-CN"/>
            </w:rPr>
            <w:t>激活</w:t>
          </w:r>
          <w:r>
            <w:tab/>
          </w:r>
          <w:r>
            <w:fldChar w:fldCharType="begin"/>
          </w:r>
          <w:r>
            <w:instrText xml:space="preserve"> PAGEREF _Toc16339 \h </w:instrText>
          </w:r>
          <w:r>
            <w:fldChar w:fldCharType="separate"/>
          </w:r>
          <w:r>
            <w:t>19</w:t>
          </w:r>
          <w:r>
            <w:fldChar w:fldCharType="end"/>
          </w:r>
          <w:r>
            <w:fldChar w:fldCharType="end"/>
          </w:r>
        </w:p>
        <w:p w14:paraId="4B72253A">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"_Toc30393" </w:instrText>
          </w:r>
          <w:r>
            <w:fldChar w:fldCharType="separate"/>
          </w:r>
          <w:r>
            <w:rPr>
              <w:rFonts w:hint="eastAsia"/>
              <w:highlight w:val="none"/>
              <w:lang w:val="en-US" w:eastAsia="zh-CN"/>
            </w:rPr>
            <w:t>2.1.2</w:t>
          </w:r>
          <w:r>
            <w:rPr>
              <w:rFonts w:hint="default"/>
              <w:highlight w:val="none"/>
              <w:lang w:val="en-US" w:eastAsia="zh-CN"/>
            </w:rPr>
            <w:t>易地搬迁抗震升级——灾后重建</w:t>
          </w:r>
          <w:r>
            <w:rPr>
              <w:rFonts w:hint="eastAsia" w:cs="Times New Roman"/>
              <w:kern w:val="2"/>
              <w:szCs w:val="21"/>
              <w:highlight w:val="none"/>
              <w:lang w:val="en-US" w:eastAsia="zh-CN" w:bidi="ar-SA"/>
            </w:rPr>
            <w:t>“</w:t>
          </w:r>
          <w:r>
            <w:rPr>
              <w:rFonts w:hint="default"/>
              <w:highlight w:val="none"/>
              <w:lang w:val="en-US" w:eastAsia="zh-CN"/>
            </w:rPr>
            <w:t>韧性社区</w:t>
          </w:r>
          <w:r>
            <w:rPr>
              <w:rFonts w:hint="eastAsia"/>
              <w:highlight w:val="none"/>
              <w:lang w:val="en-US" w:eastAsia="zh-CN"/>
            </w:rPr>
            <w:t>”</w:t>
          </w:r>
          <w:r>
            <w:rPr>
              <w:rFonts w:hint="default"/>
              <w:highlight w:val="none"/>
              <w:lang w:val="en-US" w:eastAsia="zh-CN"/>
            </w:rPr>
            <w:t>构建</w:t>
          </w:r>
          <w:r>
            <w:tab/>
          </w:r>
          <w:r>
            <w:fldChar w:fldCharType="begin"/>
          </w:r>
          <w:r>
            <w:instrText xml:space="preserve"> PAGEREF _Toc30393 \h </w:instrText>
          </w:r>
          <w:r>
            <w:fldChar w:fldCharType="separate"/>
          </w:r>
          <w:r>
            <w:t>19</w:t>
          </w:r>
          <w:r>
            <w:fldChar w:fldCharType="end"/>
          </w:r>
          <w:r>
            <w:fldChar w:fldCharType="end"/>
          </w:r>
        </w:p>
        <w:p w14:paraId="4798BB82">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"_Toc15875" </w:instrText>
          </w:r>
          <w:r>
            <w:fldChar w:fldCharType="separate"/>
          </w:r>
          <w:r>
            <w:rPr>
              <w:rFonts w:hint="eastAsia"/>
              <w:highlight w:val="none"/>
              <w:lang w:val="en-US" w:eastAsia="zh-CN"/>
            </w:rPr>
            <w:t>2.1.3</w:t>
          </w:r>
          <w:r>
            <w:rPr>
              <w:rFonts w:hint="default"/>
              <w:highlight w:val="none"/>
              <w:lang w:val="en-US" w:eastAsia="zh-CN"/>
            </w:rPr>
            <w:t>乡村公共建筑加固——守护民生服务的</w:t>
          </w:r>
          <w:r>
            <w:rPr>
              <w:rFonts w:hint="eastAsia" w:cs="Times New Roman"/>
              <w:kern w:val="2"/>
              <w:szCs w:val="21"/>
              <w:highlight w:val="none"/>
              <w:lang w:val="en-US" w:eastAsia="zh-CN" w:bidi="ar-SA"/>
            </w:rPr>
            <w:t>“</w:t>
          </w:r>
          <w:r>
            <w:rPr>
              <w:rFonts w:hint="default"/>
              <w:highlight w:val="none"/>
              <w:lang w:val="en-US" w:eastAsia="zh-CN"/>
            </w:rPr>
            <w:t>生命线</w:t>
          </w:r>
          <w:r>
            <w:rPr>
              <w:rFonts w:hint="eastAsia"/>
              <w:highlight w:val="none"/>
              <w:lang w:val="en-US" w:eastAsia="zh-CN"/>
            </w:rPr>
            <w:t>”</w:t>
          </w:r>
          <w:r>
            <w:tab/>
          </w:r>
          <w:r>
            <w:fldChar w:fldCharType="begin"/>
          </w:r>
          <w:r>
            <w:instrText xml:space="preserve"> PAGEREF _Toc15875 \h </w:instrText>
          </w:r>
          <w:r>
            <w:fldChar w:fldCharType="separate"/>
          </w:r>
          <w:r>
            <w:t>20</w:t>
          </w:r>
          <w:r>
            <w:fldChar w:fldCharType="end"/>
          </w:r>
          <w:r>
            <w:fldChar w:fldCharType="end"/>
          </w:r>
        </w:p>
        <w:p w14:paraId="507B7BDA">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"_Toc30565" </w:instrText>
          </w:r>
          <w:r>
            <w:fldChar w:fldCharType="separate"/>
          </w:r>
          <w:r>
            <w:rPr>
              <w:rFonts w:hint="default"/>
              <w:highlight w:val="none"/>
              <w:lang w:val="en-US" w:eastAsia="zh-CN"/>
            </w:rPr>
            <w:t>2.2与联合国可持续发展目标（SDGs）的关联</w:t>
          </w:r>
          <w:r>
            <w:tab/>
          </w:r>
          <w:r>
            <w:fldChar w:fldCharType="begin"/>
          </w:r>
          <w:r>
            <w:instrText xml:space="preserve"> PAGEREF _Toc30565 \h </w:instrText>
          </w:r>
          <w:r>
            <w:fldChar w:fldCharType="separate"/>
          </w:r>
          <w:r>
            <w:t>22</w:t>
          </w:r>
          <w:r>
            <w:fldChar w:fldCharType="end"/>
          </w:r>
          <w:r>
            <w:fldChar w:fldCharType="end"/>
          </w:r>
        </w:p>
        <w:p w14:paraId="2F3E87C4">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"_Toc25586" </w:instrText>
          </w:r>
          <w:r>
            <w:fldChar w:fldCharType="separate"/>
          </w:r>
          <w:r>
            <w:rPr>
              <w:rFonts w:hint="default"/>
              <w:highlight w:val="none"/>
              <w:lang w:val="en-US" w:eastAsia="zh-CN"/>
            </w:rPr>
            <w:t>2.</w:t>
          </w:r>
          <w:r>
            <w:rPr>
              <w:rFonts w:hint="eastAsia"/>
              <w:highlight w:val="none"/>
              <w:lang w:val="en-US" w:eastAsia="zh-CN"/>
            </w:rPr>
            <w:t>3隔震科普</w:t>
          </w:r>
          <w:r>
            <w:tab/>
          </w:r>
          <w:r>
            <w:fldChar w:fldCharType="begin"/>
          </w:r>
          <w:r>
            <w:instrText xml:space="preserve"> PAGEREF _Toc25586 \h </w:instrText>
          </w:r>
          <w:r>
            <w:fldChar w:fldCharType="separate"/>
          </w:r>
          <w:r>
            <w:t>24</w:t>
          </w:r>
          <w:r>
            <w:fldChar w:fldCharType="end"/>
          </w:r>
          <w:r>
            <w:fldChar w:fldCharType="end"/>
          </w:r>
        </w:p>
        <w:p w14:paraId="3656AC9E">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"_Toc16607" </w:instrText>
          </w:r>
          <w:r>
            <w:fldChar w:fldCharType="separate"/>
          </w:r>
          <w:r>
            <w:rPr>
              <w:rFonts w:hint="default"/>
              <w:highlight w:val="none"/>
              <w:lang w:val="en-US" w:eastAsia="zh-CN"/>
            </w:rPr>
            <w:t>2.4乡村振兴防返贫机制创新</w:t>
          </w:r>
          <w:r>
            <w:tab/>
          </w:r>
          <w:r>
            <w:fldChar w:fldCharType="begin"/>
          </w:r>
          <w:r>
            <w:instrText xml:space="preserve"> PAGEREF _Toc16607 \h </w:instrText>
          </w:r>
          <w:r>
            <w:fldChar w:fldCharType="separate"/>
          </w:r>
          <w:r>
            <w:t>24</w:t>
          </w:r>
          <w:r>
            <w:fldChar w:fldCharType="end"/>
          </w:r>
          <w:r>
            <w:fldChar w:fldCharType="end"/>
          </w:r>
        </w:p>
        <w:p w14:paraId="4148F150">
          <w:pPr>
            <w:pStyle w:val="13"/>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"_Toc15433" </w:instrText>
          </w:r>
          <w:r>
            <w:fldChar w:fldCharType="separate"/>
          </w:r>
          <w:r>
            <w:rPr>
              <w:rFonts w:hint="eastAsia"/>
              <w:highlight w:val="none"/>
              <w:lang w:val="en-US" w:eastAsia="zh-CN"/>
            </w:rPr>
            <w:t xml:space="preserve">第三章 </w:t>
          </w:r>
          <w:r>
            <w:rPr>
              <w:rFonts w:hint="default"/>
              <w:highlight w:val="none"/>
              <w:lang w:val="en-US" w:eastAsia="zh-CN"/>
            </w:rPr>
            <w:t>市场机遇分析及趋势分析</w:t>
          </w:r>
          <w:r>
            <w:tab/>
          </w:r>
          <w:r>
            <w:fldChar w:fldCharType="begin"/>
          </w:r>
          <w:r>
            <w:instrText xml:space="preserve"> PAGEREF _Toc15433 \h </w:instrText>
          </w:r>
          <w:r>
            <w:fldChar w:fldCharType="separate"/>
          </w:r>
          <w:r>
            <w:t>26</w:t>
          </w:r>
          <w:r>
            <w:fldChar w:fldCharType="end"/>
          </w:r>
          <w:r>
            <w:fldChar w:fldCharType="end"/>
          </w:r>
        </w:p>
        <w:p w14:paraId="66C07B5D">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"_Toc26030" </w:instrText>
          </w:r>
          <w:r>
            <w:fldChar w:fldCharType="separate"/>
          </w:r>
          <w:r>
            <w:rPr>
              <w:rFonts w:hint="eastAsia"/>
              <w:highlight w:val="none"/>
              <w:lang w:val="en-US" w:eastAsia="zh-CN"/>
            </w:rPr>
            <w:t>3.1抗震产业发展背景</w:t>
          </w:r>
          <w:r>
            <w:tab/>
          </w:r>
          <w:r>
            <w:fldChar w:fldCharType="begin"/>
          </w:r>
          <w:r>
            <w:instrText xml:space="preserve"> PAGEREF _Toc26030 \h </w:instrText>
          </w:r>
          <w:r>
            <w:fldChar w:fldCharType="separate"/>
          </w:r>
          <w:r>
            <w:t>26</w:t>
          </w:r>
          <w:r>
            <w:fldChar w:fldCharType="end"/>
          </w:r>
          <w:r>
            <w:fldChar w:fldCharType="end"/>
          </w:r>
        </w:p>
        <w:p w14:paraId="2D3F1332">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"_Toc24579" </w:instrText>
          </w:r>
          <w:r>
            <w:fldChar w:fldCharType="separate"/>
          </w:r>
          <w:r>
            <w:rPr>
              <w:rFonts w:hint="eastAsia"/>
              <w:highlight w:val="none"/>
              <w:lang w:val="en-US" w:eastAsia="zh-CN"/>
            </w:rPr>
            <w:t>3.1.1社会需求觉醒：从灾后教训到政策与媒体的双重驱动</w:t>
          </w:r>
          <w:r>
            <w:tab/>
          </w:r>
          <w:r>
            <w:fldChar w:fldCharType="begin"/>
          </w:r>
          <w:r>
            <w:instrText xml:space="preserve"> PAGEREF _Toc24579 \h </w:instrText>
          </w:r>
          <w:r>
            <w:fldChar w:fldCharType="separate"/>
          </w:r>
          <w:r>
            <w:t>26</w:t>
          </w:r>
          <w:r>
            <w:fldChar w:fldCharType="end"/>
          </w:r>
          <w:r>
            <w:fldChar w:fldCharType="end"/>
          </w:r>
        </w:p>
        <w:p w14:paraId="2169D0D3">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"_Toc28966" </w:instrText>
          </w:r>
          <w:r>
            <w:fldChar w:fldCharType="separate"/>
          </w:r>
          <w:r>
            <w:rPr>
              <w:rFonts w:hint="default"/>
              <w:highlight w:val="none"/>
              <w:lang w:val="en-US" w:eastAsia="zh-CN"/>
            </w:rPr>
            <w:t>3.</w:t>
          </w:r>
          <w:r>
            <w:rPr>
              <w:rFonts w:hint="eastAsia"/>
              <w:highlight w:val="none"/>
              <w:lang w:val="en-US" w:eastAsia="zh-CN"/>
            </w:rPr>
            <w:t>2市场隔震</w:t>
          </w:r>
          <w:r>
            <w:rPr>
              <w:rFonts w:hint="default"/>
              <w:highlight w:val="none"/>
              <w:lang w:val="en-US" w:eastAsia="zh-CN"/>
            </w:rPr>
            <w:t>需求规模</w:t>
          </w:r>
          <w:r>
            <w:tab/>
          </w:r>
          <w:r>
            <w:fldChar w:fldCharType="begin"/>
          </w:r>
          <w:r>
            <w:instrText xml:space="preserve"> PAGEREF _Toc28966 \h </w:instrText>
          </w:r>
          <w:r>
            <w:fldChar w:fldCharType="separate"/>
          </w:r>
          <w:r>
            <w:t>30</w:t>
          </w:r>
          <w:r>
            <w:fldChar w:fldCharType="end"/>
          </w:r>
          <w:r>
            <w:fldChar w:fldCharType="end"/>
          </w:r>
        </w:p>
        <w:p w14:paraId="50C2321E">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"_Toc21065" </w:instrText>
          </w:r>
          <w:r>
            <w:fldChar w:fldCharType="separate"/>
          </w:r>
          <w:r>
            <w:rPr>
              <w:rFonts w:hint="eastAsia"/>
              <w:highlight w:val="none"/>
              <w:lang w:val="en-US" w:eastAsia="zh-CN"/>
            </w:rPr>
            <w:t>3.2.1村镇建筑隔震市场</w:t>
          </w:r>
          <w:r>
            <w:tab/>
          </w:r>
          <w:r>
            <w:fldChar w:fldCharType="begin"/>
          </w:r>
          <w:r>
            <w:instrText xml:space="preserve"> PAGEREF _Toc21065 \h </w:instrText>
          </w:r>
          <w:r>
            <w:fldChar w:fldCharType="separate"/>
          </w:r>
          <w:r>
            <w:t>30</w:t>
          </w:r>
          <w:r>
            <w:fldChar w:fldCharType="end"/>
          </w:r>
          <w:r>
            <w:fldChar w:fldCharType="end"/>
          </w:r>
        </w:p>
        <w:p w14:paraId="7A86FD7A">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"_Toc29285" </w:instrText>
          </w:r>
          <w:r>
            <w:fldChar w:fldCharType="separate"/>
          </w:r>
          <w:r>
            <w:rPr>
              <w:rFonts w:hint="eastAsia"/>
              <w:highlight w:val="none"/>
              <w:lang w:val="en-US" w:eastAsia="zh-CN"/>
            </w:rPr>
            <w:t>3.2.2需求增长预测</w:t>
          </w:r>
          <w:r>
            <w:tab/>
          </w:r>
          <w:r>
            <w:fldChar w:fldCharType="begin"/>
          </w:r>
          <w:r>
            <w:instrText xml:space="preserve"> PAGEREF _Toc29285 \h </w:instrText>
          </w:r>
          <w:r>
            <w:fldChar w:fldCharType="separate"/>
          </w:r>
          <w:r>
            <w:t>31</w:t>
          </w:r>
          <w:r>
            <w:fldChar w:fldCharType="end"/>
          </w:r>
          <w:r>
            <w:fldChar w:fldCharType="end"/>
          </w:r>
        </w:p>
        <w:p w14:paraId="418C5F56">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"_Toc1014" </w:instrText>
          </w:r>
          <w:r>
            <w:fldChar w:fldCharType="separate"/>
          </w:r>
          <w:r>
            <w:rPr>
              <w:rFonts w:hint="default"/>
              <w:highlight w:val="none"/>
              <w:lang w:val="en-US" w:eastAsia="zh-CN"/>
            </w:rPr>
            <w:t>3.3抗震产业链</w:t>
          </w:r>
          <w:r>
            <w:tab/>
          </w:r>
          <w:r>
            <w:fldChar w:fldCharType="begin"/>
          </w:r>
          <w:r>
            <w:instrText xml:space="preserve"> PAGEREF _Toc1014 \h </w:instrText>
          </w:r>
          <w:r>
            <w:fldChar w:fldCharType="separate"/>
          </w:r>
          <w:r>
            <w:t>32</w:t>
          </w:r>
          <w:r>
            <w:fldChar w:fldCharType="end"/>
          </w:r>
          <w:r>
            <w:fldChar w:fldCharType="end"/>
          </w:r>
        </w:p>
        <w:p w14:paraId="1108C2C6">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"_Toc1099" </w:instrText>
          </w:r>
          <w:r>
            <w:fldChar w:fldCharType="separate"/>
          </w:r>
          <w:r>
            <w:rPr>
              <w:rFonts w:hint="eastAsia"/>
              <w:highlight w:val="none"/>
              <w:lang w:val="en-US" w:eastAsia="zh-CN"/>
            </w:rPr>
            <w:t>3.3.1上游端</w:t>
          </w:r>
          <w:r>
            <w:tab/>
          </w:r>
          <w:r>
            <w:fldChar w:fldCharType="begin"/>
          </w:r>
          <w:r>
            <w:instrText xml:space="preserve"> PAGEREF _Toc1099 \h </w:instrText>
          </w:r>
          <w:r>
            <w:fldChar w:fldCharType="separate"/>
          </w:r>
          <w:r>
            <w:t>32</w:t>
          </w:r>
          <w:r>
            <w:fldChar w:fldCharType="end"/>
          </w:r>
          <w:r>
            <w:fldChar w:fldCharType="end"/>
          </w:r>
        </w:p>
        <w:p w14:paraId="2AD7DB2F">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"_Toc1062" </w:instrText>
          </w:r>
          <w:r>
            <w:fldChar w:fldCharType="separate"/>
          </w:r>
          <w:r>
            <w:rPr>
              <w:rFonts w:hint="eastAsia"/>
              <w:highlight w:val="none"/>
              <w:lang w:val="en-US" w:eastAsia="zh-CN"/>
            </w:rPr>
            <w:t>3.3.2下游端</w:t>
          </w:r>
          <w:r>
            <w:tab/>
          </w:r>
          <w:r>
            <w:fldChar w:fldCharType="begin"/>
          </w:r>
          <w:r>
            <w:instrText xml:space="preserve"> PAGEREF _Toc1062 \h </w:instrText>
          </w:r>
          <w:r>
            <w:fldChar w:fldCharType="separate"/>
          </w:r>
          <w:r>
            <w:t>33</w:t>
          </w:r>
          <w:r>
            <w:fldChar w:fldCharType="end"/>
          </w:r>
          <w:r>
            <w:fldChar w:fldCharType="end"/>
          </w:r>
        </w:p>
        <w:p w14:paraId="190B2C5F">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"_Toc25141" </w:instrText>
          </w:r>
          <w:r>
            <w:fldChar w:fldCharType="separate"/>
          </w:r>
          <w:r>
            <w:rPr>
              <w:rFonts w:hint="eastAsia"/>
              <w:highlight w:val="none"/>
              <w:lang w:val="en-US" w:eastAsia="zh-CN"/>
            </w:rPr>
            <w:t>3.4市场竞争分析</w:t>
          </w:r>
          <w:r>
            <w:tab/>
          </w:r>
          <w:r>
            <w:fldChar w:fldCharType="begin"/>
          </w:r>
          <w:r>
            <w:instrText xml:space="preserve"> PAGEREF _Toc25141 \h </w:instrText>
          </w:r>
          <w:r>
            <w:fldChar w:fldCharType="separate"/>
          </w:r>
          <w:r>
            <w:t>34</w:t>
          </w:r>
          <w:r>
            <w:fldChar w:fldCharType="end"/>
          </w:r>
          <w:r>
            <w:fldChar w:fldCharType="end"/>
          </w:r>
        </w:p>
        <w:p w14:paraId="4396EF27">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"_Toc20117" </w:instrText>
          </w:r>
          <w:r>
            <w:fldChar w:fldCharType="separate"/>
          </w:r>
          <w:r>
            <w:rPr>
              <w:rFonts w:hint="eastAsia"/>
              <w:highlight w:val="none"/>
              <w:lang w:val="en-US" w:eastAsia="zh-CN"/>
            </w:rPr>
            <w:t>3.4.1技术优势</w:t>
          </w:r>
          <w:r>
            <w:tab/>
          </w:r>
          <w:r>
            <w:fldChar w:fldCharType="begin"/>
          </w:r>
          <w:r>
            <w:instrText xml:space="preserve"> PAGEREF _Toc20117 \h </w:instrText>
          </w:r>
          <w:r>
            <w:fldChar w:fldCharType="separate"/>
          </w:r>
          <w:r>
            <w:t>34</w:t>
          </w:r>
          <w:r>
            <w:fldChar w:fldCharType="end"/>
          </w:r>
          <w:r>
            <w:fldChar w:fldCharType="end"/>
          </w:r>
        </w:p>
        <w:p w14:paraId="42D272E6">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"_Toc22400" </w:instrText>
          </w:r>
          <w:r>
            <w:fldChar w:fldCharType="separate"/>
          </w:r>
          <w:r>
            <w:rPr>
              <w:rFonts w:hint="eastAsia"/>
              <w:highlight w:val="none"/>
              <w:lang w:val="en-US" w:eastAsia="zh-CN"/>
            </w:rPr>
            <w:t>3.4.2渠道优势</w:t>
          </w:r>
          <w:r>
            <w:tab/>
          </w:r>
          <w:r>
            <w:fldChar w:fldCharType="begin"/>
          </w:r>
          <w:r>
            <w:instrText xml:space="preserve"> PAGEREF _Toc22400 \h </w:instrText>
          </w:r>
          <w:r>
            <w:fldChar w:fldCharType="separate"/>
          </w:r>
          <w:r>
            <w:t>34</w:t>
          </w:r>
          <w:r>
            <w:fldChar w:fldCharType="end"/>
          </w:r>
          <w:r>
            <w:fldChar w:fldCharType="end"/>
          </w:r>
        </w:p>
        <w:p w14:paraId="79C181F4">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"_Toc28048" </w:instrText>
          </w:r>
          <w:r>
            <w:fldChar w:fldCharType="separate"/>
          </w:r>
          <w:r>
            <w:rPr>
              <w:rFonts w:hint="eastAsia"/>
              <w:highlight w:val="none"/>
              <w:lang w:val="en-US" w:eastAsia="zh-CN"/>
            </w:rPr>
            <w:t>3.4.3经济性优势</w:t>
          </w:r>
          <w:r>
            <w:tab/>
          </w:r>
          <w:r>
            <w:fldChar w:fldCharType="begin"/>
          </w:r>
          <w:r>
            <w:instrText xml:space="preserve"> PAGEREF _Toc28048 \h </w:instrText>
          </w:r>
          <w:r>
            <w:fldChar w:fldCharType="separate"/>
          </w:r>
          <w:r>
            <w:t>35</w:t>
          </w:r>
          <w:r>
            <w:fldChar w:fldCharType="end"/>
          </w:r>
          <w:r>
            <w:fldChar w:fldCharType="end"/>
          </w:r>
        </w:p>
        <w:p w14:paraId="72B5626D">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"_Toc2072" </w:instrText>
          </w:r>
          <w:r>
            <w:fldChar w:fldCharType="separate"/>
          </w:r>
          <w:r>
            <w:rPr>
              <w:rFonts w:hint="default"/>
              <w:highlight w:val="none"/>
              <w:lang w:val="en-US" w:eastAsia="zh-CN"/>
            </w:rPr>
            <w:t>3.5抗震行业未来发展趋势分析</w:t>
          </w:r>
          <w:r>
            <w:tab/>
          </w:r>
          <w:r>
            <w:fldChar w:fldCharType="begin"/>
          </w:r>
          <w:r>
            <w:instrText xml:space="preserve"> PAGEREF _Toc2072 \h </w:instrText>
          </w:r>
          <w:r>
            <w:fldChar w:fldCharType="separate"/>
          </w:r>
          <w:r>
            <w:t>36</w:t>
          </w:r>
          <w:r>
            <w:fldChar w:fldCharType="end"/>
          </w:r>
          <w:r>
            <w:fldChar w:fldCharType="end"/>
          </w:r>
        </w:p>
        <w:p w14:paraId="083B6E1C">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"_Toc17065" </w:instrText>
          </w:r>
          <w:r>
            <w:fldChar w:fldCharType="separate"/>
          </w:r>
          <w:r>
            <w:rPr>
              <w:rFonts w:hint="default"/>
              <w:highlight w:val="none"/>
              <w:lang w:val="en-US" w:eastAsia="zh-CN"/>
            </w:rPr>
            <w:t>3.</w:t>
          </w:r>
          <w:r>
            <w:rPr>
              <w:rFonts w:hint="eastAsia"/>
              <w:highlight w:val="none"/>
              <w:lang w:val="en-US" w:eastAsia="zh-CN"/>
            </w:rPr>
            <w:t>5</w:t>
          </w:r>
          <w:r>
            <w:rPr>
              <w:rFonts w:hint="default"/>
              <w:highlight w:val="none"/>
              <w:lang w:val="en-US" w:eastAsia="zh-CN"/>
            </w:rPr>
            <w:t>.1需求侧应用不足，技术推广面临瓶颈</w:t>
          </w:r>
          <w:r>
            <w:tab/>
          </w:r>
          <w:r>
            <w:fldChar w:fldCharType="begin"/>
          </w:r>
          <w:r>
            <w:instrText xml:space="preserve"> PAGEREF _Toc17065 \h </w:instrText>
          </w:r>
          <w:r>
            <w:fldChar w:fldCharType="separate"/>
          </w:r>
          <w:r>
            <w:t>36</w:t>
          </w:r>
          <w:r>
            <w:fldChar w:fldCharType="end"/>
          </w:r>
          <w:r>
            <w:fldChar w:fldCharType="end"/>
          </w:r>
        </w:p>
        <w:p w14:paraId="396B9405">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"_Toc17201" </w:instrText>
          </w:r>
          <w:r>
            <w:fldChar w:fldCharType="separate"/>
          </w:r>
          <w:r>
            <w:rPr>
              <w:rFonts w:hint="default"/>
              <w:highlight w:val="none"/>
              <w:lang w:val="en-US" w:eastAsia="zh-CN"/>
            </w:rPr>
            <w:t>3.</w:t>
          </w:r>
          <w:r>
            <w:rPr>
              <w:rFonts w:hint="eastAsia"/>
              <w:highlight w:val="none"/>
              <w:lang w:val="en-US" w:eastAsia="zh-CN"/>
            </w:rPr>
            <w:t>5</w:t>
          </w:r>
          <w:r>
            <w:rPr>
              <w:rFonts w:hint="default"/>
              <w:highlight w:val="none"/>
              <w:lang w:val="en-US" w:eastAsia="zh-CN"/>
            </w:rPr>
            <w:t>.2政策驱动与标准体系完善助推行业提速发展</w:t>
          </w:r>
          <w:r>
            <w:tab/>
          </w:r>
          <w:r>
            <w:fldChar w:fldCharType="begin"/>
          </w:r>
          <w:r>
            <w:instrText xml:space="preserve"> PAGEREF _Toc17201 \h </w:instrText>
          </w:r>
          <w:r>
            <w:fldChar w:fldCharType="separate"/>
          </w:r>
          <w:r>
            <w:t>37</w:t>
          </w:r>
          <w:r>
            <w:fldChar w:fldCharType="end"/>
          </w:r>
          <w:r>
            <w:fldChar w:fldCharType="end"/>
          </w:r>
        </w:p>
        <w:p w14:paraId="23925058">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"_Toc20775" </w:instrText>
          </w:r>
          <w:r>
            <w:fldChar w:fldCharType="separate"/>
          </w:r>
          <w:r>
            <w:rPr>
              <w:rFonts w:hint="default"/>
              <w:highlight w:val="none"/>
              <w:lang w:val="en-US" w:eastAsia="zh-CN"/>
            </w:rPr>
            <w:t>3.</w:t>
          </w:r>
          <w:r>
            <w:rPr>
              <w:rFonts w:hint="eastAsia"/>
              <w:highlight w:val="none"/>
              <w:lang w:val="en-US" w:eastAsia="zh-CN"/>
            </w:rPr>
            <w:t>5</w:t>
          </w:r>
          <w:r>
            <w:rPr>
              <w:rFonts w:hint="default"/>
              <w:highlight w:val="none"/>
              <w:lang w:val="en-US" w:eastAsia="zh-CN"/>
            </w:rPr>
            <w:t>.3产业链协同创新与服务体系构建成破局关键</w:t>
          </w:r>
          <w:r>
            <w:tab/>
          </w:r>
          <w:r>
            <w:fldChar w:fldCharType="begin"/>
          </w:r>
          <w:r>
            <w:instrText xml:space="preserve"> PAGEREF _Toc20775 \h </w:instrText>
          </w:r>
          <w:r>
            <w:fldChar w:fldCharType="separate"/>
          </w:r>
          <w:r>
            <w:t>38</w:t>
          </w:r>
          <w:r>
            <w:fldChar w:fldCharType="end"/>
          </w:r>
          <w:r>
            <w:fldChar w:fldCharType="end"/>
          </w:r>
        </w:p>
        <w:p w14:paraId="04945DC0">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"_Toc11783" </w:instrText>
          </w:r>
          <w:r>
            <w:fldChar w:fldCharType="separate"/>
          </w:r>
          <w:r>
            <w:rPr>
              <w:rFonts w:hint="default"/>
              <w:highlight w:val="none"/>
              <w:lang w:val="en-US" w:eastAsia="zh-CN"/>
            </w:rPr>
            <w:t>3.</w:t>
          </w:r>
          <w:r>
            <w:rPr>
              <w:rFonts w:hint="eastAsia"/>
              <w:highlight w:val="none"/>
              <w:lang w:val="en-US" w:eastAsia="zh-CN"/>
            </w:rPr>
            <w:t>5</w:t>
          </w:r>
          <w:r>
            <w:rPr>
              <w:rFonts w:hint="default"/>
              <w:highlight w:val="none"/>
              <w:lang w:val="en-US" w:eastAsia="zh-CN"/>
            </w:rPr>
            <w:t>.4挑战与机遇并存，行业进入结构化升级期</w:t>
          </w:r>
          <w:r>
            <w:tab/>
          </w:r>
          <w:r>
            <w:fldChar w:fldCharType="begin"/>
          </w:r>
          <w:r>
            <w:instrText xml:space="preserve"> PAGEREF _Toc11783 \h </w:instrText>
          </w:r>
          <w:r>
            <w:fldChar w:fldCharType="separate"/>
          </w:r>
          <w:r>
            <w:t>38</w:t>
          </w:r>
          <w:r>
            <w:fldChar w:fldCharType="end"/>
          </w:r>
          <w:r>
            <w:fldChar w:fldCharType="end"/>
          </w:r>
        </w:p>
        <w:p w14:paraId="3ABAB3EE">
          <w:pPr>
            <w:pStyle w:val="13"/>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"_Toc8906" </w:instrText>
          </w:r>
          <w:r>
            <w:fldChar w:fldCharType="separate"/>
          </w:r>
          <w:r>
            <w:rPr>
              <w:rFonts w:hint="eastAsia"/>
              <w:highlight w:val="none"/>
              <w:lang w:val="en-US" w:eastAsia="zh-CN"/>
            </w:rPr>
            <w:t xml:space="preserve">第四章 </w:t>
          </w:r>
          <w:r>
            <w:rPr>
              <w:rFonts w:hint="default"/>
              <w:highlight w:val="none"/>
              <w:lang w:val="en-US" w:eastAsia="zh-CN"/>
            </w:rPr>
            <w:t>产品与服务</w:t>
          </w:r>
          <w:r>
            <w:tab/>
          </w:r>
          <w:r>
            <w:fldChar w:fldCharType="begin"/>
          </w:r>
          <w:r>
            <w:instrText xml:space="preserve"> PAGEREF _Toc8906 \h </w:instrText>
          </w:r>
          <w:r>
            <w:fldChar w:fldCharType="separate"/>
          </w:r>
          <w:r>
            <w:t>40</w:t>
          </w:r>
          <w:r>
            <w:fldChar w:fldCharType="end"/>
          </w:r>
          <w:r>
            <w:fldChar w:fldCharType="end"/>
          </w:r>
        </w:p>
        <w:p w14:paraId="72EAE741">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"_Toc839" </w:instrText>
          </w:r>
          <w:r>
            <w:fldChar w:fldCharType="separate"/>
          </w:r>
          <w:r>
            <w:rPr>
              <w:rFonts w:hint="default"/>
              <w:highlight w:val="none"/>
              <w:lang w:val="en-US" w:eastAsia="zh-CN"/>
            </w:rPr>
            <w:t>4.1技术</w:t>
          </w:r>
          <w:r>
            <w:rPr>
              <w:rFonts w:hint="eastAsia"/>
              <w:highlight w:val="none"/>
              <w:lang w:val="en-US" w:eastAsia="zh-CN"/>
            </w:rPr>
            <w:t>创新性与原理</w:t>
          </w:r>
          <w:r>
            <w:tab/>
          </w:r>
          <w:r>
            <w:fldChar w:fldCharType="begin"/>
          </w:r>
          <w:r>
            <w:instrText xml:space="preserve"> PAGEREF _Toc839 \h </w:instrText>
          </w:r>
          <w:r>
            <w:fldChar w:fldCharType="separate"/>
          </w:r>
          <w:r>
            <w:t>40</w:t>
          </w:r>
          <w:r>
            <w:fldChar w:fldCharType="end"/>
          </w:r>
          <w:r>
            <w:fldChar w:fldCharType="end"/>
          </w:r>
        </w:p>
        <w:p w14:paraId="37648CD8">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"_Toc17073" </w:instrText>
          </w:r>
          <w:r>
            <w:fldChar w:fldCharType="separate"/>
          </w:r>
          <w:r>
            <w:rPr>
              <w:rFonts w:hint="eastAsia"/>
              <w:highlight w:val="none"/>
              <w:lang w:val="en-US" w:eastAsia="zh-CN"/>
            </w:rPr>
            <w:t>4.1.1创新性</w:t>
          </w:r>
          <w:r>
            <w:tab/>
          </w:r>
          <w:r>
            <w:fldChar w:fldCharType="begin"/>
          </w:r>
          <w:r>
            <w:instrText xml:space="preserve"> PAGEREF _Toc17073 \h </w:instrText>
          </w:r>
          <w:r>
            <w:fldChar w:fldCharType="separate"/>
          </w:r>
          <w:r>
            <w:t>40</w:t>
          </w:r>
          <w:r>
            <w:fldChar w:fldCharType="end"/>
          </w:r>
          <w:r>
            <w:fldChar w:fldCharType="end"/>
          </w:r>
        </w:p>
        <w:p w14:paraId="23104028">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"_Toc19014" </w:instrText>
          </w:r>
          <w:r>
            <w:fldChar w:fldCharType="separate"/>
          </w:r>
          <w:r>
            <w:rPr>
              <w:rFonts w:hint="eastAsia"/>
              <w:highlight w:val="none"/>
              <w:lang w:val="en-US" w:eastAsia="zh-CN"/>
            </w:rPr>
            <w:t>4.1.2技术原理</w:t>
          </w:r>
          <w:r>
            <w:tab/>
          </w:r>
          <w:r>
            <w:fldChar w:fldCharType="begin"/>
          </w:r>
          <w:r>
            <w:instrText xml:space="preserve"> PAGEREF _Toc19014 \h </w:instrText>
          </w:r>
          <w:r>
            <w:fldChar w:fldCharType="separate"/>
          </w:r>
          <w:r>
            <w:t>41</w:t>
          </w:r>
          <w:r>
            <w:fldChar w:fldCharType="end"/>
          </w:r>
          <w:r>
            <w:fldChar w:fldCharType="end"/>
          </w:r>
        </w:p>
        <w:p w14:paraId="30718118">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"_Toc26816" </w:instrText>
          </w:r>
          <w:r>
            <w:fldChar w:fldCharType="separate"/>
          </w:r>
          <w:r>
            <w:rPr>
              <w:rFonts w:hint="eastAsia"/>
              <w:highlight w:val="none"/>
              <w:lang w:val="en-US" w:eastAsia="zh-CN"/>
            </w:rPr>
            <w:t>4.2研究历程</w:t>
          </w:r>
          <w:r>
            <w:tab/>
          </w:r>
          <w:r>
            <w:fldChar w:fldCharType="begin"/>
          </w:r>
          <w:r>
            <w:instrText xml:space="preserve"> PAGEREF _Toc26816 \h </w:instrText>
          </w:r>
          <w:r>
            <w:fldChar w:fldCharType="separate"/>
          </w:r>
          <w:r>
            <w:t>44</w:t>
          </w:r>
          <w:r>
            <w:fldChar w:fldCharType="end"/>
          </w:r>
          <w:r>
            <w:fldChar w:fldCharType="end"/>
          </w:r>
        </w:p>
        <w:p w14:paraId="5D55A16B">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"_Toc6546" </w:instrText>
          </w:r>
          <w:r>
            <w:fldChar w:fldCharType="separate"/>
          </w:r>
          <w:r>
            <w:rPr>
              <w:rFonts w:hint="default"/>
              <w:highlight w:val="none"/>
              <w:lang w:val="en-US" w:eastAsia="zh-CN"/>
            </w:rPr>
            <w:t>4.</w:t>
          </w:r>
          <w:r>
            <w:rPr>
              <w:rFonts w:hint="eastAsia"/>
              <w:highlight w:val="none"/>
              <w:lang w:val="en-US" w:eastAsia="zh-CN"/>
            </w:rPr>
            <w:t>3</w:t>
          </w:r>
          <w:r>
            <w:rPr>
              <w:rFonts w:hint="default"/>
              <w:highlight w:val="none"/>
              <w:lang w:val="en-US" w:eastAsia="zh-CN"/>
            </w:rPr>
            <w:t>可视化成果</w:t>
          </w:r>
          <w:r>
            <w:tab/>
          </w:r>
          <w:r>
            <w:fldChar w:fldCharType="begin"/>
          </w:r>
          <w:r>
            <w:instrText xml:space="preserve"> PAGEREF _Toc6546 \h </w:instrText>
          </w:r>
          <w:r>
            <w:fldChar w:fldCharType="separate"/>
          </w:r>
          <w:r>
            <w:t>44</w:t>
          </w:r>
          <w:r>
            <w:fldChar w:fldCharType="end"/>
          </w:r>
          <w:r>
            <w:fldChar w:fldCharType="end"/>
          </w:r>
        </w:p>
        <w:p w14:paraId="3AAD07D9">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"_Toc7818" </w:instrText>
          </w:r>
          <w:r>
            <w:fldChar w:fldCharType="separate"/>
          </w:r>
          <w:r>
            <w:rPr>
              <w:rFonts w:hint="eastAsia"/>
              <w:highlight w:val="none"/>
              <w:lang w:val="en-US" w:eastAsia="zh-CN"/>
            </w:rPr>
            <w:t>4.3.1产品实物</w:t>
          </w:r>
          <w:r>
            <w:tab/>
          </w:r>
          <w:r>
            <w:fldChar w:fldCharType="begin"/>
          </w:r>
          <w:r>
            <w:instrText xml:space="preserve"> PAGEREF _Toc7818 \h </w:instrText>
          </w:r>
          <w:r>
            <w:fldChar w:fldCharType="separate"/>
          </w:r>
          <w:r>
            <w:t>44</w:t>
          </w:r>
          <w:r>
            <w:fldChar w:fldCharType="end"/>
          </w:r>
          <w:r>
            <w:fldChar w:fldCharType="end"/>
          </w:r>
        </w:p>
        <w:p w14:paraId="7098BA80">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"_Toc21709" </w:instrText>
          </w:r>
          <w:r>
            <w:fldChar w:fldCharType="separate"/>
          </w:r>
          <w:r>
            <w:rPr>
              <w:rFonts w:hint="eastAsia"/>
              <w:highlight w:val="none"/>
              <w:lang w:val="en-US" w:eastAsia="zh-CN"/>
            </w:rPr>
            <w:t>4.3.2操作流程</w:t>
          </w:r>
          <w:r>
            <w:tab/>
          </w:r>
          <w:r>
            <w:fldChar w:fldCharType="begin"/>
          </w:r>
          <w:r>
            <w:instrText xml:space="preserve"> PAGEREF _Toc21709 \h </w:instrText>
          </w:r>
          <w:r>
            <w:fldChar w:fldCharType="separate"/>
          </w:r>
          <w:r>
            <w:t>45</w:t>
          </w:r>
          <w:r>
            <w:fldChar w:fldCharType="end"/>
          </w:r>
          <w:r>
            <w:fldChar w:fldCharType="end"/>
          </w:r>
        </w:p>
        <w:p w14:paraId="3C17AC87">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"_Toc48" </w:instrText>
          </w:r>
          <w:r>
            <w:fldChar w:fldCharType="separate"/>
          </w:r>
          <w:r>
            <w:rPr>
              <w:rFonts w:hint="default"/>
              <w:highlight w:val="none"/>
              <w:lang w:val="en-US" w:eastAsia="zh-CN"/>
            </w:rPr>
            <w:t>4.</w:t>
          </w:r>
          <w:r>
            <w:rPr>
              <w:rFonts w:hint="eastAsia"/>
              <w:highlight w:val="none"/>
              <w:lang w:val="en-US" w:eastAsia="zh-CN"/>
            </w:rPr>
            <w:t>4</w:t>
          </w:r>
          <w:r>
            <w:rPr>
              <w:rFonts w:hint="default"/>
              <w:highlight w:val="none"/>
              <w:lang w:val="en-US" w:eastAsia="zh-CN"/>
            </w:rPr>
            <w:t>低成本可推广性</w:t>
          </w:r>
          <w:r>
            <w:tab/>
          </w:r>
          <w:r>
            <w:fldChar w:fldCharType="begin"/>
          </w:r>
          <w:r>
            <w:instrText xml:space="preserve"> PAGEREF _Toc48 \h </w:instrText>
          </w:r>
          <w:r>
            <w:fldChar w:fldCharType="separate"/>
          </w:r>
          <w:r>
            <w:t>47</w:t>
          </w:r>
          <w:r>
            <w:fldChar w:fldCharType="end"/>
          </w:r>
          <w:r>
            <w:fldChar w:fldCharType="end"/>
          </w:r>
        </w:p>
        <w:p w14:paraId="06D669D0">
          <w:pPr>
            <w:pStyle w:val="13"/>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"_Toc31344" </w:instrText>
          </w:r>
          <w:r>
            <w:fldChar w:fldCharType="separate"/>
          </w:r>
          <w:r>
            <w:rPr>
              <w:rFonts w:hint="eastAsia"/>
              <w:highlight w:val="none"/>
              <w:lang w:val="en-US" w:eastAsia="zh-CN"/>
            </w:rPr>
            <w:t xml:space="preserve">第五章 </w:t>
          </w:r>
          <w:r>
            <w:rPr>
              <w:rFonts w:hint="default"/>
              <w:highlight w:val="none"/>
              <w:lang w:val="en-US" w:eastAsia="zh-CN"/>
            </w:rPr>
            <w:t>商业模式</w:t>
          </w:r>
          <w:r>
            <w:tab/>
          </w:r>
          <w:r>
            <w:fldChar w:fldCharType="begin"/>
          </w:r>
          <w:r>
            <w:instrText xml:space="preserve"> PAGEREF _Toc31344 \h </w:instrText>
          </w:r>
          <w:r>
            <w:fldChar w:fldCharType="separate"/>
          </w:r>
          <w:r>
            <w:t>48</w:t>
          </w:r>
          <w:r>
            <w:fldChar w:fldCharType="end"/>
          </w:r>
          <w:r>
            <w:fldChar w:fldCharType="end"/>
          </w:r>
        </w:p>
        <w:p w14:paraId="0E452AC2">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"_Toc8613" </w:instrText>
          </w:r>
          <w:r>
            <w:fldChar w:fldCharType="separate"/>
          </w:r>
          <w:r>
            <w:rPr>
              <w:rFonts w:hint="eastAsia"/>
              <w:highlight w:val="none"/>
              <w:lang w:val="en-US" w:eastAsia="zh-CN"/>
            </w:rPr>
            <w:t>5</w:t>
          </w:r>
          <w:r>
            <w:rPr>
              <w:rFonts w:hint="default"/>
              <w:highlight w:val="none"/>
              <w:lang w:val="en-US" w:eastAsia="zh-CN"/>
            </w:rPr>
            <w:t>.1商业模式介绍</w:t>
          </w:r>
          <w:r>
            <w:tab/>
          </w:r>
          <w:r>
            <w:fldChar w:fldCharType="begin"/>
          </w:r>
          <w:r>
            <w:instrText xml:space="preserve"> PAGEREF _Toc8613 \h </w:instrText>
          </w:r>
          <w:r>
            <w:fldChar w:fldCharType="separate"/>
          </w:r>
          <w:r>
            <w:t>48</w:t>
          </w:r>
          <w:r>
            <w:fldChar w:fldCharType="end"/>
          </w:r>
          <w:r>
            <w:fldChar w:fldCharType="end"/>
          </w:r>
        </w:p>
        <w:p w14:paraId="27341271">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"_Toc2199" </w:instrText>
          </w:r>
          <w:r>
            <w:fldChar w:fldCharType="separate"/>
          </w:r>
          <w:r>
            <w:rPr>
              <w:rFonts w:hint="eastAsia"/>
              <w:highlight w:val="none"/>
              <w:lang w:val="en-US" w:eastAsia="zh-CN"/>
            </w:rPr>
            <w:t>5</w:t>
          </w:r>
          <w:r>
            <w:rPr>
              <w:rFonts w:hint="default"/>
              <w:highlight w:val="none"/>
              <w:lang w:val="en-US" w:eastAsia="zh-CN"/>
            </w:rPr>
            <w:t>.1.1产品定位</w:t>
          </w:r>
          <w:r>
            <w:tab/>
          </w:r>
          <w:r>
            <w:fldChar w:fldCharType="begin"/>
          </w:r>
          <w:r>
            <w:instrText xml:space="preserve"> PAGEREF _Toc2199 \h </w:instrText>
          </w:r>
          <w:r>
            <w:fldChar w:fldCharType="separate"/>
          </w:r>
          <w:r>
            <w:t>48</w:t>
          </w:r>
          <w:r>
            <w:fldChar w:fldCharType="end"/>
          </w:r>
          <w:r>
            <w:fldChar w:fldCharType="end"/>
          </w:r>
        </w:p>
        <w:p w14:paraId="5B6F8B10">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"_Toc8894" </w:instrText>
          </w:r>
          <w:r>
            <w:fldChar w:fldCharType="separate"/>
          </w:r>
          <w:r>
            <w:rPr>
              <w:rFonts w:hint="eastAsia"/>
              <w:highlight w:val="none"/>
              <w:lang w:val="en-US" w:eastAsia="zh-CN"/>
            </w:rPr>
            <w:t>5</w:t>
          </w:r>
          <w:r>
            <w:rPr>
              <w:rFonts w:hint="default"/>
              <w:highlight w:val="none"/>
              <w:lang w:val="en-US" w:eastAsia="zh-CN"/>
            </w:rPr>
            <w:t>.1.2价值主张</w:t>
          </w:r>
          <w:r>
            <w:tab/>
          </w:r>
          <w:r>
            <w:fldChar w:fldCharType="begin"/>
          </w:r>
          <w:r>
            <w:instrText xml:space="preserve"> PAGEREF _Toc8894 \h </w:instrText>
          </w:r>
          <w:r>
            <w:fldChar w:fldCharType="separate"/>
          </w:r>
          <w:r>
            <w:t>48</w:t>
          </w:r>
          <w:r>
            <w:fldChar w:fldCharType="end"/>
          </w:r>
          <w:r>
            <w:fldChar w:fldCharType="end"/>
          </w:r>
        </w:p>
        <w:p w14:paraId="16B1EBAB">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"_Toc31047" </w:instrText>
          </w:r>
          <w:r>
            <w:fldChar w:fldCharType="separate"/>
          </w:r>
          <w:r>
            <w:rPr>
              <w:rFonts w:hint="eastAsia"/>
              <w:highlight w:val="none"/>
              <w:lang w:val="en-US" w:eastAsia="zh-CN"/>
            </w:rPr>
            <w:t>5</w:t>
          </w:r>
          <w:r>
            <w:rPr>
              <w:rFonts w:hint="default"/>
              <w:highlight w:val="none"/>
              <w:lang w:val="en-US" w:eastAsia="zh-CN"/>
            </w:rPr>
            <w:t>.1.3经营模式</w:t>
          </w:r>
          <w:r>
            <w:tab/>
          </w:r>
          <w:r>
            <w:fldChar w:fldCharType="begin"/>
          </w:r>
          <w:r>
            <w:instrText xml:space="preserve"> PAGEREF _Toc31047 \h </w:instrText>
          </w:r>
          <w:r>
            <w:fldChar w:fldCharType="separate"/>
          </w:r>
          <w:r>
            <w:t>48</w:t>
          </w:r>
          <w:r>
            <w:fldChar w:fldCharType="end"/>
          </w:r>
          <w:r>
            <w:fldChar w:fldCharType="end"/>
          </w:r>
        </w:p>
        <w:p w14:paraId="5DED0CD3">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"_Toc4325" </w:instrText>
          </w:r>
          <w:r>
            <w:fldChar w:fldCharType="separate"/>
          </w:r>
          <w:r>
            <w:rPr>
              <w:rFonts w:hint="eastAsia"/>
              <w:highlight w:val="none"/>
              <w:lang w:val="en-US" w:eastAsia="zh-CN"/>
            </w:rPr>
            <w:t>5</w:t>
          </w:r>
          <w:r>
            <w:rPr>
              <w:rFonts w:hint="default"/>
              <w:highlight w:val="none"/>
              <w:lang w:val="en-US" w:eastAsia="zh-CN"/>
            </w:rPr>
            <w:t>.2盈利模式分析</w:t>
          </w:r>
          <w:r>
            <w:tab/>
          </w:r>
          <w:r>
            <w:fldChar w:fldCharType="begin"/>
          </w:r>
          <w:r>
            <w:instrText xml:space="preserve"> PAGEREF _Toc4325 \h </w:instrText>
          </w:r>
          <w:r>
            <w:fldChar w:fldCharType="separate"/>
          </w:r>
          <w:r>
            <w:t>49</w:t>
          </w:r>
          <w:r>
            <w:fldChar w:fldCharType="end"/>
          </w:r>
          <w:r>
            <w:fldChar w:fldCharType="end"/>
          </w:r>
        </w:p>
        <w:p w14:paraId="12990CC2">
          <w:pPr>
            <w:pStyle w:val="13"/>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"_Toc6604" </w:instrText>
          </w:r>
          <w:r>
            <w:fldChar w:fldCharType="separate"/>
          </w:r>
          <w:r>
            <w:rPr>
              <w:rFonts w:hint="eastAsia"/>
              <w:highlight w:val="none"/>
              <w:lang w:val="en-US" w:eastAsia="zh-CN"/>
            </w:rPr>
            <w:t>第六章 推广模式</w:t>
          </w:r>
          <w:r>
            <w:tab/>
          </w:r>
          <w:r>
            <w:fldChar w:fldCharType="begin"/>
          </w:r>
          <w:r>
            <w:instrText xml:space="preserve"> PAGEREF _Toc6604 \h </w:instrText>
          </w:r>
          <w:r>
            <w:fldChar w:fldCharType="separate"/>
          </w:r>
          <w:r>
            <w:t>50</w:t>
          </w:r>
          <w:r>
            <w:fldChar w:fldCharType="end"/>
          </w:r>
          <w:r>
            <w:fldChar w:fldCharType="end"/>
          </w:r>
        </w:p>
        <w:p w14:paraId="0E999E31">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"_Toc27519" </w:instrText>
          </w:r>
          <w:r>
            <w:fldChar w:fldCharType="separate"/>
          </w:r>
          <w:r>
            <w:rPr>
              <w:rFonts w:hint="eastAsia"/>
              <w:highlight w:val="none"/>
              <w:lang w:val="en-US" w:eastAsia="zh-CN"/>
            </w:rPr>
            <w:t>6.1四位一体化模式</w:t>
          </w:r>
          <w:r>
            <w:tab/>
          </w:r>
          <w:r>
            <w:fldChar w:fldCharType="begin"/>
          </w:r>
          <w:r>
            <w:instrText xml:space="preserve"> PAGEREF _Toc27519 \h </w:instrText>
          </w:r>
          <w:r>
            <w:fldChar w:fldCharType="separate"/>
          </w:r>
          <w:r>
            <w:t>50</w:t>
          </w:r>
          <w:r>
            <w:fldChar w:fldCharType="end"/>
          </w:r>
          <w:r>
            <w:fldChar w:fldCharType="end"/>
          </w:r>
        </w:p>
        <w:p w14:paraId="0A99D0BB">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"_Toc24099" </w:instrText>
          </w:r>
          <w:r>
            <w:fldChar w:fldCharType="separate"/>
          </w:r>
          <w:r>
            <w:rPr>
              <w:rFonts w:hint="eastAsia"/>
              <w:highlight w:val="none"/>
              <w:lang w:val="en-US" w:eastAsia="zh-CN"/>
            </w:rPr>
            <w:t>6.2可持续盈利路径</w:t>
          </w:r>
          <w:r>
            <w:tab/>
          </w:r>
          <w:r>
            <w:fldChar w:fldCharType="begin"/>
          </w:r>
          <w:r>
            <w:instrText xml:space="preserve"> PAGEREF _Toc24099 \h </w:instrText>
          </w:r>
          <w:r>
            <w:fldChar w:fldCharType="separate"/>
          </w:r>
          <w:r>
            <w:t>51</w:t>
          </w:r>
          <w:r>
            <w:fldChar w:fldCharType="end"/>
          </w:r>
          <w:r>
            <w:fldChar w:fldCharType="end"/>
          </w:r>
        </w:p>
        <w:p w14:paraId="5BA6897A">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"_Toc2097" </w:instrText>
          </w:r>
          <w:r>
            <w:fldChar w:fldCharType="separate"/>
          </w:r>
          <w:r>
            <w:rPr>
              <w:rFonts w:hint="eastAsia"/>
              <w:highlight w:val="none"/>
              <w:lang w:val="en-US" w:eastAsia="zh-CN"/>
            </w:rPr>
            <w:t>6.3风险与应对</w:t>
          </w:r>
          <w:r>
            <w:tab/>
          </w:r>
          <w:r>
            <w:fldChar w:fldCharType="begin"/>
          </w:r>
          <w:r>
            <w:instrText xml:space="preserve"> PAGEREF _Toc2097 \h </w:instrText>
          </w:r>
          <w:r>
            <w:fldChar w:fldCharType="separate"/>
          </w:r>
          <w:r>
            <w:t>52</w:t>
          </w:r>
          <w:r>
            <w:fldChar w:fldCharType="end"/>
          </w:r>
          <w:r>
            <w:fldChar w:fldCharType="end"/>
          </w:r>
        </w:p>
        <w:p w14:paraId="25CBBB78">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"_Toc6280" </w:instrText>
          </w:r>
          <w:r>
            <w:fldChar w:fldCharType="separate"/>
          </w:r>
          <w:r>
            <w:rPr>
              <w:rFonts w:hint="eastAsia"/>
              <w:highlight w:val="none"/>
              <w:lang w:val="en-US" w:eastAsia="zh-CN"/>
            </w:rPr>
            <w:t>6.3.1风险一</w:t>
          </w:r>
          <w:r>
            <w:tab/>
          </w:r>
          <w:r>
            <w:fldChar w:fldCharType="begin"/>
          </w:r>
          <w:r>
            <w:instrText xml:space="preserve"> PAGEREF _Toc6280 \h </w:instrText>
          </w:r>
          <w:r>
            <w:fldChar w:fldCharType="separate"/>
          </w:r>
          <w:r>
            <w:t>52</w:t>
          </w:r>
          <w:r>
            <w:fldChar w:fldCharType="end"/>
          </w:r>
          <w:r>
            <w:fldChar w:fldCharType="end"/>
          </w:r>
        </w:p>
        <w:p w14:paraId="0FDB51AE">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"_Toc16048" </w:instrText>
          </w:r>
          <w:r>
            <w:fldChar w:fldCharType="separate"/>
          </w:r>
          <w:r>
            <w:rPr>
              <w:rFonts w:hint="eastAsia"/>
              <w:highlight w:val="none"/>
              <w:lang w:val="en-US" w:eastAsia="zh-CN"/>
            </w:rPr>
            <w:t>6.3.2风险二</w:t>
          </w:r>
          <w:r>
            <w:tab/>
          </w:r>
          <w:r>
            <w:fldChar w:fldCharType="begin"/>
          </w:r>
          <w:r>
            <w:instrText xml:space="preserve"> PAGEREF _Toc16048 \h </w:instrText>
          </w:r>
          <w:r>
            <w:fldChar w:fldCharType="separate"/>
          </w:r>
          <w:r>
            <w:t>52</w:t>
          </w:r>
          <w:r>
            <w:fldChar w:fldCharType="end"/>
          </w:r>
          <w:r>
            <w:fldChar w:fldCharType="end"/>
          </w:r>
        </w:p>
        <w:p w14:paraId="5E97B283">
          <w:pPr>
            <w:pStyle w:val="13"/>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"_Toc32416" </w:instrText>
          </w:r>
          <w:r>
            <w:fldChar w:fldCharType="separate"/>
          </w:r>
          <w:r>
            <w:rPr>
              <w:rFonts w:hint="eastAsia"/>
              <w:highlight w:val="none"/>
              <w:lang w:val="en-US" w:eastAsia="zh-CN"/>
            </w:rPr>
            <w:t>第七章 市场营销</w:t>
          </w:r>
          <w:r>
            <w:tab/>
          </w:r>
          <w:r>
            <w:fldChar w:fldCharType="begin"/>
          </w:r>
          <w:r>
            <w:instrText xml:space="preserve"> PAGEREF _Toc32416 \h </w:instrText>
          </w:r>
          <w:r>
            <w:fldChar w:fldCharType="separate"/>
          </w:r>
          <w:r>
            <w:t>54</w:t>
          </w:r>
          <w:r>
            <w:fldChar w:fldCharType="end"/>
          </w:r>
          <w:r>
            <w:fldChar w:fldCharType="end"/>
          </w:r>
        </w:p>
        <w:p w14:paraId="46F02A1C">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"_Toc16327" </w:instrText>
          </w:r>
          <w:r>
            <w:fldChar w:fldCharType="separate"/>
          </w:r>
          <w:r>
            <w:rPr>
              <w:rFonts w:hint="eastAsia"/>
              <w:highlight w:val="none"/>
              <w:lang w:val="en-US" w:eastAsia="zh-CN"/>
            </w:rPr>
            <w:t>7.1目标市场的选择与定位</w:t>
          </w:r>
          <w:r>
            <w:tab/>
          </w:r>
          <w:r>
            <w:fldChar w:fldCharType="begin"/>
          </w:r>
          <w:r>
            <w:instrText xml:space="preserve"> PAGEREF _Toc16327 \h </w:instrText>
          </w:r>
          <w:r>
            <w:fldChar w:fldCharType="separate"/>
          </w:r>
          <w:r>
            <w:t>54</w:t>
          </w:r>
          <w:r>
            <w:fldChar w:fldCharType="end"/>
          </w:r>
          <w:r>
            <w:fldChar w:fldCharType="end"/>
          </w:r>
        </w:p>
        <w:p w14:paraId="43A3B8D1">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"_Toc28894" </w:instrText>
          </w:r>
          <w:r>
            <w:fldChar w:fldCharType="separate"/>
          </w:r>
          <w:r>
            <w:rPr>
              <w:rFonts w:hint="eastAsia"/>
              <w:highlight w:val="none"/>
              <w:lang w:val="en-US" w:eastAsia="zh-CN"/>
            </w:rPr>
            <w:t>7.1.1市场细分</w:t>
          </w:r>
          <w:r>
            <w:tab/>
          </w:r>
          <w:r>
            <w:fldChar w:fldCharType="begin"/>
          </w:r>
          <w:r>
            <w:instrText xml:space="preserve"> PAGEREF _Toc28894 \h </w:instrText>
          </w:r>
          <w:r>
            <w:fldChar w:fldCharType="separate"/>
          </w:r>
          <w:r>
            <w:t>54</w:t>
          </w:r>
          <w:r>
            <w:fldChar w:fldCharType="end"/>
          </w:r>
          <w:r>
            <w:fldChar w:fldCharType="end"/>
          </w:r>
        </w:p>
        <w:p w14:paraId="7017D165">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"_Toc22952" </w:instrText>
          </w:r>
          <w:r>
            <w:fldChar w:fldCharType="separate"/>
          </w:r>
          <w:r>
            <w:rPr>
              <w:rFonts w:hint="eastAsia"/>
              <w:highlight w:val="none"/>
              <w:lang w:val="en-US" w:eastAsia="zh-CN"/>
            </w:rPr>
            <w:t>7.1.2产品市场定位</w:t>
          </w:r>
          <w:r>
            <w:tab/>
          </w:r>
          <w:r>
            <w:fldChar w:fldCharType="begin"/>
          </w:r>
          <w:r>
            <w:instrText xml:space="preserve"> PAGEREF _Toc22952 \h </w:instrText>
          </w:r>
          <w:r>
            <w:fldChar w:fldCharType="separate"/>
          </w:r>
          <w:r>
            <w:t>55</w:t>
          </w:r>
          <w:r>
            <w:fldChar w:fldCharType="end"/>
          </w:r>
          <w:r>
            <w:fldChar w:fldCharType="end"/>
          </w:r>
        </w:p>
        <w:p w14:paraId="29C2ECD6">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"_Toc24075" </w:instrText>
          </w:r>
          <w:r>
            <w:fldChar w:fldCharType="separate"/>
          </w:r>
          <w:r>
            <w:rPr>
              <w:rFonts w:hint="eastAsia"/>
              <w:highlight w:val="none"/>
              <w:lang w:val="en-US" w:eastAsia="zh-CN"/>
            </w:rPr>
            <w:t>7.2目标市场与市场分析</w:t>
          </w:r>
          <w:r>
            <w:tab/>
          </w:r>
          <w:r>
            <w:fldChar w:fldCharType="begin"/>
          </w:r>
          <w:r>
            <w:instrText xml:space="preserve"> PAGEREF _Toc24075 \h </w:instrText>
          </w:r>
          <w:r>
            <w:fldChar w:fldCharType="separate"/>
          </w:r>
          <w:r>
            <w:t>55</w:t>
          </w:r>
          <w:r>
            <w:fldChar w:fldCharType="end"/>
          </w:r>
          <w:r>
            <w:fldChar w:fldCharType="end"/>
          </w:r>
        </w:p>
        <w:p w14:paraId="033DB089">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"_Toc15314" </w:instrText>
          </w:r>
          <w:r>
            <w:fldChar w:fldCharType="separate"/>
          </w:r>
          <w:r>
            <w:rPr>
              <w:rFonts w:hint="eastAsia"/>
              <w:highlight w:val="none"/>
              <w:lang w:val="en-US" w:eastAsia="zh-CN"/>
            </w:rPr>
            <w:t>7.3营销策略</w:t>
          </w:r>
          <w:r>
            <w:tab/>
          </w:r>
          <w:r>
            <w:fldChar w:fldCharType="begin"/>
          </w:r>
          <w:r>
            <w:instrText xml:space="preserve"> PAGEREF _Toc15314 \h </w:instrText>
          </w:r>
          <w:r>
            <w:fldChar w:fldCharType="separate"/>
          </w:r>
          <w:r>
            <w:t>59</w:t>
          </w:r>
          <w:r>
            <w:fldChar w:fldCharType="end"/>
          </w:r>
          <w:r>
            <w:fldChar w:fldCharType="end"/>
          </w:r>
        </w:p>
        <w:p w14:paraId="7DDDFD1D">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"_Toc11293" </w:instrText>
          </w:r>
          <w:r>
            <w:fldChar w:fldCharType="separate"/>
          </w:r>
          <w:r>
            <w:rPr>
              <w:rFonts w:hint="eastAsia"/>
              <w:highlight w:val="none"/>
              <w:lang w:val="en-US" w:eastAsia="zh-CN"/>
            </w:rPr>
            <w:t>7.3.1价格策略</w:t>
          </w:r>
          <w:r>
            <w:tab/>
          </w:r>
          <w:r>
            <w:fldChar w:fldCharType="begin"/>
          </w:r>
          <w:r>
            <w:instrText xml:space="preserve"> PAGEREF _Toc11293 \h </w:instrText>
          </w:r>
          <w:r>
            <w:fldChar w:fldCharType="separate"/>
          </w:r>
          <w:r>
            <w:t>61</w:t>
          </w:r>
          <w:r>
            <w:fldChar w:fldCharType="end"/>
          </w:r>
          <w:r>
            <w:fldChar w:fldCharType="end"/>
          </w:r>
        </w:p>
        <w:p w14:paraId="69DB0CCD">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"_Toc7947" </w:instrText>
          </w:r>
          <w:r>
            <w:fldChar w:fldCharType="separate"/>
          </w:r>
          <w:r>
            <w:rPr>
              <w:rFonts w:hint="eastAsia"/>
              <w:highlight w:val="none"/>
              <w:lang w:val="en-US" w:eastAsia="zh-CN"/>
            </w:rPr>
            <w:t>7.3.2营销渠道策略</w:t>
          </w:r>
          <w:r>
            <w:tab/>
          </w:r>
          <w:r>
            <w:fldChar w:fldCharType="begin"/>
          </w:r>
          <w:r>
            <w:instrText xml:space="preserve"> PAGEREF _Toc7947 \h </w:instrText>
          </w:r>
          <w:r>
            <w:fldChar w:fldCharType="separate"/>
          </w:r>
          <w:r>
            <w:t>61</w:t>
          </w:r>
          <w:r>
            <w:fldChar w:fldCharType="end"/>
          </w:r>
          <w:r>
            <w:fldChar w:fldCharType="end"/>
          </w:r>
        </w:p>
        <w:p w14:paraId="3744187A">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"_Toc6340" </w:instrText>
          </w:r>
          <w:r>
            <w:fldChar w:fldCharType="separate"/>
          </w:r>
          <w:r>
            <w:rPr>
              <w:rFonts w:hint="eastAsia"/>
              <w:highlight w:val="none"/>
              <w:lang w:val="en-US" w:eastAsia="zh-CN"/>
            </w:rPr>
            <w:t>7.3.3促销策略</w:t>
          </w:r>
          <w:r>
            <w:tab/>
          </w:r>
          <w:r>
            <w:fldChar w:fldCharType="begin"/>
          </w:r>
          <w:r>
            <w:instrText xml:space="preserve"> PAGEREF _Toc6340 \h </w:instrText>
          </w:r>
          <w:r>
            <w:fldChar w:fldCharType="separate"/>
          </w:r>
          <w:r>
            <w:t>64</w:t>
          </w:r>
          <w:r>
            <w:fldChar w:fldCharType="end"/>
          </w:r>
          <w:r>
            <w:fldChar w:fldCharType="end"/>
          </w:r>
        </w:p>
        <w:p w14:paraId="6A64D616">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"_Toc6718" </w:instrText>
          </w:r>
          <w:r>
            <w:fldChar w:fldCharType="separate"/>
          </w:r>
          <w:r>
            <w:rPr>
              <w:rFonts w:hint="eastAsia"/>
              <w:highlight w:val="none"/>
              <w:lang w:val="en-US" w:eastAsia="zh-CN"/>
            </w:rPr>
            <w:t>7.3.4产品策略</w:t>
          </w:r>
          <w:r>
            <w:tab/>
          </w:r>
          <w:r>
            <w:fldChar w:fldCharType="begin"/>
          </w:r>
          <w:r>
            <w:instrText xml:space="preserve"> PAGEREF _Toc6718 \h </w:instrText>
          </w:r>
          <w:r>
            <w:fldChar w:fldCharType="separate"/>
          </w:r>
          <w:r>
            <w:t>64</w:t>
          </w:r>
          <w:r>
            <w:fldChar w:fldCharType="end"/>
          </w:r>
          <w:r>
            <w:fldChar w:fldCharType="end"/>
          </w:r>
        </w:p>
        <w:p w14:paraId="10CD514B">
          <w:pPr>
            <w:pStyle w:val="13"/>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"_Toc22353" </w:instrText>
          </w:r>
          <w:r>
            <w:fldChar w:fldCharType="separate"/>
          </w:r>
          <w:r>
            <w:rPr>
              <w:rFonts w:hint="eastAsia"/>
              <w:highlight w:val="none"/>
              <w:lang w:val="en-US" w:eastAsia="zh-CN"/>
            </w:rPr>
            <w:t xml:space="preserve">第八章 </w:t>
          </w:r>
          <w:r>
            <w:rPr>
              <w:rFonts w:hint="eastAsia"/>
              <w:highlight w:val="none"/>
              <w:lang w:val="en-US"/>
            </w:rPr>
            <w:t>财务分析</w:t>
          </w:r>
          <w:r>
            <w:tab/>
          </w:r>
          <w:r>
            <w:fldChar w:fldCharType="begin"/>
          </w:r>
          <w:r>
            <w:instrText xml:space="preserve"> PAGEREF _Toc22353 \h </w:instrText>
          </w:r>
          <w:r>
            <w:fldChar w:fldCharType="separate"/>
          </w:r>
          <w:r>
            <w:t>66</w:t>
          </w:r>
          <w:r>
            <w:fldChar w:fldCharType="end"/>
          </w:r>
          <w:r>
            <w:fldChar w:fldCharType="end"/>
          </w:r>
        </w:p>
        <w:p w14:paraId="0964ABBA">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"_Toc29505" </w:instrText>
          </w:r>
          <w:r>
            <w:fldChar w:fldCharType="separate"/>
          </w:r>
          <w:r>
            <w:rPr>
              <w:rFonts w:hint="eastAsia"/>
              <w:highlight w:val="none"/>
              <w:lang w:val="en-US"/>
            </w:rPr>
            <w:t>8.1投融资分析</w:t>
          </w:r>
          <w:r>
            <w:tab/>
          </w:r>
          <w:r>
            <w:fldChar w:fldCharType="begin"/>
          </w:r>
          <w:r>
            <w:instrText xml:space="preserve"> PAGEREF _Toc29505 \h </w:instrText>
          </w:r>
          <w:r>
            <w:fldChar w:fldCharType="separate"/>
          </w:r>
          <w:r>
            <w:t>66</w:t>
          </w:r>
          <w:r>
            <w:fldChar w:fldCharType="end"/>
          </w:r>
          <w:r>
            <w:fldChar w:fldCharType="end"/>
          </w:r>
        </w:p>
        <w:p w14:paraId="47E288F5">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"_Toc7910" </w:instrText>
          </w:r>
          <w:r>
            <w:fldChar w:fldCharType="separate"/>
          </w:r>
          <w:r>
            <w:rPr>
              <w:rFonts w:hint="eastAsia"/>
              <w:highlight w:val="none"/>
              <w:lang w:val="en-US"/>
            </w:rPr>
            <w:t>8.1.1资金来源与股本结构</w:t>
          </w:r>
          <w:r>
            <w:tab/>
          </w:r>
          <w:r>
            <w:fldChar w:fldCharType="begin"/>
          </w:r>
          <w:r>
            <w:instrText xml:space="preserve"> PAGEREF _Toc7910 \h </w:instrText>
          </w:r>
          <w:r>
            <w:fldChar w:fldCharType="separate"/>
          </w:r>
          <w:r>
            <w:t>66</w:t>
          </w:r>
          <w:r>
            <w:fldChar w:fldCharType="end"/>
          </w:r>
          <w:r>
            <w:fldChar w:fldCharType="end"/>
          </w:r>
        </w:p>
        <w:p w14:paraId="3A639297">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"_Toc29387" </w:instrText>
          </w:r>
          <w:r>
            <w:fldChar w:fldCharType="separate"/>
          </w:r>
          <w:r>
            <w:rPr>
              <w:rFonts w:hint="eastAsia"/>
              <w:highlight w:val="none"/>
              <w:lang w:val="en-US"/>
            </w:rPr>
            <w:t>8.1.2投资分配</w:t>
          </w:r>
          <w:r>
            <w:tab/>
          </w:r>
          <w:r>
            <w:fldChar w:fldCharType="begin"/>
          </w:r>
          <w:r>
            <w:instrText xml:space="preserve"> PAGEREF _Toc29387 \h </w:instrText>
          </w:r>
          <w:r>
            <w:fldChar w:fldCharType="separate"/>
          </w:r>
          <w:r>
            <w:t>67</w:t>
          </w:r>
          <w:r>
            <w:fldChar w:fldCharType="end"/>
          </w:r>
          <w:r>
            <w:fldChar w:fldCharType="end"/>
          </w:r>
        </w:p>
        <w:p w14:paraId="76FDC1A8">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"_Toc13069" </w:instrText>
          </w:r>
          <w:r>
            <w:fldChar w:fldCharType="separate"/>
          </w:r>
          <w:r>
            <w:rPr>
              <w:rFonts w:hint="eastAsia"/>
              <w:highlight w:val="none"/>
              <w:lang w:val="en-US"/>
            </w:rPr>
            <w:t>8.1.3投资分析</w:t>
          </w:r>
          <w:r>
            <w:tab/>
          </w:r>
          <w:r>
            <w:fldChar w:fldCharType="begin"/>
          </w:r>
          <w:r>
            <w:instrText xml:space="preserve"> PAGEREF _Toc13069 \h </w:instrText>
          </w:r>
          <w:r>
            <w:fldChar w:fldCharType="separate"/>
          </w:r>
          <w:r>
            <w:t>68</w:t>
          </w:r>
          <w:r>
            <w:fldChar w:fldCharType="end"/>
          </w:r>
          <w:r>
            <w:fldChar w:fldCharType="end"/>
          </w:r>
        </w:p>
        <w:p w14:paraId="3B6FC8E0">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"_Toc15654" </w:instrText>
          </w:r>
          <w:r>
            <w:fldChar w:fldCharType="separate"/>
          </w:r>
          <w:r>
            <w:rPr>
              <w:rFonts w:hint="eastAsia"/>
              <w:highlight w:val="none"/>
              <w:lang w:val="en-US"/>
            </w:rPr>
            <w:t>8.2财务预算</w:t>
          </w:r>
          <w:r>
            <w:tab/>
          </w:r>
          <w:r>
            <w:fldChar w:fldCharType="begin"/>
          </w:r>
          <w:r>
            <w:instrText xml:space="preserve"> PAGEREF _Toc15654 \h </w:instrText>
          </w:r>
          <w:r>
            <w:fldChar w:fldCharType="separate"/>
          </w:r>
          <w:r>
            <w:t>69</w:t>
          </w:r>
          <w:r>
            <w:fldChar w:fldCharType="end"/>
          </w:r>
          <w:r>
            <w:fldChar w:fldCharType="end"/>
          </w:r>
        </w:p>
        <w:p w14:paraId="0288FB39">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"_Toc554" </w:instrText>
          </w:r>
          <w:r>
            <w:fldChar w:fldCharType="separate"/>
          </w:r>
          <w:r>
            <w:rPr>
              <w:rFonts w:hint="eastAsia"/>
              <w:highlight w:val="none"/>
              <w:lang w:val="en-US"/>
            </w:rPr>
            <w:t>8.2.1收入成本分析</w:t>
          </w:r>
          <w:r>
            <w:tab/>
          </w:r>
          <w:r>
            <w:fldChar w:fldCharType="begin"/>
          </w:r>
          <w:r>
            <w:instrText xml:space="preserve"> PAGEREF _Toc554 \h </w:instrText>
          </w:r>
          <w:r>
            <w:fldChar w:fldCharType="separate"/>
          </w:r>
          <w:r>
            <w:t>69</w:t>
          </w:r>
          <w:r>
            <w:fldChar w:fldCharType="end"/>
          </w:r>
          <w:r>
            <w:fldChar w:fldCharType="end"/>
          </w:r>
        </w:p>
        <w:p w14:paraId="0FD7DCD8">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"_Toc32096" </w:instrText>
          </w:r>
          <w:r>
            <w:fldChar w:fldCharType="separate"/>
          </w:r>
          <w:r>
            <w:rPr>
              <w:rFonts w:hint="eastAsia"/>
              <w:highlight w:val="none"/>
              <w:lang w:val="en-US"/>
            </w:rPr>
            <w:t>8.2.2资产负债表</w:t>
          </w:r>
          <w:r>
            <w:tab/>
          </w:r>
          <w:r>
            <w:fldChar w:fldCharType="begin"/>
          </w:r>
          <w:r>
            <w:instrText xml:space="preserve"> PAGEREF _Toc32096 \h </w:instrText>
          </w:r>
          <w:r>
            <w:fldChar w:fldCharType="separate"/>
          </w:r>
          <w:r>
            <w:t>72</w:t>
          </w:r>
          <w:r>
            <w:fldChar w:fldCharType="end"/>
          </w:r>
          <w:r>
            <w:fldChar w:fldCharType="end"/>
          </w:r>
        </w:p>
        <w:p w14:paraId="236A6CB4">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"_Toc4200" </w:instrText>
          </w:r>
          <w:r>
            <w:fldChar w:fldCharType="separate"/>
          </w:r>
          <w:r>
            <w:rPr>
              <w:rFonts w:hint="eastAsia"/>
              <w:highlight w:val="none"/>
              <w:lang w:val="en-US"/>
            </w:rPr>
            <w:t>8.2.3现金流表</w:t>
          </w:r>
          <w:r>
            <w:tab/>
          </w:r>
          <w:r>
            <w:fldChar w:fldCharType="begin"/>
          </w:r>
          <w:r>
            <w:instrText xml:space="preserve"> PAGEREF _Toc4200 \h </w:instrText>
          </w:r>
          <w:r>
            <w:fldChar w:fldCharType="separate"/>
          </w:r>
          <w:r>
            <w:t>74</w:t>
          </w:r>
          <w:r>
            <w:fldChar w:fldCharType="end"/>
          </w:r>
          <w:r>
            <w:fldChar w:fldCharType="end"/>
          </w:r>
        </w:p>
        <w:p w14:paraId="6A6C2A43">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"_Toc24323" </w:instrText>
          </w:r>
          <w:r>
            <w:fldChar w:fldCharType="separate"/>
          </w:r>
          <w:r>
            <w:rPr>
              <w:rFonts w:hint="eastAsia"/>
              <w:highlight w:val="none"/>
              <w:lang w:val="en-US"/>
            </w:rPr>
            <w:t>8.2.4利润表</w:t>
          </w:r>
          <w:r>
            <w:tab/>
          </w:r>
          <w:r>
            <w:fldChar w:fldCharType="begin"/>
          </w:r>
          <w:r>
            <w:instrText xml:space="preserve"> PAGEREF _Toc24323 \h </w:instrText>
          </w:r>
          <w:r>
            <w:fldChar w:fldCharType="separate"/>
          </w:r>
          <w:r>
            <w:t>75</w:t>
          </w:r>
          <w:r>
            <w:fldChar w:fldCharType="end"/>
          </w:r>
          <w:r>
            <w:fldChar w:fldCharType="end"/>
          </w:r>
        </w:p>
        <w:p w14:paraId="269B8B8F">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"_Toc23305" </w:instrText>
          </w:r>
          <w:r>
            <w:fldChar w:fldCharType="separate"/>
          </w:r>
          <w:r>
            <w:rPr>
              <w:rFonts w:hint="eastAsia"/>
              <w:highlight w:val="none"/>
              <w:lang w:val="en-US"/>
            </w:rPr>
            <w:t>8.2.5财务能力分析</w:t>
          </w:r>
          <w:r>
            <w:tab/>
          </w:r>
          <w:r>
            <w:fldChar w:fldCharType="begin"/>
          </w:r>
          <w:r>
            <w:instrText xml:space="preserve"> PAGEREF _Toc23305 \h </w:instrText>
          </w:r>
          <w:r>
            <w:fldChar w:fldCharType="separate"/>
          </w:r>
          <w:r>
            <w:t>76</w:t>
          </w:r>
          <w:r>
            <w:fldChar w:fldCharType="end"/>
          </w:r>
          <w:r>
            <w:fldChar w:fldCharType="end"/>
          </w:r>
        </w:p>
        <w:p w14:paraId="3D04C627">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"_Toc29347" </w:instrText>
          </w:r>
          <w:r>
            <w:fldChar w:fldCharType="separate"/>
          </w:r>
          <w:r>
            <w:rPr>
              <w:rFonts w:hint="eastAsia"/>
              <w:highlight w:val="none"/>
              <w:lang w:val="en-US" w:eastAsia="zh-CN"/>
            </w:rPr>
            <w:t>8.2.6运营能力分析</w:t>
          </w:r>
          <w:r>
            <w:tab/>
          </w:r>
          <w:r>
            <w:fldChar w:fldCharType="begin"/>
          </w:r>
          <w:r>
            <w:instrText xml:space="preserve"> PAGEREF _Toc29347 \h </w:instrText>
          </w:r>
          <w:r>
            <w:fldChar w:fldCharType="separate"/>
          </w:r>
          <w:r>
            <w:t>77</w:t>
          </w:r>
          <w:r>
            <w:fldChar w:fldCharType="end"/>
          </w:r>
          <w:r>
            <w:fldChar w:fldCharType="end"/>
          </w:r>
        </w:p>
        <w:p w14:paraId="352E6F12">
          <w:pPr>
            <w:pStyle w:val="13"/>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"_Toc32582" </w:instrText>
          </w:r>
          <w:r>
            <w:fldChar w:fldCharType="separate"/>
          </w:r>
          <w:r>
            <w:rPr>
              <w:rFonts w:hint="eastAsia"/>
              <w:highlight w:val="none"/>
              <w:lang w:val="en-US" w:eastAsia="zh-CN"/>
            </w:rPr>
            <w:t>第九章 落地实效与影响力</w:t>
          </w:r>
          <w:r>
            <w:tab/>
          </w:r>
          <w:r>
            <w:fldChar w:fldCharType="begin"/>
          </w:r>
          <w:r>
            <w:instrText xml:space="preserve"> PAGEREF _Toc32582 \h </w:instrText>
          </w:r>
          <w:r>
            <w:fldChar w:fldCharType="separate"/>
          </w:r>
          <w:r>
            <w:t>79</w:t>
          </w:r>
          <w:r>
            <w:fldChar w:fldCharType="end"/>
          </w:r>
          <w:r>
            <w:fldChar w:fldCharType="end"/>
          </w:r>
        </w:p>
        <w:p w14:paraId="2AA2A031">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"_Toc15294" </w:instrText>
          </w:r>
          <w:r>
            <w:fldChar w:fldCharType="separate"/>
          </w:r>
          <w:r>
            <w:rPr>
              <w:rFonts w:hint="eastAsia"/>
              <w:highlight w:val="none"/>
              <w:lang w:val="en-US" w:eastAsia="zh-CN"/>
            </w:rPr>
            <w:t>9.1试点案例</w:t>
          </w:r>
          <w:r>
            <w:tab/>
          </w:r>
          <w:r>
            <w:fldChar w:fldCharType="begin"/>
          </w:r>
          <w:r>
            <w:instrText xml:space="preserve"> PAGEREF _Toc15294 \h </w:instrText>
          </w:r>
          <w:r>
            <w:fldChar w:fldCharType="separate"/>
          </w:r>
          <w:r>
            <w:t>79</w:t>
          </w:r>
          <w:r>
            <w:fldChar w:fldCharType="end"/>
          </w:r>
          <w:r>
            <w:fldChar w:fldCharType="end"/>
          </w:r>
        </w:p>
        <w:p w14:paraId="2E6225EE">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"_Toc2337" </w:instrText>
          </w:r>
          <w:r>
            <w:fldChar w:fldCharType="separate"/>
          </w:r>
          <w:r>
            <w:rPr>
              <w:rFonts w:hint="eastAsia"/>
              <w:highlight w:val="none"/>
              <w:lang w:val="en-US" w:eastAsia="zh-CN"/>
            </w:rPr>
            <w:t>9.2带动的就业和培训</w:t>
          </w:r>
          <w:r>
            <w:tab/>
          </w:r>
          <w:r>
            <w:fldChar w:fldCharType="begin"/>
          </w:r>
          <w:r>
            <w:instrText xml:space="preserve"> PAGEREF _Toc2337 \h </w:instrText>
          </w:r>
          <w:r>
            <w:fldChar w:fldCharType="separate"/>
          </w:r>
          <w:r>
            <w:t>83</w:t>
          </w:r>
          <w:r>
            <w:fldChar w:fldCharType="end"/>
          </w:r>
          <w:r>
            <w:fldChar w:fldCharType="end"/>
          </w:r>
        </w:p>
        <w:p w14:paraId="79D0BDDC">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"_Toc23238" </w:instrText>
          </w:r>
          <w:r>
            <w:fldChar w:fldCharType="separate"/>
          </w:r>
          <w:r>
            <w:rPr>
              <w:rFonts w:hint="eastAsia"/>
              <w:highlight w:val="none"/>
              <w:lang w:val="en-US" w:eastAsia="zh-CN"/>
            </w:rPr>
            <w:t>9.3媒体与政府背书</w:t>
          </w:r>
          <w:r>
            <w:tab/>
          </w:r>
          <w:r>
            <w:fldChar w:fldCharType="begin"/>
          </w:r>
          <w:r>
            <w:instrText xml:space="preserve"> PAGEREF _Toc23238 \h </w:instrText>
          </w:r>
          <w:r>
            <w:fldChar w:fldCharType="separate"/>
          </w:r>
          <w:r>
            <w:t>83</w:t>
          </w:r>
          <w:r>
            <w:fldChar w:fldCharType="end"/>
          </w:r>
          <w:r>
            <w:fldChar w:fldCharType="end"/>
          </w:r>
        </w:p>
        <w:p w14:paraId="33EFEB4F">
          <w:pPr>
            <w:pStyle w:val="13"/>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"_Toc12761" </w:instrText>
          </w:r>
          <w:r>
            <w:fldChar w:fldCharType="separate"/>
          </w:r>
          <w:r>
            <w:rPr>
              <w:rFonts w:hint="eastAsia"/>
              <w:highlight w:val="none"/>
              <w:lang w:val="en-US" w:eastAsia="zh-CN"/>
            </w:rPr>
            <w:t xml:space="preserve">第十章 </w:t>
          </w:r>
          <w:r>
            <w:rPr>
              <w:rFonts w:hint="default"/>
              <w:highlight w:val="none"/>
              <w:lang w:val="en-US" w:eastAsia="zh-CN"/>
            </w:rPr>
            <w:t>团队与执行保障</w:t>
          </w:r>
          <w:r>
            <w:tab/>
          </w:r>
          <w:r>
            <w:fldChar w:fldCharType="begin"/>
          </w:r>
          <w:r>
            <w:instrText xml:space="preserve"> PAGEREF _Toc12761 \h </w:instrText>
          </w:r>
          <w:r>
            <w:fldChar w:fldCharType="separate"/>
          </w:r>
          <w:r>
            <w:t>86</w:t>
          </w:r>
          <w:r>
            <w:fldChar w:fldCharType="end"/>
          </w:r>
          <w:r>
            <w:fldChar w:fldCharType="end"/>
          </w:r>
        </w:p>
        <w:p w14:paraId="6E0BD283">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"_Toc7245" </w:instrText>
          </w:r>
          <w:r>
            <w:fldChar w:fldCharType="separate"/>
          </w:r>
          <w:r>
            <w:rPr>
              <w:rFonts w:hint="eastAsia"/>
              <w:highlight w:val="none"/>
              <w:lang w:val="en-US" w:eastAsia="zh-CN"/>
            </w:rPr>
            <w:t>10</w:t>
          </w:r>
          <w:r>
            <w:rPr>
              <w:rFonts w:hint="default"/>
              <w:highlight w:val="none"/>
              <w:lang w:val="en-US" w:eastAsia="zh-CN"/>
            </w:rPr>
            <w:t>.1跨学科团队构成</w:t>
          </w:r>
          <w:r>
            <w:tab/>
          </w:r>
          <w:r>
            <w:fldChar w:fldCharType="begin"/>
          </w:r>
          <w:r>
            <w:instrText xml:space="preserve"> PAGEREF _Toc7245 \h </w:instrText>
          </w:r>
          <w:r>
            <w:fldChar w:fldCharType="separate"/>
          </w:r>
          <w:r>
            <w:t>86</w:t>
          </w:r>
          <w:r>
            <w:fldChar w:fldCharType="end"/>
          </w:r>
          <w:r>
            <w:fldChar w:fldCharType="end"/>
          </w:r>
        </w:p>
        <w:p w14:paraId="16AF133C">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"_Toc21210" </w:instrText>
          </w:r>
          <w:r>
            <w:fldChar w:fldCharType="separate"/>
          </w:r>
          <w:r>
            <w:tab/>
          </w:r>
          <w:r>
            <w:fldChar w:fldCharType="begin"/>
          </w:r>
          <w:r>
            <w:instrText xml:space="preserve"> PAGEREF _Toc21210 \h </w:instrText>
          </w:r>
          <w:r>
            <w:fldChar w:fldCharType="separate"/>
          </w:r>
          <w:r>
            <w:t>86</w:t>
          </w:r>
          <w:r>
            <w:fldChar w:fldCharType="end"/>
          </w:r>
          <w:r>
            <w:fldChar w:fldCharType="end"/>
          </w:r>
        </w:p>
        <w:p w14:paraId="2D3A80AC">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"_Toc16035" </w:instrText>
          </w:r>
          <w:r>
            <w:fldChar w:fldCharType="separate"/>
          </w:r>
          <w:r>
            <w:rPr>
              <w:rFonts w:hint="eastAsia"/>
              <w:highlight w:val="none"/>
              <w:lang w:val="en-US" w:eastAsia="zh-CN"/>
            </w:rPr>
            <w:t>10</w:t>
          </w:r>
          <w:r>
            <w:rPr>
              <w:rFonts w:hint="default"/>
              <w:highlight w:val="none"/>
              <w:lang w:val="en-US" w:eastAsia="zh-CN"/>
            </w:rPr>
            <w:t>.2顾问资源</w:t>
          </w:r>
          <w:r>
            <w:tab/>
          </w:r>
          <w:r>
            <w:fldChar w:fldCharType="begin"/>
          </w:r>
          <w:r>
            <w:instrText xml:space="preserve"> PAGEREF _Toc16035 \h </w:instrText>
          </w:r>
          <w:r>
            <w:fldChar w:fldCharType="separate"/>
          </w:r>
          <w:r>
            <w:t>87</w:t>
          </w:r>
          <w:r>
            <w:fldChar w:fldCharType="end"/>
          </w:r>
          <w:r>
            <w:fldChar w:fldCharType="end"/>
          </w:r>
        </w:p>
        <w:p w14:paraId="182E405C">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"_Toc14695" </w:instrText>
          </w:r>
          <w:r>
            <w:fldChar w:fldCharType="separate"/>
          </w:r>
          <w:r>
            <w:rPr>
              <w:rFonts w:hint="eastAsia"/>
              <w:highlight w:val="none"/>
              <w:lang w:val="en-US" w:eastAsia="zh-CN"/>
            </w:rPr>
            <w:t>10.3研究资源</w:t>
          </w:r>
          <w:r>
            <w:tab/>
          </w:r>
          <w:r>
            <w:fldChar w:fldCharType="begin"/>
          </w:r>
          <w:r>
            <w:instrText xml:space="preserve"> PAGEREF _Toc14695 \h </w:instrText>
          </w:r>
          <w:r>
            <w:fldChar w:fldCharType="separate"/>
          </w:r>
          <w:r>
            <w:t>88</w:t>
          </w:r>
          <w:r>
            <w:fldChar w:fldCharType="end"/>
          </w:r>
          <w:r>
            <w:fldChar w:fldCharType="end"/>
          </w:r>
        </w:p>
        <w:p w14:paraId="4A01D534">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"_Toc2416" </w:instrText>
          </w:r>
          <w:r>
            <w:fldChar w:fldCharType="separate"/>
          </w:r>
          <w:r>
            <w:rPr>
              <w:rFonts w:hint="eastAsia"/>
              <w:highlight w:val="none"/>
              <w:lang w:val="en-US" w:eastAsia="zh-CN"/>
            </w:rPr>
            <w:t>10</w:t>
          </w:r>
          <w:r>
            <w:rPr>
              <w:rFonts w:hint="default"/>
              <w:highlight w:val="none"/>
              <w:lang w:val="en-US" w:eastAsia="zh-CN"/>
            </w:rPr>
            <w:t>.</w:t>
          </w:r>
          <w:r>
            <w:rPr>
              <w:rFonts w:hint="eastAsia"/>
              <w:highlight w:val="none"/>
              <w:lang w:val="en-US" w:eastAsia="zh-CN"/>
            </w:rPr>
            <w:t>4团队荣誉</w:t>
          </w:r>
          <w:r>
            <w:tab/>
          </w:r>
          <w:r>
            <w:fldChar w:fldCharType="begin"/>
          </w:r>
          <w:r>
            <w:instrText xml:space="preserve"> PAGEREF _Toc2416 \h </w:instrText>
          </w:r>
          <w:r>
            <w:fldChar w:fldCharType="separate"/>
          </w:r>
          <w:r>
            <w:t>90</w:t>
          </w:r>
          <w:r>
            <w:fldChar w:fldCharType="end"/>
          </w:r>
          <w:r>
            <w:fldChar w:fldCharType="end"/>
          </w:r>
        </w:p>
        <w:p w14:paraId="2B068D10">
          <w:pPr>
            <w:pStyle w:val="13"/>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"_Toc10313" </w:instrText>
          </w:r>
          <w:r>
            <w:fldChar w:fldCharType="separate"/>
          </w:r>
          <w:r>
            <w:rPr>
              <w:rFonts w:hint="eastAsia"/>
              <w:highlight w:val="none"/>
              <w:lang w:val="en-US" w:eastAsia="zh-CN"/>
            </w:rPr>
            <w:t>第十一章 风险分析</w:t>
          </w:r>
          <w:r>
            <w:tab/>
          </w:r>
          <w:r>
            <w:fldChar w:fldCharType="begin"/>
          </w:r>
          <w:r>
            <w:instrText xml:space="preserve"> PAGEREF _Toc10313 \h </w:instrText>
          </w:r>
          <w:r>
            <w:fldChar w:fldCharType="separate"/>
          </w:r>
          <w:r>
            <w:t>98</w:t>
          </w:r>
          <w:r>
            <w:fldChar w:fldCharType="end"/>
          </w:r>
          <w:r>
            <w:fldChar w:fldCharType="end"/>
          </w:r>
        </w:p>
        <w:p w14:paraId="16B5ECCB">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"_Toc28428" </w:instrText>
          </w:r>
          <w:r>
            <w:fldChar w:fldCharType="separate"/>
          </w:r>
          <w:r>
            <w:rPr>
              <w:rFonts w:hint="eastAsia"/>
              <w:highlight w:val="none"/>
              <w:lang w:val="en-US" w:eastAsia="zh-CN"/>
            </w:rPr>
            <w:t>11.1项目存在的风险</w:t>
          </w:r>
          <w:r>
            <w:tab/>
          </w:r>
          <w:r>
            <w:fldChar w:fldCharType="begin"/>
          </w:r>
          <w:r>
            <w:instrText xml:space="preserve"> PAGEREF _Toc28428 \h </w:instrText>
          </w:r>
          <w:r>
            <w:fldChar w:fldCharType="separate"/>
          </w:r>
          <w:r>
            <w:t>98</w:t>
          </w:r>
          <w:r>
            <w:fldChar w:fldCharType="end"/>
          </w:r>
          <w:r>
            <w:fldChar w:fldCharType="end"/>
          </w:r>
        </w:p>
        <w:p w14:paraId="1355395A">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"_Toc77" </w:instrText>
          </w:r>
          <w:r>
            <w:fldChar w:fldCharType="separate"/>
          </w:r>
          <w:r>
            <w:rPr>
              <w:rFonts w:hint="eastAsia"/>
              <w:highlight w:val="none"/>
              <w:lang w:val="en-US" w:eastAsia="zh-CN"/>
            </w:rPr>
            <w:t>11.2风险防控对策</w:t>
          </w:r>
          <w:r>
            <w:tab/>
          </w:r>
          <w:r>
            <w:fldChar w:fldCharType="begin"/>
          </w:r>
          <w:r>
            <w:instrText xml:space="preserve"> PAGEREF _Toc77 \h </w:instrText>
          </w:r>
          <w:r>
            <w:fldChar w:fldCharType="separate"/>
          </w:r>
          <w:r>
            <w:t>98</w:t>
          </w:r>
          <w:r>
            <w:fldChar w:fldCharType="end"/>
          </w:r>
          <w:r>
            <w:fldChar w:fldCharType="end"/>
          </w:r>
        </w:p>
        <w:p w14:paraId="683CC15E">
          <w:pPr>
            <w:pStyle w:val="13"/>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"_Toc28064" </w:instrText>
          </w:r>
          <w:r>
            <w:fldChar w:fldCharType="separate"/>
          </w:r>
          <w:r>
            <w:rPr>
              <w:rFonts w:hint="eastAsia"/>
              <w:highlight w:val="none"/>
              <w:lang w:val="en-US" w:eastAsia="zh-CN"/>
            </w:rPr>
            <w:t>第十二章 未来规划</w:t>
          </w:r>
          <w:r>
            <w:tab/>
          </w:r>
          <w:r>
            <w:fldChar w:fldCharType="begin"/>
          </w:r>
          <w:r>
            <w:instrText xml:space="preserve"> PAGEREF _Toc28064 \h </w:instrText>
          </w:r>
          <w:r>
            <w:fldChar w:fldCharType="separate"/>
          </w:r>
          <w:r>
            <w:t>100</w:t>
          </w:r>
          <w:r>
            <w:fldChar w:fldCharType="end"/>
          </w:r>
          <w:r>
            <w:fldChar w:fldCharType="end"/>
          </w:r>
        </w:p>
        <w:p w14:paraId="04DF351B">
          <w:pPr>
            <w:pStyle w:val="13"/>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"_Toc3413" </w:instrText>
          </w:r>
          <w:r>
            <w:fldChar w:fldCharType="separate"/>
          </w:r>
          <w:r>
            <w:rPr>
              <w:rFonts w:hint="eastAsia"/>
              <w:lang w:val="en-US" w:eastAsia="zh-CN"/>
            </w:rPr>
            <w:t>第十三章 相关证明材料</w:t>
          </w:r>
          <w:r>
            <w:tab/>
          </w:r>
          <w:r>
            <w:fldChar w:fldCharType="begin"/>
          </w:r>
          <w:r>
            <w:instrText xml:space="preserve"> PAGEREF _Toc3413 \h </w:instrText>
          </w:r>
          <w:r>
            <w:fldChar w:fldCharType="separate"/>
          </w:r>
          <w:r>
            <w:t>101</w:t>
          </w:r>
          <w:r>
            <w:fldChar w:fldCharType="end"/>
          </w:r>
          <w:r>
            <w:fldChar w:fldCharType="end"/>
          </w:r>
        </w:p>
        <w:p w14:paraId="58591C6E">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"_Toc22108" </w:instrText>
          </w:r>
          <w:r>
            <w:fldChar w:fldCharType="separate"/>
          </w:r>
          <w:r>
            <w:rPr>
              <w:rFonts w:hint="eastAsia" w:ascii="Times New Roman" w:hAnsi="Times New Roman" w:eastAsia="仿宋" w:cs="Arial"/>
              <w:snapToGrid w:val="0"/>
              <w:kern w:val="0"/>
              <w:szCs w:val="30"/>
              <w:lang w:val="en-US" w:eastAsia="zh-CN" w:bidi="ar-SA"/>
            </w:rPr>
            <w:t>13.1</w:t>
          </w:r>
          <w:r>
            <w:rPr>
              <w:rFonts w:hint="eastAsia" w:ascii="楷体" w:hAnsi="楷体" w:eastAsia="楷体" w:cs="楷体"/>
              <w:snapToGrid w:val="0"/>
              <w:kern w:val="0"/>
              <w:szCs w:val="30"/>
              <w:lang w:val="en-US" w:eastAsia="zh-CN" w:bidi="ar-SA"/>
            </w:rPr>
            <w:t>相关科研成果证明</w:t>
          </w:r>
          <w:r>
            <w:tab/>
          </w:r>
          <w:r>
            <w:fldChar w:fldCharType="begin"/>
          </w:r>
          <w:r>
            <w:instrText xml:space="preserve"> PAGEREF _Toc22108 \h </w:instrText>
          </w:r>
          <w:r>
            <w:fldChar w:fldCharType="separate"/>
          </w:r>
          <w:r>
            <w:t>101</w:t>
          </w:r>
          <w:r>
            <w:fldChar w:fldCharType="end"/>
          </w:r>
          <w:r>
            <w:fldChar w:fldCharType="end"/>
          </w:r>
        </w:p>
        <w:p w14:paraId="6E827F63">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"_Toc4930" </w:instrText>
          </w:r>
          <w:r>
            <w:fldChar w:fldCharType="separate"/>
          </w:r>
          <w:r>
            <w:rPr>
              <w:rFonts w:hint="eastAsia" w:ascii="Times New Roman" w:hAnsi="Times New Roman" w:cs="Times New Roman"/>
              <w:bCs/>
              <w:snapToGrid w:val="0"/>
              <w:kern w:val="0"/>
              <w:szCs w:val="28"/>
              <w:lang w:val="en-US" w:eastAsia="zh-CN" w:bidi="ar-SA"/>
            </w:rPr>
            <w:t>13.1.1</w:t>
          </w:r>
          <w:r>
            <w:rPr>
              <w:rFonts w:hint="eastAsia" w:ascii="Times New Roman" w:hAnsi="Times New Roman" w:eastAsia="楷体" w:cs="Times New Roman"/>
              <w:bCs/>
              <w:snapToGrid w:val="0"/>
              <w:kern w:val="0"/>
              <w:szCs w:val="28"/>
              <w:lang w:val="en-US" w:eastAsia="zh-CN" w:bidi="ar-SA"/>
            </w:rPr>
            <w:t>科技查新报告</w:t>
          </w:r>
          <w:r>
            <w:tab/>
          </w:r>
          <w:r>
            <w:fldChar w:fldCharType="begin"/>
          </w:r>
          <w:r>
            <w:instrText xml:space="preserve"> PAGEREF _Toc4930 \h </w:instrText>
          </w:r>
          <w:r>
            <w:fldChar w:fldCharType="separate"/>
          </w:r>
          <w:r>
            <w:t>101</w:t>
          </w:r>
          <w:r>
            <w:fldChar w:fldCharType="end"/>
          </w:r>
          <w:r>
            <w:fldChar w:fldCharType="end"/>
          </w:r>
        </w:p>
        <w:p w14:paraId="1F65B3A8">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"_Toc28440" </w:instrText>
          </w:r>
          <w:r>
            <w:fldChar w:fldCharType="separate"/>
          </w:r>
          <w:r>
            <w:rPr>
              <w:rFonts w:hint="eastAsia" w:ascii="Times New Roman" w:hAnsi="Times New Roman" w:eastAsia="仿宋" w:cs="Arial"/>
              <w:snapToGrid w:val="0"/>
              <w:kern w:val="0"/>
              <w:szCs w:val="30"/>
              <w:lang w:val="en-US" w:eastAsia="zh-CN" w:bidi="ar-SA"/>
            </w:rPr>
            <w:t>13.2</w:t>
          </w:r>
          <w:r>
            <w:rPr>
              <w:rFonts w:hint="eastAsia" w:ascii="楷体" w:hAnsi="楷体" w:eastAsia="楷体" w:cs="楷体"/>
              <w:lang w:val="en-US" w:eastAsia="zh-CN"/>
            </w:rPr>
            <w:t>所获专利</w:t>
          </w:r>
          <w:r>
            <w:tab/>
          </w:r>
          <w:r>
            <w:fldChar w:fldCharType="begin"/>
          </w:r>
          <w:r>
            <w:instrText xml:space="preserve"> PAGEREF _Toc28440 \h </w:instrText>
          </w:r>
          <w:r>
            <w:fldChar w:fldCharType="separate"/>
          </w:r>
          <w:r>
            <w:t>114</w:t>
          </w:r>
          <w:r>
            <w:fldChar w:fldCharType="end"/>
          </w:r>
          <w:r>
            <w:fldChar w:fldCharType="end"/>
          </w:r>
        </w:p>
        <w:p w14:paraId="248F0BDD">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"_Toc2130" </w:instrText>
          </w:r>
          <w:r>
            <w:fldChar w:fldCharType="separate"/>
          </w:r>
          <w:r>
            <w:rPr>
              <w:rFonts w:hint="eastAsia" w:ascii="Times New Roman" w:hAnsi="Times New Roman" w:cs="Times New Roman"/>
              <w:bCs/>
              <w:snapToGrid w:val="0"/>
              <w:kern w:val="0"/>
              <w:szCs w:val="28"/>
              <w:lang w:val="en-US" w:eastAsia="zh-CN" w:bidi="ar-SA"/>
            </w:rPr>
            <w:t>13.2.1</w:t>
          </w:r>
          <w:r>
            <w:rPr>
              <w:rFonts w:hint="eastAsia" w:ascii="Times New Roman" w:hAnsi="Times New Roman" w:eastAsia="楷体" w:cs="Times New Roman"/>
              <w:bCs/>
              <w:snapToGrid w:val="0"/>
              <w:kern w:val="0"/>
              <w:szCs w:val="28"/>
              <w:lang w:val="en-US" w:eastAsia="zh-CN" w:bidi="ar-SA"/>
            </w:rPr>
            <w:t>“一种隔震支座”专利申请受理通知书</w:t>
          </w:r>
          <w:r>
            <w:tab/>
          </w:r>
          <w:r>
            <w:fldChar w:fldCharType="begin"/>
          </w:r>
          <w:r>
            <w:instrText xml:space="preserve"> PAGEREF _Toc2130 \h </w:instrText>
          </w:r>
          <w:r>
            <w:fldChar w:fldCharType="separate"/>
          </w:r>
          <w:r>
            <w:t>114</w:t>
          </w:r>
          <w:r>
            <w:fldChar w:fldCharType="end"/>
          </w:r>
          <w:r>
            <w:fldChar w:fldCharType="end"/>
          </w:r>
        </w:p>
        <w:p w14:paraId="4D7E17AD">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"_Toc7139" </w:instrText>
          </w:r>
          <w:r>
            <w:fldChar w:fldCharType="separate"/>
          </w:r>
          <w:r>
            <w:rPr>
              <w:rFonts w:hint="eastAsia" w:ascii="Times New Roman" w:hAnsi="Times New Roman" w:cs="Times New Roman"/>
              <w:bCs/>
              <w:snapToGrid w:val="0"/>
              <w:kern w:val="0"/>
              <w:szCs w:val="28"/>
              <w:lang w:val="en-US" w:eastAsia="zh-CN" w:bidi="ar-SA"/>
            </w:rPr>
            <w:t>13.</w:t>
          </w:r>
          <w:r>
            <w:rPr>
              <w:rFonts w:hint="eastAsia" w:ascii="Times New Roman" w:hAnsi="Times New Roman" w:eastAsia="楷体" w:cs="Times New Roman"/>
              <w:bCs/>
              <w:snapToGrid w:val="0"/>
              <w:kern w:val="0"/>
              <w:szCs w:val="28"/>
              <w:lang w:val="en-US" w:eastAsia="zh-CN" w:bidi="ar-SA"/>
            </w:rPr>
            <w:t>2.2“隔震支座”专利申请受理通知书</w:t>
          </w:r>
          <w:r>
            <w:tab/>
          </w:r>
          <w:r>
            <w:fldChar w:fldCharType="begin"/>
          </w:r>
          <w:r>
            <w:instrText xml:space="preserve"> PAGEREF _Toc7139 \h </w:instrText>
          </w:r>
          <w:r>
            <w:fldChar w:fldCharType="separate"/>
          </w:r>
          <w:r>
            <w:t>115</w:t>
          </w:r>
          <w:r>
            <w:fldChar w:fldCharType="end"/>
          </w:r>
          <w:r>
            <w:fldChar w:fldCharType="end"/>
          </w:r>
        </w:p>
        <w:p w14:paraId="33A0DE64">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"_Toc26760" </w:instrText>
          </w:r>
          <w:r>
            <w:fldChar w:fldCharType="separate"/>
          </w:r>
          <w:r>
            <w:rPr>
              <w:rFonts w:hint="eastAsia" w:ascii="Times New Roman" w:hAnsi="Times New Roman" w:cs="Times New Roman"/>
              <w:bCs/>
              <w:snapToGrid w:val="0"/>
              <w:kern w:val="0"/>
              <w:szCs w:val="28"/>
              <w:lang w:val="en-US" w:eastAsia="zh-CN" w:bidi="ar-SA"/>
            </w:rPr>
            <w:t>13.</w:t>
          </w:r>
          <w:r>
            <w:rPr>
              <w:rFonts w:hint="eastAsia" w:ascii="Times New Roman" w:hAnsi="Times New Roman" w:eastAsia="楷体" w:cs="Times New Roman"/>
              <w:bCs/>
              <w:snapToGrid w:val="0"/>
              <w:kern w:val="0"/>
              <w:szCs w:val="28"/>
              <w:lang w:val="en-US" w:eastAsia="zh-CN" w:bidi="ar-SA"/>
            </w:rPr>
            <w:t>2.3“一种隔震支座”专利申请受理通知书</w:t>
          </w:r>
          <w:r>
            <w:tab/>
          </w:r>
          <w:r>
            <w:fldChar w:fldCharType="begin"/>
          </w:r>
          <w:r>
            <w:instrText xml:space="preserve"> PAGEREF _Toc26760 \h </w:instrText>
          </w:r>
          <w:r>
            <w:fldChar w:fldCharType="separate"/>
          </w:r>
          <w:r>
            <w:t>116</w:t>
          </w:r>
          <w:r>
            <w:fldChar w:fldCharType="end"/>
          </w:r>
          <w:r>
            <w:fldChar w:fldCharType="end"/>
          </w:r>
        </w:p>
        <w:p w14:paraId="1F4F9410">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"_Toc13925" </w:instrText>
          </w:r>
          <w:r>
            <w:fldChar w:fldCharType="separate"/>
          </w:r>
          <w:r>
            <w:rPr>
              <w:rFonts w:hint="eastAsia"/>
              <w:lang w:val="en-US" w:eastAsia="zh-CN"/>
            </w:rPr>
            <w:t>13.4</w:t>
          </w:r>
          <w:r>
            <w:rPr>
              <w:rFonts w:hint="eastAsia" w:ascii="楷体" w:hAnsi="楷体" w:eastAsia="楷体" w:cs="楷体"/>
              <w:lang w:val="en-US" w:eastAsia="zh-CN"/>
            </w:rPr>
            <w:t>应用证明</w:t>
          </w:r>
          <w:r>
            <w:tab/>
          </w:r>
          <w:r>
            <w:fldChar w:fldCharType="begin"/>
          </w:r>
          <w:r>
            <w:instrText xml:space="preserve"> PAGEREF _Toc13925 \h </w:instrText>
          </w:r>
          <w:r>
            <w:fldChar w:fldCharType="separate"/>
          </w:r>
          <w:r>
            <w:t>117</w:t>
          </w:r>
          <w:r>
            <w:fldChar w:fldCharType="end"/>
          </w:r>
          <w:r>
            <w:fldChar w:fldCharType="end"/>
          </w:r>
        </w:p>
        <w:p w14:paraId="0295581E">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"_Toc1819" </w:instrText>
          </w:r>
          <w:r>
            <w:fldChar w:fldCharType="separate"/>
          </w:r>
          <w:r>
            <w:rPr>
              <w:rFonts w:hint="eastAsia" w:ascii="Times New Roman" w:hAnsi="Times New Roman" w:cs="Times New Roman"/>
              <w:bCs/>
              <w:snapToGrid w:val="0"/>
              <w:kern w:val="0"/>
              <w:szCs w:val="28"/>
              <w:lang w:val="en-US" w:eastAsia="zh-CN" w:bidi="ar-SA"/>
            </w:rPr>
            <w:t>13.</w:t>
          </w:r>
          <w:r>
            <w:rPr>
              <w:rFonts w:hint="eastAsia" w:ascii="Times New Roman" w:hAnsi="Times New Roman" w:eastAsia="楷体" w:cs="Times New Roman"/>
              <w:bCs/>
              <w:snapToGrid w:val="0"/>
              <w:kern w:val="0"/>
              <w:szCs w:val="28"/>
              <w:lang w:val="en-US" w:eastAsia="zh-CN" w:bidi="ar-SA"/>
            </w:rPr>
            <w:t>4.1四川攀枝花市东区银江镇民居抗震加固工程</w:t>
          </w:r>
          <w:r>
            <w:tab/>
          </w:r>
          <w:r>
            <w:fldChar w:fldCharType="begin"/>
          </w:r>
          <w:r>
            <w:instrText xml:space="preserve"> PAGEREF _Toc1819 \h </w:instrText>
          </w:r>
          <w:r>
            <w:fldChar w:fldCharType="separate"/>
          </w:r>
          <w:r>
            <w:t>117</w:t>
          </w:r>
          <w:r>
            <w:fldChar w:fldCharType="end"/>
          </w:r>
          <w:r>
            <w:fldChar w:fldCharType="end"/>
          </w:r>
        </w:p>
        <w:p w14:paraId="1C444E66">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"_Toc14934" </w:instrText>
          </w:r>
          <w:r>
            <w:fldChar w:fldCharType="separate"/>
          </w:r>
          <w:r>
            <w:rPr>
              <w:rFonts w:hint="eastAsia" w:ascii="Times New Roman" w:hAnsi="Times New Roman" w:cs="Times New Roman"/>
              <w:bCs/>
              <w:snapToGrid w:val="0"/>
              <w:kern w:val="0"/>
              <w:szCs w:val="28"/>
              <w:lang w:val="en-US" w:eastAsia="zh-CN" w:bidi="ar-SA"/>
            </w:rPr>
            <w:t>13.</w:t>
          </w:r>
          <w:r>
            <w:rPr>
              <w:rFonts w:hint="eastAsia" w:ascii="Times New Roman" w:hAnsi="Times New Roman" w:eastAsia="楷体" w:cs="Times New Roman"/>
              <w:bCs/>
              <w:snapToGrid w:val="0"/>
              <w:kern w:val="0"/>
              <w:szCs w:val="28"/>
              <w:lang w:val="en-US" w:eastAsia="zh-CN" w:bidi="ar-SA"/>
            </w:rPr>
            <w:t>4.2贵州省铜仁市碧江区坝黄镇抗震加固工程</w:t>
          </w:r>
          <w:r>
            <w:tab/>
          </w:r>
          <w:r>
            <w:fldChar w:fldCharType="begin"/>
          </w:r>
          <w:r>
            <w:instrText xml:space="preserve"> PAGEREF _Toc14934 \h </w:instrText>
          </w:r>
          <w:r>
            <w:fldChar w:fldCharType="separate"/>
          </w:r>
          <w:r>
            <w:t>118</w:t>
          </w:r>
          <w:r>
            <w:fldChar w:fldCharType="end"/>
          </w:r>
          <w:r>
            <w:fldChar w:fldCharType="end"/>
          </w:r>
        </w:p>
        <w:p w14:paraId="3C1C86B3">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"_Toc23742" </w:instrText>
          </w:r>
          <w:r>
            <w:fldChar w:fldCharType="separate"/>
          </w:r>
          <w:r>
            <w:rPr>
              <w:rFonts w:hint="eastAsia" w:ascii="Times New Roman" w:hAnsi="Times New Roman" w:cs="Times New Roman"/>
              <w:bCs/>
              <w:snapToGrid w:val="0"/>
              <w:kern w:val="0"/>
              <w:szCs w:val="28"/>
              <w:lang w:val="en-US" w:eastAsia="zh-CN" w:bidi="ar-SA"/>
            </w:rPr>
            <w:t>13.</w:t>
          </w:r>
          <w:r>
            <w:rPr>
              <w:rFonts w:hint="eastAsia" w:ascii="Times New Roman" w:hAnsi="Times New Roman" w:eastAsia="楷体" w:cs="Times New Roman"/>
              <w:bCs/>
              <w:snapToGrid w:val="0"/>
              <w:kern w:val="0"/>
              <w:szCs w:val="28"/>
              <w:lang w:val="en-US" w:eastAsia="zh-CN" w:bidi="ar-SA"/>
            </w:rPr>
            <w:t>4.3云南省昆明市右林县圭山镇糯黑村抗震加固工程</w:t>
          </w:r>
          <w:r>
            <w:tab/>
          </w:r>
          <w:r>
            <w:fldChar w:fldCharType="begin"/>
          </w:r>
          <w:r>
            <w:instrText xml:space="preserve"> PAGEREF _Toc23742 \h </w:instrText>
          </w:r>
          <w:r>
            <w:fldChar w:fldCharType="separate"/>
          </w:r>
          <w:r>
            <w:t>119</w:t>
          </w:r>
          <w:r>
            <w:fldChar w:fldCharType="end"/>
          </w:r>
          <w:r>
            <w:fldChar w:fldCharType="end"/>
          </w:r>
        </w:p>
        <w:p w14:paraId="7018452F">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"_Toc31917" </w:instrText>
          </w:r>
          <w:r>
            <w:fldChar w:fldCharType="separate"/>
          </w:r>
          <w:r>
            <w:rPr>
              <w:rFonts w:hint="eastAsia" w:ascii="Times New Roman" w:hAnsi="Times New Roman" w:cs="Times New Roman"/>
              <w:bCs/>
              <w:snapToGrid w:val="0"/>
              <w:kern w:val="0"/>
              <w:szCs w:val="28"/>
              <w:lang w:val="en-US" w:eastAsia="zh-CN" w:bidi="ar-SA"/>
            </w:rPr>
            <w:t>13.</w:t>
          </w:r>
          <w:r>
            <w:rPr>
              <w:rFonts w:hint="eastAsia" w:ascii="Times New Roman" w:hAnsi="Times New Roman" w:eastAsia="楷体" w:cs="Times New Roman"/>
              <w:bCs/>
              <w:snapToGrid w:val="0"/>
              <w:kern w:val="0"/>
              <w:szCs w:val="28"/>
              <w:lang w:val="en-US" w:eastAsia="zh-CN" w:bidi="ar-SA"/>
            </w:rPr>
            <w:t>4.4灾后重建项目</w:t>
          </w:r>
          <w:r>
            <w:tab/>
          </w:r>
          <w:r>
            <w:fldChar w:fldCharType="begin"/>
          </w:r>
          <w:r>
            <w:instrText xml:space="preserve"> PAGEREF _Toc31917 \h </w:instrText>
          </w:r>
          <w:r>
            <w:fldChar w:fldCharType="separate"/>
          </w:r>
          <w:r>
            <w:t>120</w:t>
          </w:r>
          <w:r>
            <w:fldChar w:fldCharType="end"/>
          </w:r>
          <w:r>
            <w:fldChar w:fldCharType="end"/>
          </w:r>
        </w:p>
        <w:p w14:paraId="6284FDC5">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"_Toc5403" </w:instrText>
          </w:r>
          <w:r>
            <w:fldChar w:fldCharType="separate"/>
          </w:r>
          <w:r>
            <w:rPr>
              <w:rFonts w:hint="eastAsia" w:ascii="Times New Roman" w:hAnsi="Times New Roman" w:cs="Times New Roman"/>
              <w:bCs/>
              <w:snapToGrid w:val="0"/>
              <w:kern w:val="0"/>
              <w:szCs w:val="28"/>
              <w:lang w:val="en-US" w:eastAsia="zh-CN" w:bidi="ar-SA"/>
            </w:rPr>
            <w:t>13.</w:t>
          </w:r>
          <w:r>
            <w:rPr>
              <w:rFonts w:hint="eastAsia" w:ascii="Times New Roman" w:hAnsi="Times New Roman" w:eastAsia="楷体" w:cs="Times New Roman"/>
              <w:bCs/>
              <w:snapToGrid w:val="0"/>
              <w:kern w:val="0"/>
              <w:szCs w:val="28"/>
              <w:lang w:val="en-US" w:eastAsia="zh-CN" w:bidi="ar-SA"/>
            </w:rPr>
            <w:t>4.5危房改造示范工程</w:t>
          </w:r>
          <w:r>
            <w:tab/>
          </w:r>
          <w:r>
            <w:fldChar w:fldCharType="begin"/>
          </w:r>
          <w:r>
            <w:instrText xml:space="preserve"> PAGEREF _Toc5403 \h </w:instrText>
          </w:r>
          <w:r>
            <w:fldChar w:fldCharType="separate"/>
          </w:r>
          <w:r>
            <w:t>121</w:t>
          </w:r>
          <w:r>
            <w:fldChar w:fldCharType="end"/>
          </w:r>
          <w:r>
            <w:fldChar w:fldCharType="end"/>
          </w:r>
        </w:p>
        <w:p w14:paraId="5EAC8F61">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"_Toc31254" </w:instrText>
          </w:r>
          <w:r>
            <w:fldChar w:fldCharType="separate"/>
          </w:r>
          <w:r>
            <w:rPr>
              <w:rFonts w:hint="eastAsia"/>
              <w:lang w:val="en-US" w:eastAsia="zh-CN"/>
            </w:rPr>
            <w:t>13.5</w:t>
          </w:r>
          <w:r>
            <w:rPr>
              <w:rFonts w:hint="eastAsia" w:ascii="楷体" w:hAnsi="楷体" w:eastAsia="楷体" w:cs="楷体"/>
              <w:lang w:val="en-US" w:eastAsia="zh-CN"/>
            </w:rPr>
            <w:t>校企合作</w:t>
          </w:r>
          <w:r>
            <w:tab/>
          </w:r>
          <w:r>
            <w:fldChar w:fldCharType="begin"/>
          </w:r>
          <w:r>
            <w:instrText xml:space="preserve"> PAGEREF _Toc31254 \h </w:instrText>
          </w:r>
          <w:r>
            <w:fldChar w:fldCharType="separate"/>
          </w:r>
          <w:r>
            <w:t>122</w:t>
          </w:r>
          <w:r>
            <w:fldChar w:fldCharType="end"/>
          </w:r>
          <w:r>
            <w:fldChar w:fldCharType="end"/>
          </w:r>
        </w:p>
        <w:p w14:paraId="5C571BD5">
          <w:pPr>
            <w:pStyle w:val="14"/>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"_Toc15236" </w:instrText>
          </w:r>
          <w:r>
            <w:fldChar w:fldCharType="separate"/>
          </w:r>
          <w:r>
            <w:rPr>
              <w:rFonts w:hint="eastAsia"/>
              <w:lang w:val="en-US" w:eastAsia="zh-CN"/>
            </w:rPr>
            <w:t>13.6</w:t>
          </w:r>
          <w:r>
            <w:rPr>
              <w:rFonts w:hint="eastAsia" w:ascii="楷体" w:hAnsi="楷体" w:eastAsia="楷体" w:cs="楷体"/>
              <w:lang w:val="en-US" w:eastAsia="zh-CN"/>
            </w:rPr>
            <w:t>专家推荐信</w:t>
          </w:r>
          <w:r>
            <w:tab/>
          </w:r>
          <w:r>
            <w:fldChar w:fldCharType="begin"/>
          </w:r>
          <w:r>
            <w:instrText xml:space="preserve"> PAGEREF _Toc15236 \h </w:instrText>
          </w:r>
          <w:r>
            <w:fldChar w:fldCharType="separate"/>
          </w:r>
          <w:r>
            <w:t>124</w:t>
          </w:r>
          <w:r>
            <w:fldChar w:fldCharType="end"/>
          </w:r>
          <w:r>
            <w:fldChar w:fldCharType="end"/>
          </w:r>
        </w:p>
        <w:p w14:paraId="2B684825">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"_Toc29831" </w:instrText>
          </w:r>
          <w:r>
            <w:fldChar w:fldCharType="separate"/>
          </w:r>
          <w:r>
            <w:rPr>
              <w:rFonts w:hint="eastAsia" w:ascii="Times New Roman" w:hAnsi="Times New Roman" w:cs="Times New Roman"/>
              <w:bCs/>
              <w:snapToGrid w:val="0"/>
              <w:kern w:val="0"/>
              <w:szCs w:val="28"/>
              <w:lang w:val="en-US" w:eastAsia="zh-CN" w:bidi="ar-SA"/>
            </w:rPr>
            <w:t>13.</w:t>
          </w:r>
          <w:r>
            <w:rPr>
              <w:rFonts w:hint="eastAsia" w:ascii="Times New Roman" w:hAnsi="Times New Roman" w:eastAsia="楷体" w:cs="Times New Roman"/>
              <w:bCs/>
              <w:snapToGrid w:val="0"/>
              <w:kern w:val="0"/>
              <w:szCs w:val="28"/>
              <w:lang w:val="en-US" w:eastAsia="zh-CN" w:bidi="ar-SA"/>
            </w:rPr>
            <w:t>6.1周福霖院士推荐信</w:t>
          </w:r>
          <w:r>
            <w:tab/>
          </w:r>
          <w:r>
            <w:fldChar w:fldCharType="begin"/>
          </w:r>
          <w:r>
            <w:instrText xml:space="preserve"> PAGEREF _Toc29831 \h </w:instrText>
          </w:r>
          <w:r>
            <w:fldChar w:fldCharType="separate"/>
          </w:r>
          <w:r>
            <w:t>124</w:t>
          </w:r>
          <w:r>
            <w:fldChar w:fldCharType="end"/>
          </w:r>
          <w:r>
            <w:fldChar w:fldCharType="end"/>
          </w:r>
        </w:p>
        <w:p w14:paraId="10FF8CE5">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"_Toc9799" </w:instrText>
          </w:r>
          <w:r>
            <w:fldChar w:fldCharType="separate"/>
          </w:r>
          <w:r>
            <w:rPr>
              <w:rFonts w:hint="eastAsia" w:ascii="Times New Roman" w:hAnsi="Times New Roman" w:cs="Times New Roman"/>
              <w:bCs/>
              <w:snapToGrid w:val="0"/>
              <w:kern w:val="0"/>
              <w:szCs w:val="28"/>
              <w:lang w:val="en-US" w:eastAsia="zh-CN" w:bidi="ar-SA"/>
            </w:rPr>
            <w:t>13.</w:t>
          </w:r>
          <w:r>
            <w:rPr>
              <w:rFonts w:hint="eastAsia" w:ascii="Times New Roman" w:hAnsi="Times New Roman" w:eastAsia="楷体" w:cs="Times New Roman"/>
              <w:bCs/>
              <w:snapToGrid w:val="0"/>
              <w:kern w:val="0"/>
              <w:szCs w:val="28"/>
              <w:lang w:val="en-US" w:eastAsia="zh-CN" w:bidi="ar-SA"/>
            </w:rPr>
            <w:t>6.2谭平教授推荐信</w:t>
          </w:r>
          <w:r>
            <w:tab/>
          </w:r>
          <w:r>
            <w:fldChar w:fldCharType="begin"/>
          </w:r>
          <w:r>
            <w:instrText xml:space="preserve"> PAGEREF _Toc9799 \h </w:instrText>
          </w:r>
          <w:r>
            <w:fldChar w:fldCharType="separate"/>
          </w:r>
          <w:r>
            <w:t>125</w:t>
          </w:r>
          <w:r>
            <w:fldChar w:fldCharType="end"/>
          </w:r>
          <w:r>
            <w:fldChar w:fldCharType="end"/>
          </w:r>
        </w:p>
        <w:p w14:paraId="315E973A">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"_Toc15521" </w:instrText>
          </w:r>
          <w:r>
            <w:fldChar w:fldCharType="separate"/>
          </w:r>
          <w:r>
            <w:rPr>
              <w:rFonts w:hint="eastAsia" w:ascii="Times New Roman" w:hAnsi="Times New Roman" w:cs="Times New Roman"/>
              <w:bCs/>
              <w:snapToGrid w:val="0"/>
              <w:kern w:val="0"/>
              <w:szCs w:val="28"/>
              <w:lang w:val="en-US" w:eastAsia="zh-CN" w:bidi="ar-SA"/>
            </w:rPr>
            <w:t>13.</w:t>
          </w:r>
          <w:r>
            <w:rPr>
              <w:rFonts w:hint="eastAsia" w:ascii="Times New Roman" w:hAnsi="Times New Roman" w:eastAsia="楷体" w:cs="Times New Roman"/>
              <w:bCs/>
              <w:snapToGrid w:val="0"/>
              <w:kern w:val="0"/>
              <w:szCs w:val="28"/>
              <w:lang w:val="en-US" w:eastAsia="zh-CN" w:bidi="ar-SA"/>
            </w:rPr>
            <w:t>6.3云南省富民县赤鹫镇村民感谢信</w:t>
          </w:r>
          <w:r>
            <w:tab/>
          </w:r>
          <w:r>
            <w:fldChar w:fldCharType="begin"/>
          </w:r>
          <w:r>
            <w:instrText xml:space="preserve"> PAGEREF _Toc15521 \h </w:instrText>
          </w:r>
          <w:r>
            <w:fldChar w:fldCharType="separate"/>
          </w:r>
          <w:r>
            <w:t>126</w:t>
          </w:r>
          <w:r>
            <w:fldChar w:fldCharType="end"/>
          </w:r>
          <w:r>
            <w:fldChar w:fldCharType="end"/>
          </w:r>
        </w:p>
        <w:p w14:paraId="444CE7EE">
          <w:pPr>
            <w:pStyle w:val="8"/>
            <w:keepNext w:val="0"/>
            <w:keepLines w:val="0"/>
            <w:pageBreakBefore w:val="0"/>
            <w:widowControl w:val="0"/>
            <w:tabs>
              <w:tab w:val="right" w:leader="dot" w:pos="8306"/>
            </w:tabs>
            <w:kinsoku/>
            <w:wordWrap/>
            <w:overflowPunct/>
            <w:topLinePunct w:val="0"/>
            <w:autoSpaceDE/>
            <w:autoSpaceDN/>
            <w:bidi w:val="0"/>
            <w:adjustRightInd/>
            <w:snapToGrid/>
            <w:spacing w:line="594" w:lineRule="exact"/>
            <w:textAlignment w:val="auto"/>
          </w:pPr>
          <w:r>
            <w:fldChar w:fldCharType="begin"/>
          </w:r>
          <w:r>
            <w:instrText xml:space="preserve"> HYPERLINK \l "_Toc16177" </w:instrText>
          </w:r>
          <w:r>
            <w:fldChar w:fldCharType="separate"/>
          </w:r>
          <w:r>
            <w:rPr>
              <w:rFonts w:hint="eastAsia" w:ascii="Times New Roman" w:hAnsi="Times New Roman" w:cs="Times New Roman"/>
              <w:bCs/>
              <w:snapToGrid w:val="0"/>
              <w:kern w:val="0"/>
              <w:szCs w:val="28"/>
              <w:lang w:val="en-US" w:eastAsia="zh-CN" w:bidi="ar-SA"/>
            </w:rPr>
            <w:t>13.</w:t>
          </w:r>
          <w:r>
            <w:rPr>
              <w:rFonts w:hint="eastAsia" w:ascii="Times New Roman" w:hAnsi="Times New Roman" w:eastAsia="楷体" w:cs="Times New Roman"/>
              <w:bCs/>
              <w:snapToGrid w:val="0"/>
              <w:kern w:val="0"/>
              <w:szCs w:val="28"/>
              <w:lang w:val="en-US" w:eastAsia="zh-CN" w:bidi="ar-SA"/>
            </w:rPr>
            <w:t>6.4湖南省住房和城乡建设厅推荐函</w:t>
          </w:r>
          <w:r>
            <w:tab/>
          </w:r>
          <w:r>
            <w:fldChar w:fldCharType="begin"/>
          </w:r>
          <w:r>
            <w:instrText xml:space="preserve"> PAGEREF _Toc16177 \h </w:instrText>
          </w:r>
          <w:r>
            <w:fldChar w:fldCharType="separate"/>
          </w:r>
          <w:r>
            <w:t>127</w:t>
          </w:r>
          <w:r>
            <w:fldChar w:fldCharType="end"/>
          </w:r>
          <w:r>
            <w:fldChar w:fldCharType="end"/>
          </w:r>
        </w:p>
        <w:p w14:paraId="452322ED">
          <w:pPr>
            <w:keepNext w:val="0"/>
            <w:keepLines w:val="0"/>
            <w:pageBreakBefore w:val="0"/>
            <w:widowControl w:val="0"/>
            <w:kinsoku/>
            <w:wordWrap/>
            <w:overflowPunct/>
            <w:topLinePunct w:val="0"/>
            <w:autoSpaceDE/>
            <w:autoSpaceDN/>
            <w:bidi w:val="0"/>
            <w:adjustRightInd/>
            <w:snapToGrid/>
            <w:spacing w:line="594" w:lineRule="exact"/>
            <w:textAlignment w:val="auto"/>
          </w:pPr>
          <w:r>
            <w:fldChar w:fldCharType="end"/>
          </w:r>
        </w:p>
        <w:p w14:paraId="48E4B3C6">
          <w:pPr>
            <w:keepNext w:val="0"/>
            <w:keepLines w:val="0"/>
            <w:pageBreakBefore w:val="0"/>
            <w:widowControl w:val="0"/>
            <w:tabs>
              <w:tab w:val="left" w:leader="dot" w:pos="0"/>
            </w:tabs>
            <w:kinsoku/>
            <w:wordWrap/>
            <w:overflowPunct/>
            <w:topLinePunct w:val="0"/>
            <w:autoSpaceDE/>
            <w:autoSpaceDN/>
            <w:bidi w:val="0"/>
            <w:adjustRightInd/>
            <w:spacing w:line="240" w:lineRule="auto"/>
            <w:jc w:val="both"/>
            <w:textAlignment w:val="auto"/>
            <w:rPr>
              <w:rFonts w:ascii="Times New Roman" w:hAnsi="Times New Roman" w:eastAsia="楷体" w:cs="Times New Roman"/>
              <w:color w:val="000000" w:themeColor="text1"/>
              <w:sz w:val="28"/>
              <w:szCs w:val="28"/>
              <w:highlight w:val="none"/>
              <w14:textFill>
                <w14:solidFill>
                  <w14:schemeClr w14:val="tx1"/>
                </w14:solidFill>
              </w14:textFill>
            </w:rPr>
            <w:sectPr>
              <w:pgSz w:w="11906" w:h="16838"/>
              <w:pgMar w:top="1440" w:right="1800" w:bottom="1440" w:left="1800" w:header="397" w:footer="1077" w:gutter="0"/>
              <w:pgBorders>
                <w:top w:val="none" w:sz="0" w:space="0"/>
                <w:left w:val="none" w:sz="0" w:space="0"/>
                <w:bottom w:val="none" w:sz="0" w:space="0"/>
                <w:right w:val="none" w:sz="0" w:space="0"/>
              </w:pgBorders>
              <w:pgNumType w:fmt="decimal" w:start="1"/>
              <w:cols w:space="425" w:num="1"/>
              <w:docGrid w:type="lines" w:linePitch="312" w:charSpace="0"/>
            </w:sectPr>
          </w:pPr>
        </w:p>
      </w:sdtContent>
    </w:sdt>
    <w:p w14:paraId="48AB1BC8">
      <w:pPr>
        <w:pStyle w:val="2"/>
        <w:numPr>
          <w:ilvl w:val="0"/>
          <w:numId w:val="0"/>
        </w:numPr>
        <w:bidi w:val="0"/>
        <w:spacing w:line="360" w:lineRule="auto"/>
        <w:ind w:leftChars="0"/>
        <w:jc w:val="center"/>
        <w:rPr>
          <w:rFonts w:hint="default"/>
          <w:highlight w:val="none"/>
          <w:lang w:val="en-US" w:eastAsia="zh-CN"/>
        </w:rPr>
      </w:pPr>
      <w:bookmarkStart w:id="0" w:name="_Toc25064"/>
      <w:bookmarkStart w:id="1" w:name="_Toc19463"/>
      <w:r>
        <w:rPr>
          <w:rFonts w:hint="eastAsia"/>
          <w:highlight w:val="none"/>
          <w:lang w:val="en-US" w:eastAsia="zh-CN"/>
        </w:rPr>
        <w:t>第一章 项目概要</w:t>
      </w:r>
      <w:bookmarkEnd w:id="0"/>
      <w:bookmarkEnd w:id="1"/>
    </w:p>
    <w:p w14:paraId="284361D4">
      <w:pPr>
        <w:pStyle w:val="3"/>
        <w:keepNext/>
        <w:keepLines/>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楷体"/>
          <w:b/>
          <w:color w:val="000000" w:themeColor="text1"/>
          <w:sz w:val="32"/>
          <w:highlight w:val="none"/>
          <w:lang w:val="en-US" w:eastAsia="zh-CN"/>
          <w14:textFill>
            <w14:solidFill>
              <w14:schemeClr w14:val="tx1"/>
            </w14:solidFill>
          </w14:textFill>
        </w:rPr>
      </w:pPr>
      <w:bookmarkStart w:id="2" w:name="_Toc8787"/>
      <w:bookmarkStart w:id="3" w:name="_Toc3250"/>
      <w:r>
        <w:rPr>
          <w:rFonts w:hint="eastAsia" w:ascii="Times New Roman" w:hAnsi="Times New Roman" w:eastAsia="楷体"/>
          <w:b/>
          <w:color w:val="000000" w:themeColor="text1"/>
          <w:sz w:val="32"/>
          <w:highlight w:val="none"/>
          <w:lang w:val="en-US" w:eastAsia="zh-CN"/>
          <w14:textFill>
            <w14:solidFill>
              <w14:schemeClr w14:val="tx1"/>
            </w14:solidFill>
          </w14:textFill>
        </w:rPr>
        <w:t>1.1行业背景</w:t>
      </w:r>
      <w:bookmarkEnd w:id="2"/>
      <w:bookmarkEnd w:id="3"/>
    </w:p>
    <w:p w14:paraId="3F1EA752">
      <w:pPr>
        <w:pStyle w:val="4"/>
        <w:keepNext/>
        <w:keepLines/>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楷体"/>
          <w:b/>
          <w:color w:val="000000" w:themeColor="text1"/>
          <w:sz w:val="32"/>
          <w:highlight w:val="none"/>
          <w:lang w:val="en-US" w:eastAsia="zh-CN"/>
          <w14:textFill>
            <w14:solidFill>
              <w14:schemeClr w14:val="tx1"/>
            </w14:solidFill>
          </w14:textFill>
        </w:rPr>
      </w:pPr>
      <w:bookmarkStart w:id="4" w:name="_Toc21939"/>
      <w:bookmarkStart w:id="5" w:name="_Toc6649"/>
      <w:r>
        <w:rPr>
          <w:rFonts w:hint="eastAsia" w:ascii="Times New Roman" w:hAnsi="Times New Roman" w:eastAsia="楷体"/>
          <w:b/>
          <w:color w:val="000000" w:themeColor="text1"/>
          <w:sz w:val="32"/>
          <w:highlight w:val="none"/>
          <w:lang w:val="en-US" w:eastAsia="zh-CN"/>
          <w14:textFill>
            <w14:solidFill>
              <w14:schemeClr w14:val="tx1"/>
            </w14:solidFill>
          </w14:textFill>
        </w:rPr>
        <w:t>1.1.1项目痛点</w:t>
      </w:r>
      <w:bookmarkEnd w:id="4"/>
      <w:bookmarkEnd w:id="5"/>
    </w:p>
    <w:p w14:paraId="2C2B8BCB">
      <w:pPr>
        <w:keepNext w:val="0"/>
        <w:keepLines w:val="0"/>
        <w:pageBreakBefore w:val="0"/>
        <w:widowControl w:val="0"/>
        <w:kinsoku/>
        <w:wordWrap/>
        <w:overflowPunct/>
        <w:topLinePunct w:val="0"/>
        <w:autoSpaceDE/>
        <w:autoSpaceDN/>
        <w:bidi w:val="0"/>
        <w:adjustRightInd/>
        <w:snapToGrid/>
        <w:spacing w:afterAutospacing="0" w:line="360" w:lineRule="auto"/>
        <w:ind w:firstLine="560" w:firstLineChars="200"/>
        <w:textAlignment w:val="auto"/>
        <w:rPr>
          <w:rFonts w:ascii="Times New Roman" w:hAnsi="Times New Roman" w:eastAsia="楷体"/>
          <w:sz w:val="28"/>
          <w:highlight w:val="none"/>
        </w:rPr>
      </w:pPr>
      <w:r>
        <w:rPr>
          <w:rFonts w:ascii="Times New Roman" w:hAnsi="Times New Roman" w:eastAsia="楷体"/>
          <w:sz w:val="28"/>
          <w:highlight w:val="none"/>
        </w:rPr>
        <w:t>我国是一个地震多发国，</w:t>
      </w:r>
      <w:r>
        <w:rPr>
          <w:rFonts w:hint="eastAsia" w:ascii="Times New Roman" w:hAnsi="Times New Roman" w:eastAsia="楷体"/>
          <w:sz w:val="28"/>
          <w:highlight w:val="none"/>
          <w:lang w:val="en-US" w:eastAsia="zh-CN"/>
        </w:rPr>
        <w:t>据</w:t>
      </w:r>
      <w:r>
        <w:rPr>
          <w:rFonts w:ascii="Times New Roman" w:hAnsi="Times New Roman" w:eastAsia="楷体"/>
          <w:sz w:val="28"/>
          <w:highlight w:val="none"/>
        </w:rPr>
        <w:t>中国地震台网中心《2023年度地震统计年报》</w:t>
      </w:r>
      <w:r>
        <w:rPr>
          <w:rFonts w:hint="eastAsia" w:ascii="Times New Roman" w:hAnsi="Times New Roman" w:eastAsia="楷体"/>
          <w:sz w:val="28"/>
          <w:highlight w:val="none"/>
          <w:lang w:val="en-US" w:eastAsia="zh-CN"/>
        </w:rPr>
        <w:t>可知，</w:t>
      </w:r>
      <w:r>
        <w:rPr>
          <w:rFonts w:ascii="Times New Roman" w:hAnsi="Times New Roman" w:eastAsia="楷体"/>
          <w:sz w:val="28"/>
          <w:highlight w:val="none"/>
        </w:rPr>
        <w:t>近五年来（2019-2023年）6级以上地震</w:t>
      </w:r>
      <w:r>
        <w:rPr>
          <w:rFonts w:hint="eastAsia"/>
          <w:sz w:val="28"/>
          <w:highlight w:val="none"/>
          <w:lang w:val="en-US" w:eastAsia="zh-CN"/>
        </w:rPr>
        <w:t>共发生31</w:t>
      </w:r>
      <w:r>
        <w:rPr>
          <w:rFonts w:ascii="Times New Roman" w:hAnsi="Times New Roman" w:eastAsia="楷体"/>
          <w:sz w:val="28"/>
          <w:highlight w:val="none"/>
        </w:rPr>
        <w:t>次。地震中抗震性能较差的砖石砌体结构</w:t>
      </w:r>
      <w:r>
        <w:rPr>
          <w:rFonts w:hint="eastAsia"/>
          <w:sz w:val="28"/>
          <w:highlight w:val="none"/>
          <w:lang w:val="en-US" w:eastAsia="zh-CN"/>
        </w:rPr>
        <w:t>房屋</w:t>
      </w:r>
      <w:r>
        <w:rPr>
          <w:rFonts w:ascii="Times New Roman" w:hAnsi="Times New Roman" w:eastAsia="楷体"/>
          <w:sz w:val="28"/>
          <w:highlight w:val="none"/>
        </w:rPr>
        <w:t>受灾严重，据应急管理部《2023年农村住房安全白皮书》显示，位于地震烈度≥7度区域的村镇建筑占比</w:t>
      </w:r>
      <w:r>
        <w:rPr>
          <w:rFonts w:hint="eastAsia"/>
          <w:sz w:val="28"/>
          <w:highlight w:val="none"/>
          <w:lang w:val="en-US" w:eastAsia="zh-CN"/>
        </w:rPr>
        <w:t>高</w:t>
      </w:r>
      <w:r>
        <w:rPr>
          <w:rFonts w:ascii="Times New Roman" w:hAnsi="Times New Roman" w:eastAsia="楷体"/>
          <w:sz w:val="28"/>
          <w:highlight w:val="none"/>
        </w:rPr>
        <w:t>达79.3%，而采取有效抗震措施的农房</w:t>
      </w:r>
      <w:r>
        <w:rPr>
          <w:rFonts w:hint="eastAsia"/>
          <w:sz w:val="28"/>
          <w:highlight w:val="none"/>
          <w:lang w:val="en-US" w:eastAsia="zh-CN"/>
        </w:rPr>
        <w:t>仅30</w:t>
      </w:r>
      <w:r>
        <w:rPr>
          <w:rFonts w:ascii="Times New Roman" w:hAnsi="Times New Roman" w:eastAsia="楷体"/>
          <w:sz w:val="28"/>
          <w:highlight w:val="none"/>
        </w:rPr>
        <w:t>%，震后房屋完全</w:t>
      </w:r>
      <w:r>
        <w:rPr>
          <w:rFonts w:hint="eastAsia"/>
          <w:sz w:val="28"/>
          <w:highlight w:val="none"/>
          <w:lang w:val="en-US" w:eastAsia="zh-CN"/>
        </w:rPr>
        <w:t>破坏</w:t>
      </w:r>
      <w:r>
        <w:rPr>
          <w:rFonts w:ascii="Times New Roman" w:hAnsi="Times New Roman" w:eastAsia="楷体"/>
          <w:sz w:val="28"/>
          <w:highlight w:val="none"/>
        </w:rPr>
        <w:t>率高达</w:t>
      </w:r>
      <w:r>
        <w:rPr>
          <w:rFonts w:hint="eastAsia"/>
          <w:sz w:val="28"/>
          <w:highlight w:val="none"/>
          <w:lang w:val="en-US" w:eastAsia="zh-CN"/>
        </w:rPr>
        <w:t>30</w:t>
      </w:r>
      <w:r>
        <w:rPr>
          <w:rFonts w:ascii="Times New Roman" w:hAnsi="Times New Roman" w:eastAsia="楷体"/>
          <w:sz w:val="28"/>
          <w:highlight w:val="none"/>
        </w:rPr>
        <w:t>%。住建部《2023年农村危房改造进展报告》指出，我国村镇隔震技术</w:t>
      </w:r>
      <w:r>
        <w:rPr>
          <w:rFonts w:hint="eastAsia"/>
          <w:sz w:val="28"/>
          <w:highlight w:val="none"/>
          <w:lang w:val="en-US" w:eastAsia="zh-CN"/>
        </w:rPr>
        <w:t>普及率</w:t>
      </w:r>
      <w:r>
        <w:rPr>
          <w:rFonts w:ascii="Times New Roman" w:hAnsi="Times New Roman" w:eastAsia="楷体"/>
          <w:sz w:val="28"/>
          <w:highlight w:val="none"/>
        </w:rPr>
        <w:t>不足3</w:t>
      </w:r>
      <w:r>
        <w:rPr>
          <w:rFonts w:hint="eastAsia"/>
          <w:sz w:val="28"/>
          <w:highlight w:val="none"/>
          <w:lang w:val="en-US" w:eastAsia="zh-CN"/>
        </w:rPr>
        <w:t>0</w:t>
      </w:r>
      <w:r>
        <w:rPr>
          <w:rFonts w:ascii="Times New Roman" w:hAnsi="Times New Roman" w:eastAsia="楷体"/>
          <w:sz w:val="28"/>
          <w:highlight w:val="none"/>
        </w:rPr>
        <w:t>%，主</w:t>
      </w:r>
      <w:r>
        <w:rPr>
          <w:rFonts w:hint="eastAsia"/>
          <w:sz w:val="28"/>
          <w:highlight w:val="none"/>
          <w:lang w:val="en-US" w:eastAsia="zh-CN"/>
        </w:rPr>
        <w:t>要</w:t>
      </w:r>
      <w:r>
        <w:rPr>
          <w:rFonts w:ascii="Times New Roman" w:hAnsi="Times New Roman" w:eastAsia="楷体"/>
          <w:sz w:val="28"/>
          <w:highlight w:val="none"/>
        </w:rPr>
        <w:t>因</w:t>
      </w:r>
      <w:r>
        <w:rPr>
          <w:rFonts w:hint="eastAsia"/>
          <w:sz w:val="28"/>
          <w:highlight w:val="none"/>
          <w:lang w:val="en-US" w:eastAsia="zh-CN"/>
        </w:rPr>
        <w:t>为</w:t>
      </w:r>
      <w:r>
        <w:rPr>
          <w:rFonts w:ascii="Times New Roman" w:hAnsi="Times New Roman" w:eastAsia="楷体"/>
          <w:sz w:val="28"/>
          <w:highlight w:val="none"/>
        </w:rPr>
        <w:t>传统叠层钢板橡胶支座自重大（&gt;</w:t>
      </w:r>
      <w:r>
        <w:rPr>
          <w:rFonts w:hint="eastAsia"/>
          <w:sz w:val="28"/>
          <w:highlight w:val="none"/>
          <w:lang w:val="en-US" w:eastAsia="zh-CN"/>
        </w:rPr>
        <w:t>1</w:t>
      </w:r>
      <w:r>
        <w:rPr>
          <w:rFonts w:ascii="Times New Roman" w:hAnsi="Times New Roman" w:eastAsia="楷体"/>
          <w:sz w:val="28"/>
          <w:highlight w:val="none"/>
        </w:rPr>
        <w:t>00kg/件）、安装需专业设备，远超农村经济承受力。中国地震学会工程隔震专委会调研表明，现有桥梁用隔震支座占比91%，其冷粘工艺界面强度老化后下降30%，无法满足低层建筑轻量化需求。国务院《</w:t>
      </w:r>
      <w:r>
        <w:rPr>
          <w:rFonts w:hint="eastAsia"/>
          <w:sz w:val="28"/>
          <w:highlight w:val="none"/>
          <w:lang w:eastAsia="zh-CN"/>
        </w:rPr>
        <w:t>”</w:t>
      </w:r>
      <w:r>
        <w:rPr>
          <w:rFonts w:ascii="Times New Roman" w:hAnsi="Times New Roman" w:eastAsia="楷体"/>
          <w:sz w:val="28"/>
          <w:highlight w:val="none"/>
        </w:rPr>
        <w:t>十四五</w:t>
      </w:r>
      <w:r>
        <w:rPr>
          <w:rFonts w:hint="eastAsia"/>
          <w:sz w:val="28"/>
          <w:highlight w:val="none"/>
          <w:lang w:eastAsia="zh-CN"/>
        </w:rPr>
        <w:t>”</w:t>
      </w:r>
      <w:r>
        <w:rPr>
          <w:rFonts w:ascii="Times New Roman" w:hAnsi="Times New Roman" w:eastAsia="楷体"/>
          <w:sz w:val="28"/>
          <w:highlight w:val="none"/>
        </w:rPr>
        <w:t>国家综合防灾减灾规划》强调，全国仍有</w:t>
      </w:r>
      <w:r>
        <w:rPr>
          <w:rFonts w:hint="eastAsia"/>
          <w:sz w:val="28"/>
          <w:highlight w:val="none"/>
          <w:lang w:val="en-US" w:eastAsia="zh-CN"/>
        </w:rPr>
        <w:t>39</w:t>
      </w:r>
      <w:r>
        <w:rPr>
          <w:rFonts w:ascii="Times New Roman" w:hAnsi="Times New Roman" w:eastAsia="楷体"/>
          <w:sz w:val="28"/>
          <w:highlight w:val="none"/>
        </w:rPr>
        <w:t>万栋村镇房屋需抗震改造，但适配技术标准缺失导致政策落地滞后。项目组通过市场调研发现，村镇市场亟需轻质、低成本、模块化安装的隔震方案，以填补技术空白。</w:t>
      </w:r>
    </w:p>
    <w:p w14:paraId="6AC42E01">
      <w:pPr>
        <w:pStyle w:val="5"/>
        <w:keepNext w:val="0"/>
        <w:keepLines w:val="0"/>
        <w:pageBreakBefore w:val="0"/>
        <w:widowControl w:val="0"/>
        <w:kinsoku/>
        <w:wordWrap/>
        <w:overflowPunct/>
        <w:topLinePunct w:val="0"/>
        <w:autoSpaceDE/>
        <w:autoSpaceDN/>
        <w:bidi w:val="0"/>
        <w:adjustRightInd/>
        <w:snapToGrid/>
        <w:spacing w:beforeAutospacing="0" w:line="360" w:lineRule="auto"/>
        <w:ind w:firstLine="0" w:firstLineChars="0"/>
        <w:jc w:val="center"/>
        <w:textAlignment w:val="auto"/>
        <w:rPr>
          <w:rFonts w:hint="eastAsia" w:ascii="Times New Roman" w:hAnsi="Times New Roman" w:eastAsia="楷体"/>
          <w:sz w:val="28"/>
          <w:highlight w:val="none"/>
          <w:lang w:eastAsia="zh-CN"/>
        </w:rPr>
      </w:pPr>
      <w:r>
        <w:rPr>
          <w:rFonts w:hint="eastAsia" w:ascii="Times New Roman" w:hAnsi="Times New Roman" w:eastAsia="楷体"/>
          <w:sz w:val="28"/>
          <w:highlight w:val="none"/>
          <w:lang w:eastAsia="zh-CN"/>
        </w:rPr>
        <w:drawing>
          <wp:inline distT="0" distB="0" distL="114300" distR="114300">
            <wp:extent cx="3599815" cy="2520315"/>
            <wp:effectExtent l="0" t="0" r="6985" b="6985"/>
            <wp:docPr id="43" name="图片 43" descr="IMG_3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IMG_3371"/>
                    <pic:cNvPicPr>
                      <a:picLocks noChangeAspect="1"/>
                    </pic:cNvPicPr>
                  </pic:nvPicPr>
                  <pic:blipFill>
                    <a:blip r:embed="rId8"/>
                    <a:stretch>
                      <a:fillRect/>
                    </a:stretch>
                  </pic:blipFill>
                  <pic:spPr>
                    <a:xfrm>
                      <a:off x="0" y="0"/>
                      <a:ext cx="3599815" cy="2520315"/>
                    </a:xfrm>
                    <a:prstGeom prst="rect">
                      <a:avLst/>
                    </a:prstGeom>
                  </pic:spPr>
                </pic:pic>
              </a:graphicData>
            </a:graphic>
          </wp:inline>
        </w:drawing>
      </w:r>
    </w:p>
    <w:p w14:paraId="5BBE53A1">
      <w:pPr>
        <w:pStyle w:val="5"/>
        <w:keepNext w:val="0"/>
        <w:keepLines w:val="0"/>
        <w:pageBreakBefore w:val="0"/>
        <w:widowControl w:val="0"/>
        <w:tabs>
          <w:tab w:val="center" w:pos="4412"/>
          <w:tab w:val="right" w:pos="7906"/>
        </w:tabs>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黑体" w:cs="宋体"/>
          <w:kern w:val="2"/>
          <w:sz w:val="24"/>
          <w:szCs w:val="24"/>
          <w:highlight w:val="none"/>
          <w:lang w:val="en-US" w:eastAsia="zh-CN" w:bidi="ar-SA"/>
        </w:rPr>
      </w:pPr>
      <w:r>
        <w:rPr>
          <w:rFonts w:hint="eastAsia" w:ascii="Times New Roman" w:hAnsi="Times New Roman" w:eastAsia="黑体" w:cs="宋体"/>
          <w:kern w:val="2"/>
          <w:sz w:val="24"/>
          <w:szCs w:val="24"/>
          <w:highlight w:val="none"/>
          <w:lang w:val="en-US" w:eastAsia="zh-CN" w:bidi="ar-SA"/>
        </w:rPr>
        <w:t>图1-1</w:t>
      </w:r>
      <w:r>
        <w:rPr>
          <w:rFonts w:hint="eastAsia" w:ascii="Times New Roman" w:hAnsi="Times New Roman" w:cs="宋体"/>
          <w:kern w:val="2"/>
          <w:sz w:val="24"/>
          <w:szCs w:val="24"/>
          <w:highlight w:val="none"/>
          <w:lang w:val="en-US" w:eastAsia="zh-CN" w:bidi="ar-SA"/>
        </w:rPr>
        <w:t xml:space="preserve"> </w:t>
      </w:r>
      <w:r>
        <w:rPr>
          <w:rFonts w:hint="eastAsia" w:ascii="Times New Roman" w:hAnsi="Times New Roman" w:eastAsia="黑体" w:cs="宋体"/>
          <w:kern w:val="2"/>
          <w:sz w:val="24"/>
          <w:szCs w:val="24"/>
          <w:highlight w:val="none"/>
          <w:lang w:val="en-US" w:eastAsia="zh-CN" w:bidi="ar-SA"/>
        </w:rPr>
        <w:t>云南房屋砌体结构开裂图</w:t>
      </w:r>
    </w:p>
    <w:p w14:paraId="43DEDB60">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楷体"/>
          <w:sz w:val="28"/>
          <w:highlight w:val="none"/>
        </w:rPr>
      </w:pPr>
    </w:p>
    <w:p w14:paraId="6CA901D8">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楷体"/>
          <w:sz w:val="28"/>
          <w:highlight w:val="none"/>
          <w:lang w:val="en-US" w:eastAsia="zh-CN"/>
        </w:rPr>
      </w:pPr>
      <w:r>
        <w:rPr>
          <w:rFonts w:ascii="Times New Roman" w:hAnsi="Times New Roman" w:eastAsia="楷体" w:cs="宋体"/>
          <w:sz w:val="28"/>
          <w:szCs w:val="24"/>
          <w:highlight w:val="none"/>
        </w:rPr>
        <w:drawing>
          <wp:inline distT="0" distB="0" distL="114300" distR="114300">
            <wp:extent cx="3599815" cy="2520315"/>
            <wp:effectExtent l="0" t="0" r="6985" b="6985"/>
            <wp:docPr id="85" name="图片 8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IMG_256"/>
                    <pic:cNvPicPr>
                      <a:picLocks noChangeAspect="1"/>
                    </pic:cNvPicPr>
                  </pic:nvPicPr>
                  <pic:blipFill>
                    <a:blip r:embed="rId9"/>
                    <a:srcRect t="28101" r="14008" b="12290"/>
                    <a:stretch>
                      <a:fillRect/>
                    </a:stretch>
                  </pic:blipFill>
                  <pic:spPr>
                    <a:xfrm>
                      <a:off x="0" y="0"/>
                      <a:ext cx="3599815" cy="2520315"/>
                    </a:xfrm>
                    <a:prstGeom prst="rect">
                      <a:avLst/>
                    </a:prstGeom>
                    <a:noFill/>
                    <a:ln w="9525">
                      <a:noFill/>
                    </a:ln>
                  </pic:spPr>
                </pic:pic>
              </a:graphicData>
            </a:graphic>
          </wp:inline>
        </w:drawing>
      </w:r>
    </w:p>
    <w:p w14:paraId="0B98AD63">
      <w:pPr>
        <w:pStyle w:val="6"/>
        <w:bidi w:val="0"/>
        <w:spacing w:line="360" w:lineRule="auto"/>
        <w:rPr>
          <w:rFonts w:hint="eastAsia" w:ascii="Times New Roman" w:hAnsi="Times New Roman" w:eastAsia="黑体" w:cs="宋体"/>
          <w:kern w:val="2"/>
          <w:sz w:val="24"/>
          <w:szCs w:val="24"/>
          <w:highlight w:val="none"/>
          <w:lang w:val="en-US" w:eastAsia="zh-CN" w:bidi="ar-SA"/>
        </w:rPr>
      </w:pPr>
      <w:r>
        <w:rPr>
          <w:rFonts w:hint="eastAsia" w:ascii="Times New Roman" w:hAnsi="Times New Roman" w:eastAsia="黑体" w:cs="宋体"/>
          <w:kern w:val="2"/>
          <w:sz w:val="24"/>
          <w:szCs w:val="24"/>
          <w:highlight w:val="none"/>
          <w:lang w:val="en-US" w:eastAsia="zh-CN" w:bidi="ar-SA"/>
        </w:rPr>
        <w:t>图1-2</w:t>
      </w:r>
      <w:r>
        <w:rPr>
          <w:rFonts w:hint="eastAsia" w:ascii="Times New Roman" w:hAnsi="Times New Roman" w:cs="宋体"/>
          <w:kern w:val="2"/>
          <w:sz w:val="24"/>
          <w:szCs w:val="24"/>
          <w:highlight w:val="none"/>
          <w:lang w:val="en-US" w:eastAsia="zh-CN" w:bidi="ar-SA"/>
        </w:rPr>
        <w:t xml:space="preserve"> </w:t>
      </w:r>
      <w:r>
        <w:rPr>
          <w:rFonts w:hint="eastAsia" w:ascii="Times New Roman" w:hAnsi="Times New Roman" w:eastAsia="黑体" w:cs="宋体"/>
          <w:kern w:val="2"/>
          <w:sz w:val="24"/>
          <w:szCs w:val="24"/>
          <w:highlight w:val="none"/>
          <w:lang w:val="en-US" w:eastAsia="zh-CN" w:bidi="ar-SA"/>
        </w:rPr>
        <w:t>机械化吊装</w:t>
      </w:r>
    </w:p>
    <w:p w14:paraId="6B990822">
      <w:pPr>
        <w:spacing w:line="360" w:lineRule="auto"/>
        <w:rPr>
          <w:rFonts w:hint="eastAsia" w:ascii="Times New Roman" w:hAnsi="Times New Roman" w:eastAsia="黑体" w:cs="宋体"/>
          <w:kern w:val="2"/>
          <w:sz w:val="24"/>
          <w:szCs w:val="24"/>
          <w:highlight w:val="none"/>
          <w:lang w:val="en-US" w:eastAsia="zh-CN" w:bidi="ar-SA"/>
        </w:rPr>
      </w:pPr>
    </w:p>
    <w:p w14:paraId="73BC2E49">
      <w:pPr>
        <w:pStyle w:val="4"/>
        <w:keepNext/>
        <w:keepLines/>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楷体" w:cs="宋体"/>
          <w:b/>
          <w:color w:val="000000" w:themeColor="text1"/>
          <w:sz w:val="32"/>
          <w:highlight w:val="none"/>
          <w:lang w:val="en-US" w:eastAsia="zh-CN"/>
          <w14:textFill>
            <w14:solidFill>
              <w14:schemeClr w14:val="tx1"/>
            </w14:solidFill>
          </w14:textFill>
        </w:rPr>
      </w:pPr>
      <w:bookmarkStart w:id="6" w:name="_Toc18326"/>
      <w:bookmarkStart w:id="7" w:name="_Toc19008"/>
      <w:r>
        <w:rPr>
          <w:rFonts w:hint="eastAsia" w:ascii="Times New Roman" w:hAnsi="Times New Roman" w:eastAsia="楷体" w:cs="宋体"/>
          <w:b/>
          <w:color w:val="000000" w:themeColor="text1"/>
          <w:sz w:val="32"/>
          <w:highlight w:val="none"/>
          <w:lang w:val="en-US" w:eastAsia="zh-CN"/>
          <w14:textFill>
            <w14:solidFill>
              <w14:schemeClr w14:val="tx1"/>
            </w14:solidFill>
          </w14:textFill>
        </w:rPr>
        <w:t>1.1.2初心</w:t>
      </w:r>
      <w:bookmarkEnd w:id="6"/>
      <w:bookmarkEnd w:id="7"/>
    </w:p>
    <w:p w14:paraId="087BAE8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highlight w:val="none"/>
          <w:lang w:val="en-US" w:eastAsia="zh-CN"/>
        </w:rPr>
      </w:pPr>
      <w:r>
        <w:rPr>
          <w:rFonts w:hint="eastAsia"/>
          <w:highlight w:val="none"/>
          <w:lang w:val="en-US" w:eastAsia="zh-CN"/>
        </w:rPr>
        <w:t>我们致力于通过科技创新守护地震带乡村安全，以“预防为先”的理念研发轻量化、低成本的新型隔震技术。在四川、云南等地震灾区调研中，我们目睹了因房屋倒塌导致的返贫悲剧，深刻认识到乡村振兴必须以“震不垮的家园”为前提。依托湖湘“敢为人先”的精神和本土技术优势，我们专为乡村建筑设计了重量减轻83%（仅18kg）、成本降低90%（50-100元/m</w:t>
      </w:r>
      <w:r>
        <w:rPr>
          <w:rFonts w:hint="default" w:ascii="Times New Roman" w:hAnsi="Times New Roman" w:cs="Times New Roman"/>
          <w:highlight w:val="none"/>
          <w:lang w:val="en-US" w:eastAsia="zh-CN"/>
        </w:rPr>
        <w:t>²</w:t>
      </w:r>
      <w:r>
        <w:rPr>
          <w:rFonts w:hint="eastAsia"/>
          <w:highlight w:val="none"/>
          <w:lang w:val="en-US" w:eastAsia="zh-CN"/>
        </w:rPr>
        <w:t>）的新型隔震支座，并实现1小时快速安装，彻底解决了传统支座“重、贵、难装”的痛点。</w:t>
      </w:r>
    </w:p>
    <w:p w14:paraId="3F61058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highlight w:val="none"/>
          <w:lang w:val="en-US" w:eastAsia="zh-CN"/>
        </w:rPr>
      </w:pPr>
      <w:r>
        <w:rPr>
          <w:rFonts w:hint="eastAsia"/>
          <w:highlight w:val="none"/>
          <w:lang w:val="en-US" w:eastAsia="zh-CN"/>
        </w:rPr>
        <w:t>项目积极响应国务院“十四五”防灾减灾规划，针对全国39万栋需改造农房，通过“政府补贴+技术普惠”模式，将农房抗震达标率从30%提升至85%，使因灾返贫风险降低96%。我们以湖南为技术枢纽，构建覆盖全国地震带乡村的安全防护网络，让防灾减灾成为乡村振兴的“隐形基础设施”，真正实现“安居-乐业-发展”的良性循环。这是一项技术创新，更是守护脱贫成果、筑牢乡村振兴根基的社会责任工程。</w:t>
      </w:r>
    </w:p>
    <w:p w14:paraId="76736DDA">
      <w:pPr>
        <w:spacing w:line="360" w:lineRule="auto"/>
        <w:ind w:firstLine="560" w:firstLineChars="200"/>
        <w:rPr>
          <w:rFonts w:hint="eastAsia"/>
          <w:highlight w:val="none"/>
          <w:lang w:val="en-US" w:eastAsia="zh-CN"/>
        </w:rPr>
      </w:pPr>
      <w:r>
        <w:rPr>
          <w:rFonts w:hint="eastAsia"/>
          <w:highlight w:val="none"/>
          <w:lang w:val="en-US" w:eastAsia="zh-CN"/>
        </w:rPr>
        <w:t>“从技术突破到民生守护，团队始终践行科技为民的初心。我们不仅研发了一款隔震产品，更构建了一套技术普惠+政策协同+村民参与的乡村安全解决方案。”</w:t>
      </w:r>
    </w:p>
    <w:p w14:paraId="5210C56C">
      <w:pPr>
        <w:spacing w:line="360" w:lineRule="auto"/>
        <w:ind w:firstLine="560" w:firstLineChars="200"/>
        <w:rPr>
          <w:rFonts w:hint="eastAsia"/>
          <w:highlight w:val="none"/>
          <w:lang w:val="en-US" w:eastAsia="zh-CN"/>
        </w:rPr>
      </w:pPr>
      <w:r>
        <w:rPr>
          <w:rFonts w:hint="eastAsia"/>
          <w:highlight w:val="none"/>
          <w:lang w:val="en-US" w:eastAsia="zh-CN"/>
        </w:rPr>
        <w:t>这项承载着湖湘智慧的项目，正在改写中国乡村抗震的历史——当18kg的支座托起千家万户的安全，当50元/m</w:t>
      </w:r>
      <w:r>
        <w:rPr>
          <w:rFonts w:hint="default" w:ascii="Times New Roman" w:hAnsi="Times New Roman" w:cs="Times New Roman"/>
          <w:highlight w:val="none"/>
          <w:lang w:val="en-US" w:eastAsia="zh-CN"/>
        </w:rPr>
        <w:t>²</w:t>
      </w:r>
      <w:r>
        <w:rPr>
          <w:rFonts w:hint="eastAsia"/>
          <w:highlight w:val="none"/>
          <w:lang w:val="en-US" w:eastAsia="zh-CN"/>
        </w:rPr>
        <w:t>的投入阻断因灾返贫的链条，科技便有了最温暖的注脚。未来，我们将继续以'震不垮的家园“守护”退不回的贫困，让乡村振兴的每一步都走得安稳而坚实。这，就是新时代青年对“国之大者”的最好回答。</w:t>
      </w:r>
    </w:p>
    <w:p w14:paraId="44BD86DE">
      <w:pPr>
        <w:spacing w:line="360" w:lineRule="auto"/>
        <w:rPr>
          <w:rFonts w:hint="eastAsia"/>
          <w:highlight w:val="none"/>
          <w:lang w:val="en-US" w:eastAsia="zh-CN"/>
        </w:rPr>
      </w:pPr>
      <w:r>
        <w:rPr>
          <w:rFonts w:hint="eastAsia"/>
          <w:highlight w:val="none"/>
          <w:lang w:val="en-US" w:eastAsia="zh-CN"/>
        </w:rPr>
        <w:br w:type="page"/>
      </w:r>
    </w:p>
    <w:p w14:paraId="6ABE2B0C">
      <w:pPr>
        <w:pStyle w:val="3"/>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highlight w:val="none"/>
          <w:lang w:val="en-US" w:eastAsia="zh-CN"/>
          <w14:textFill>
            <w14:solidFill>
              <w14:schemeClr w14:val="tx1"/>
            </w14:solidFill>
          </w14:textFill>
        </w:rPr>
      </w:pPr>
      <w:bookmarkStart w:id="8" w:name="_Toc28145"/>
      <w:bookmarkStart w:id="9" w:name="_Toc358"/>
      <w:r>
        <w:rPr>
          <w:rFonts w:hint="eastAsia"/>
          <w:color w:val="000000" w:themeColor="text1"/>
          <w:highlight w:val="none"/>
          <w:lang w:val="en-US" w:eastAsia="zh-CN"/>
          <w14:textFill>
            <w14:solidFill>
              <w14:schemeClr w14:val="tx1"/>
            </w14:solidFill>
          </w14:textFill>
        </w:rPr>
        <w:t>1.2创新解决方案</w:t>
      </w:r>
      <w:bookmarkEnd w:id="8"/>
      <w:bookmarkEnd w:id="9"/>
    </w:p>
    <w:p w14:paraId="33849A40">
      <w:pPr>
        <w:keepNext w:val="0"/>
        <w:keepLines w:val="0"/>
        <w:pageBreakBefore w:val="0"/>
        <w:widowControl w:val="0"/>
        <w:kinsoku/>
        <w:wordWrap/>
        <w:overflowPunct/>
        <w:topLinePunct w:val="0"/>
        <w:autoSpaceDE/>
        <w:autoSpaceDN/>
        <w:bidi w:val="0"/>
        <w:adjustRightInd/>
        <w:snapToGrid/>
        <w:spacing w:after="120" w:afterLines="50" w:line="360" w:lineRule="auto"/>
        <w:ind w:left="0" w:leftChars="0" w:firstLine="560" w:firstLineChars="200"/>
        <w:jc w:val="both"/>
        <w:textAlignment w:val="auto"/>
        <w:rPr>
          <w:rFonts w:hint="eastAsia" w:ascii="Times New Roman" w:hAnsi="Times New Roman" w:eastAsia="楷体" w:cs="Times New Roman"/>
          <w:kern w:val="2"/>
          <w:sz w:val="28"/>
          <w:szCs w:val="21"/>
          <w:highlight w:val="none"/>
          <w:lang w:val="en-US" w:eastAsia="zh-CN" w:bidi="ar-SA"/>
        </w:rPr>
      </w:pPr>
      <w:r>
        <w:rPr>
          <w:rFonts w:hint="eastAsia" w:ascii="Times New Roman" w:hAnsi="Times New Roman" w:eastAsia="楷体" w:cs="Times New Roman"/>
          <w:kern w:val="2"/>
          <w:sz w:val="28"/>
          <w:szCs w:val="21"/>
          <w:highlight w:val="none"/>
          <w:lang w:val="en-US" w:eastAsia="zh-CN" w:bidi="ar-SA"/>
        </w:rPr>
        <w:t>（1）技术突破：轻量化+普惠化抗震技术</w:t>
      </w:r>
    </w:p>
    <w:p w14:paraId="4476CCE9">
      <w:pPr>
        <w:keepNext w:val="0"/>
        <w:keepLines w:val="0"/>
        <w:pageBreakBefore w:val="0"/>
        <w:widowControl w:val="0"/>
        <w:kinsoku/>
        <w:wordWrap/>
        <w:overflowPunct/>
        <w:topLinePunct w:val="0"/>
        <w:autoSpaceDE/>
        <w:autoSpaceDN/>
        <w:bidi w:val="0"/>
        <w:adjustRightInd/>
        <w:snapToGrid/>
        <w:spacing w:afterAutospacing="0" w:line="360" w:lineRule="auto"/>
        <w:ind w:left="0" w:leftChars="0" w:firstLine="560" w:firstLineChars="200"/>
        <w:jc w:val="both"/>
        <w:textAlignment w:val="auto"/>
        <w:rPr>
          <w:rFonts w:hint="eastAsia" w:ascii="Times New Roman" w:hAnsi="Times New Roman" w:eastAsia="楷体" w:cs="Times New Roman"/>
          <w:kern w:val="2"/>
          <w:sz w:val="28"/>
          <w:szCs w:val="21"/>
          <w:highlight w:val="none"/>
          <w:lang w:val="en-US" w:eastAsia="zh-CN" w:bidi="ar-SA"/>
        </w:rPr>
      </w:pPr>
      <w:r>
        <w:rPr>
          <w:rFonts w:hint="eastAsia" w:ascii="Times New Roman" w:hAnsi="Times New Roman" w:eastAsia="楷体" w:cs="Times New Roman"/>
          <w:kern w:val="2"/>
          <w:sz w:val="28"/>
          <w:szCs w:val="21"/>
          <w:highlight w:val="none"/>
          <w:lang w:val="en-US" w:eastAsia="zh-CN" w:bidi="ar-SA"/>
        </w:rPr>
        <w:t>1</w:t>
      </w:r>
      <w:r>
        <w:rPr>
          <w:rFonts w:hint="eastAsia" w:cs="Times New Roman"/>
          <w:kern w:val="2"/>
          <w:sz w:val="28"/>
          <w:szCs w:val="21"/>
          <w:highlight w:val="none"/>
          <w:lang w:val="en-US" w:eastAsia="zh-CN" w:bidi="ar-SA"/>
        </w:rPr>
        <w:t>.</w:t>
      </w:r>
      <w:r>
        <w:rPr>
          <w:rFonts w:hint="eastAsia" w:ascii="Times New Roman" w:hAnsi="Times New Roman" w:eastAsia="楷体" w:cs="Times New Roman"/>
          <w:kern w:val="2"/>
          <w:sz w:val="28"/>
          <w:szCs w:val="21"/>
          <w:highlight w:val="none"/>
          <w:lang w:val="en-US" w:eastAsia="zh-CN" w:bidi="ar-SA"/>
        </w:rPr>
        <w:t>核心技术：工程塑料替代钢板：材料密度降低93.6%，抗拉强度达198.8MPa。</w:t>
      </w:r>
    </w:p>
    <w:p w14:paraId="366C29E6">
      <w:pPr>
        <w:pStyle w:val="5"/>
        <w:keepNext w:val="0"/>
        <w:keepLines w:val="0"/>
        <w:pageBreakBefore w:val="0"/>
        <w:widowControl w:val="0"/>
        <w:kinsoku/>
        <w:wordWrap/>
        <w:overflowPunct/>
        <w:topLinePunct w:val="0"/>
        <w:autoSpaceDE/>
        <w:autoSpaceDN/>
        <w:bidi w:val="0"/>
        <w:adjustRightInd/>
        <w:snapToGrid/>
        <w:spacing w:before="302" w:beforeLines="126" w:beforeAutospacing="0" w:line="360" w:lineRule="auto"/>
        <w:ind w:firstLine="0" w:firstLineChars="0"/>
        <w:jc w:val="center"/>
        <w:textAlignment w:val="auto"/>
        <w:rPr>
          <w:rFonts w:hint="eastAsia" w:ascii="Times New Roman" w:hAnsi="Times New Roman" w:eastAsia="楷体" w:cs="Times New Roman"/>
          <w:sz w:val="28"/>
          <w:highlight w:val="none"/>
          <w:lang w:eastAsia="zh-CN"/>
        </w:rPr>
      </w:pPr>
      <w:r>
        <w:rPr>
          <w:rFonts w:hint="eastAsia" w:ascii="Times New Roman" w:hAnsi="Times New Roman" w:eastAsia="楷体" w:cs="Times New Roman"/>
          <w:sz w:val="28"/>
          <w:highlight w:val="none"/>
          <w:lang w:eastAsia="zh-CN"/>
        </w:rPr>
        <w:drawing>
          <wp:inline distT="0" distB="0" distL="114300" distR="114300">
            <wp:extent cx="3599815" cy="2520315"/>
            <wp:effectExtent l="0" t="0" r="0" b="0"/>
            <wp:docPr id="90" name="图片 2" descr="7b8ba0a50784bda43ef0dc485392b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2" descr="7b8ba0a50784bda43ef0dc485392bbe"/>
                    <pic:cNvPicPr>
                      <a:picLocks noChangeAspect="1"/>
                    </pic:cNvPicPr>
                  </pic:nvPicPr>
                  <pic:blipFill>
                    <a:blip r:embed="rId10"/>
                    <a:stretch>
                      <a:fillRect/>
                    </a:stretch>
                  </pic:blipFill>
                  <pic:spPr>
                    <a:xfrm>
                      <a:off x="0" y="0"/>
                      <a:ext cx="3599815" cy="2520315"/>
                    </a:xfrm>
                    <a:prstGeom prst="rect">
                      <a:avLst/>
                    </a:prstGeom>
                    <a:noFill/>
                    <a:ln>
                      <a:noFill/>
                    </a:ln>
                  </pic:spPr>
                </pic:pic>
              </a:graphicData>
            </a:graphic>
          </wp:inline>
        </w:drawing>
      </w:r>
    </w:p>
    <w:p w14:paraId="046B07DC">
      <w:pPr>
        <w:pStyle w:val="5"/>
        <w:keepNext w:val="0"/>
        <w:keepLines w:val="0"/>
        <w:pageBreakBefore w:val="0"/>
        <w:widowControl w:val="0"/>
        <w:tabs>
          <w:tab w:val="center" w:pos="4412"/>
          <w:tab w:val="right" w:pos="7906"/>
        </w:tabs>
        <w:kinsoku/>
        <w:wordWrap/>
        <w:overflowPunct/>
        <w:topLinePunct w:val="0"/>
        <w:autoSpaceDE/>
        <w:autoSpaceDN/>
        <w:bidi w:val="0"/>
        <w:adjustRightInd/>
        <w:snapToGrid/>
        <w:spacing w:afterAutospacing="0" w:line="360" w:lineRule="auto"/>
        <w:ind w:firstLine="0" w:firstLineChars="0"/>
        <w:jc w:val="center"/>
        <w:textAlignment w:val="auto"/>
        <w:rPr>
          <w:rFonts w:hint="eastAsia"/>
          <w:highlight w:val="none"/>
          <w:lang w:val="en-US" w:eastAsia="zh-CN"/>
        </w:rPr>
      </w:pPr>
      <w:r>
        <w:rPr>
          <w:rFonts w:hint="eastAsia" w:ascii="Times New Roman" w:hAnsi="Times New Roman" w:eastAsia="黑体" w:cs="宋体"/>
          <w:kern w:val="2"/>
          <w:sz w:val="24"/>
          <w:szCs w:val="24"/>
          <w:highlight w:val="none"/>
          <w:lang w:val="en-US" w:eastAsia="zh-CN" w:bidi="ar-SA"/>
        </w:rPr>
        <w:t>图1-3</w:t>
      </w:r>
      <w:r>
        <w:rPr>
          <w:rFonts w:hint="eastAsia" w:ascii="Times New Roman" w:hAnsi="Times New Roman" w:cs="宋体"/>
          <w:kern w:val="2"/>
          <w:sz w:val="24"/>
          <w:szCs w:val="24"/>
          <w:highlight w:val="none"/>
          <w:lang w:val="en-US" w:eastAsia="zh-CN" w:bidi="ar-SA"/>
        </w:rPr>
        <w:t xml:space="preserve"> </w:t>
      </w:r>
      <w:r>
        <w:rPr>
          <w:rFonts w:hint="eastAsia" w:ascii="Times New Roman" w:hAnsi="Times New Roman" w:eastAsia="黑体" w:cs="宋体"/>
          <w:kern w:val="2"/>
          <w:sz w:val="24"/>
          <w:szCs w:val="24"/>
          <w:highlight w:val="none"/>
          <w:lang w:val="en-US" w:eastAsia="zh-CN" w:bidi="ar-SA"/>
        </w:rPr>
        <w:t>叠层橡胶板隔震支座</w:t>
      </w:r>
    </w:p>
    <w:p w14:paraId="131F5ED3">
      <w:pPr>
        <w:keepNext w:val="0"/>
        <w:keepLines w:val="0"/>
        <w:pageBreakBefore w:val="0"/>
        <w:widowControl w:val="0"/>
        <w:kinsoku/>
        <w:wordWrap/>
        <w:overflowPunct/>
        <w:topLinePunct w:val="0"/>
        <w:autoSpaceDE/>
        <w:autoSpaceDN/>
        <w:bidi w:val="0"/>
        <w:adjustRightInd/>
        <w:snapToGrid/>
        <w:spacing w:before="180" w:beforeLines="75" w:beforeAutospacing="0" w:afterAutospacing="0" w:line="360" w:lineRule="auto"/>
        <w:ind w:firstLine="560" w:firstLineChars="200"/>
        <w:textAlignment w:val="auto"/>
        <w:rPr>
          <w:rFonts w:hint="eastAsia" w:ascii="Times New Roman" w:hAnsi="Times New Roman" w:eastAsia="楷体" w:cs="Times New Roman"/>
          <w:kern w:val="2"/>
          <w:sz w:val="28"/>
          <w:szCs w:val="21"/>
          <w:highlight w:val="none"/>
          <w:lang w:val="en-US" w:eastAsia="zh-CN" w:bidi="ar-SA"/>
        </w:rPr>
      </w:pPr>
      <w:r>
        <w:rPr>
          <w:rFonts w:hint="eastAsia" w:ascii="Times New Roman" w:hAnsi="Times New Roman" w:eastAsia="楷体" w:cs="Times New Roman"/>
          <w:kern w:val="2"/>
          <w:sz w:val="28"/>
          <w:szCs w:val="21"/>
          <w:highlight w:val="none"/>
          <w:lang w:val="en-US" w:eastAsia="zh-CN" w:bidi="ar-SA"/>
        </w:rPr>
        <w:t>2</w:t>
      </w:r>
      <w:r>
        <w:rPr>
          <w:rFonts w:hint="eastAsia" w:cs="Times New Roman"/>
          <w:kern w:val="2"/>
          <w:sz w:val="28"/>
          <w:szCs w:val="21"/>
          <w:highlight w:val="none"/>
          <w:lang w:val="en-US" w:eastAsia="zh-CN" w:bidi="ar-SA"/>
        </w:rPr>
        <w:t>.</w:t>
      </w:r>
      <w:r>
        <w:rPr>
          <w:rFonts w:hint="eastAsia" w:ascii="Times New Roman" w:hAnsi="Times New Roman" w:eastAsia="楷体" w:cs="Times New Roman"/>
          <w:kern w:val="2"/>
          <w:sz w:val="28"/>
          <w:szCs w:val="21"/>
          <w:highlight w:val="none"/>
          <w:lang w:val="en-US" w:eastAsia="zh-CN" w:bidi="ar-SA"/>
        </w:rPr>
        <w:t>热硫化工艺革新：结合强度提升21%，寿命突破50年。</w:t>
      </w:r>
    </w:p>
    <w:p w14:paraId="331DD691">
      <w:pPr>
        <w:keepNext w:val="0"/>
        <w:keepLines w:val="0"/>
        <w:pageBreakBefore w:val="0"/>
        <w:widowControl w:val="0"/>
        <w:kinsoku/>
        <w:wordWrap/>
        <w:overflowPunct/>
        <w:topLinePunct w:val="0"/>
        <w:autoSpaceDE/>
        <w:autoSpaceDN/>
        <w:bidi w:val="0"/>
        <w:adjustRightInd/>
        <w:snapToGrid/>
        <w:spacing w:beforeAutospacing="0" w:line="360" w:lineRule="auto"/>
        <w:ind w:firstLine="0" w:firstLineChars="0"/>
        <w:jc w:val="center"/>
        <w:textAlignment w:val="auto"/>
        <w:rPr>
          <w:rFonts w:hint="default" w:ascii="Times New Roman" w:hAnsi="Times New Roman" w:eastAsia="楷体"/>
          <w:sz w:val="28"/>
          <w:highlight w:val="none"/>
          <w:lang w:val="en-US" w:eastAsia="zh-CN"/>
        </w:rPr>
      </w:pPr>
      <w:r>
        <w:rPr>
          <w:rFonts w:hint="eastAsia" w:ascii="Times New Roman" w:hAnsi="Times New Roman" w:eastAsia="楷体" w:cs="Times New Roman"/>
          <w:kern w:val="2"/>
          <w:sz w:val="28"/>
          <w:szCs w:val="21"/>
          <w:highlight w:val="none"/>
          <w:lang w:val="en-US" w:eastAsia="zh-CN" w:bidi="ar-SA"/>
        </w:rPr>
        <w:drawing>
          <wp:inline distT="0" distB="0" distL="114300" distR="114300">
            <wp:extent cx="1889760" cy="1259840"/>
            <wp:effectExtent l="0" t="0" r="5715" b="6985"/>
            <wp:docPr id="5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7"/>
                    <pic:cNvPicPr>
                      <a:picLocks noChangeAspect="1"/>
                    </pic:cNvPicPr>
                  </pic:nvPicPr>
                  <pic:blipFill>
                    <a:blip r:embed="rId11"/>
                    <a:stretch>
                      <a:fillRect/>
                    </a:stretch>
                  </pic:blipFill>
                  <pic:spPr>
                    <a:xfrm>
                      <a:off x="0" y="0"/>
                      <a:ext cx="1889760" cy="1259840"/>
                    </a:xfrm>
                    <a:prstGeom prst="rect">
                      <a:avLst/>
                    </a:prstGeom>
                    <a:noFill/>
                    <a:ln>
                      <a:noFill/>
                    </a:ln>
                  </pic:spPr>
                </pic:pic>
              </a:graphicData>
            </a:graphic>
          </wp:inline>
        </w:drawing>
      </w:r>
      <w:r>
        <w:rPr>
          <w:rFonts w:hint="eastAsia" w:ascii="Times New Roman" w:hAnsi="Times New Roman" w:eastAsia="楷体" w:cs="Times New Roman"/>
          <w:kern w:val="2"/>
          <w:sz w:val="28"/>
          <w:szCs w:val="21"/>
          <w:highlight w:val="none"/>
          <w:lang w:val="en-US" w:eastAsia="zh-CN" w:bidi="ar-SA"/>
        </w:rPr>
        <w:drawing>
          <wp:inline distT="0" distB="0" distL="114300" distR="114300">
            <wp:extent cx="1889760" cy="1259840"/>
            <wp:effectExtent l="0" t="0" r="2540" b="10160"/>
            <wp:docPr id="5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8"/>
                    <pic:cNvPicPr>
                      <a:picLocks noChangeAspect="1"/>
                    </pic:cNvPicPr>
                  </pic:nvPicPr>
                  <pic:blipFill>
                    <a:blip r:embed="rId12"/>
                    <a:stretch>
                      <a:fillRect/>
                    </a:stretch>
                  </pic:blipFill>
                  <pic:spPr>
                    <a:xfrm>
                      <a:off x="0" y="0"/>
                      <a:ext cx="1889760" cy="1259840"/>
                    </a:xfrm>
                    <a:prstGeom prst="rect">
                      <a:avLst/>
                    </a:prstGeom>
                    <a:noFill/>
                    <a:ln>
                      <a:noFill/>
                    </a:ln>
                  </pic:spPr>
                </pic:pic>
              </a:graphicData>
            </a:graphic>
          </wp:inline>
        </w:drawing>
      </w:r>
    </w:p>
    <w:p w14:paraId="0B60D63C">
      <w:pPr>
        <w:pStyle w:val="5"/>
        <w:keepNext w:val="0"/>
        <w:keepLines w:val="0"/>
        <w:pageBreakBefore w:val="0"/>
        <w:widowControl w:val="0"/>
        <w:tabs>
          <w:tab w:val="center" w:pos="4412"/>
          <w:tab w:val="right" w:pos="7906"/>
        </w:tabs>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黑体" w:cs="宋体"/>
          <w:kern w:val="2"/>
          <w:sz w:val="21"/>
          <w:szCs w:val="22"/>
          <w:highlight w:val="none"/>
          <w:lang w:val="en-US" w:eastAsia="zh-CN" w:bidi="ar-SA"/>
        </w:rPr>
      </w:pPr>
      <w:r>
        <w:rPr>
          <w:rFonts w:hint="eastAsia" w:ascii="Times New Roman" w:hAnsi="Times New Roman" w:eastAsia="楷体" w:cs="Times New Roman"/>
          <w:kern w:val="2"/>
          <w:sz w:val="28"/>
          <w:szCs w:val="21"/>
          <w:highlight w:val="none"/>
          <w:lang w:val="en-US" w:eastAsia="zh-CN" w:bidi="ar-SA"/>
        </w:rPr>
        <w:drawing>
          <wp:inline distT="0" distB="0" distL="114300" distR="114300">
            <wp:extent cx="1889760" cy="1259840"/>
            <wp:effectExtent l="0" t="0" r="2540" b="10160"/>
            <wp:docPr id="86" name="图片 86"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图片2"/>
                    <pic:cNvPicPr>
                      <a:picLocks noChangeAspect="1"/>
                    </pic:cNvPicPr>
                  </pic:nvPicPr>
                  <pic:blipFill>
                    <a:blip r:embed="rId13"/>
                    <a:stretch>
                      <a:fillRect/>
                    </a:stretch>
                  </pic:blipFill>
                  <pic:spPr>
                    <a:xfrm>
                      <a:off x="0" y="0"/>
                      <a:ext cx="1889760" cy="1259840"/>
                    </a:xfrm>
                    <a:prstGeom prst="rect">
                      <a:avLst/>
                    </a:prstGeom>
                  </pic:spPr>
                </pic:pic>
              </a:graphicData>
            </a:graphic>
          </wp:inline>
        </w:drawing>
      </w:r>
      <w:r>
        <w:rPr>
          <w:rFonts w:hint="eastAsia" w:ascii="Times New Roman" w:hAnsi="Times New Roman" w:eastAsia="楷体" w:cs="Times New Roman"/>
          <w:kern w:val="2"/>
          <w:sz w:val="28"/>
          <w:szCs w:val="21"/>
          <w:highlight w:val="none"/>
          <w:lang w:val="en-US" w:eastAsia="zh-CN" w:bidi="ar-SA"/>
        </w:rPr>
        <w:drawing>
          <wp:inline distT="0" distB="0" distL="114300" distR="114300">
            <wp:extent cx="1891030" cy="1259840"/>
            <wp:effectExtent l="0" t="0" r="1270" b="10160"/>
            <wp:docPr id="87" name="图片 8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图片1"/>
                    <pic:cNvPicPr>
                      <a:picLocks noChangeAspect="1"/>
                    </pic:cNvPicPr>
                  </pic:nvPicPr>
                  <pic:blipFill>
                    <a:blip r:embed="rId14"/>
                    <a:stretch>
                      <a:fillRect/>
                    </a:stretch>
                  </pic:blipFill>
                  <pic:spPr>
                    <a:xfrm>
                      <a:off x="0" y="0"/>
                      <a:ext cx="1891030" cy="1259840"/>
                    </a:xfrm>
                    <a:prstGeom prst="rect">
                      <a:avLst/>
                    </a:prstGeom>
                  </pic:spPr>
                </pic:pic>
              </a:graphicData>
            </a:graphic>
          </wp:inline>
        </w:drawing>
      </w:r>
    </w:p>
    <w:p w14:paraId="1A697A96">
      <w:pPr>
        <w:pStyle w:val="5"/>
        <w:keepNext w:val="0"/>
        <w:keepLines w:val="0"/>
        <w:pageBreakBefore w:val="0"/>
        <w:widowControl w:val="0"/>
        <w:tabs>
          <w:tab w:val="center" w:pos="4412"/>
          <w:tab w:val="right" w:pos="7906"/>
        </w:tabs>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黑体" w:cs="宋体"/>
          <w:kern w:val="2"/>
          <w:sz w:val="24"/>
          <w:szCs w:val="24"/>
          <w:highlight w:val="none"/>
          <w:lang w:val="en-US" w:eastAsia="zh-CN" w:bidi="ar-SA"/>
        </w:rPr>
      </w:pPr>
      <w:r>
        <w:rPr>
          <w:rFonts w:hint="eastAsia" w:ascii="Times New Roman" w:hAnsi="Times New Roman" w:eastAsia="黑体" w:cs="宋体"/>
          <w:kern w:val="2"/>
          <w:sz w:val="24"/>
          <w:szCs w:val="24"/>
          <w:highlight w:val="none"/>
          <w:lang w:val="en-US" w:eastAsia="zh-CN" w:bidi="ar-SA"/>
        </w:rPr>
        <w:t>图1-</w:t>
      </w:r>
      <w:r>
        <w:rPr>
          <w:rFonts w:hint="eastAsia" w:ascii="Times New Roman" w:hAnsi="Times New Roman" w:cs="宋体"/>
          <w:kern w:val="2"/>
          <w:sz w:val="24"/>
          <w:szCs w:val="24"/>
          <w:highlight w:val="none"/>
          <w:lang w:val="en-US" w:eastAsia="zh-CN" w:bidi="ar-SA"/>
        </w:rPr>
        <w:t xml:space="preserve">4 </w:t>
      </w:r>
      <w:r>
        <w:rPr>
          <w:rFonts w:hint="eastAsia" w:ascii="Times New Roman" w:hAnsi="Times New Roman" w:eastAsia="黑体" w:cs="宋体"/>
          <w:kern w:val="2"/>
          <w:sz w:val="24"/>
          <w:szCs w:val="24"/>
          <w:highlight w:val="none"/>
          <w:lang w:val="en-US" w:eastAsia="zh-CN" w:bidi="ar-SA"/>
        </w:rPr>
        <w:t>热硫化工艺流程图</w:t>
      </w:r>
    </w:p>
    <w:p w14:paraId="62DBF01C">
      <w:pPr>
        <w:spacing w:line="360" w:lineRule="auto"/>
        <w:rPr>
          <w:rFonts w:hint="default"/>
          <w:highlight w:val="none"/>
          <w:lang w:val="en-US" w:eastAsia="zh-CN"/>
        </w:rPr>
      </w:pPr>
      <w:r>
        <w:rPr>
          <w:rFonts w:hint="eastAsia" w:ascii="Times New Roman" w:hAnsi="Times New Roman" w:eastAsia="黑体" w:cs="宋体"/>
          <w:kern w:val="2"/>
          <w:sz w:val="24"/>
          <w:szCs w:val="24"/>
          <w:highlight w:val="none"/>
          <w:lang w:val="en-US" w:eastAsia="zh-CN" w:bidi="ar-SA"/>
        </w:rPr>
        <w:br w:type="page"/>
      </w:r>
    </w:p>
    <w:p w14:paraId="5D3F0D76">
      <w:pPr>
        <w:keepNext w:val="0"/>
        <w:keepLines w:val="0"/>
        <w:pageBreakBefore w:val="0"/>
        <w:widowControl w:val="0"/>
        <w:kinsoku/>
        <w:wordWrap/>
        <w:overflowPunct/>
        <w:topLinePunct w:val="0"/>
        <w:autoSpaceDE/>
        <w:autoSpaceDN/>
        <w:bidi w:val="0"/>
        <w:adjustRightInd/>
        <w:snapToGrid/>
        <w:spacing w:after="120" w:afterLines="50" w:line="360" w:lineRule="auto"/>
        <w:ind w:left="0" w:leftChars="0" w:firstLine="560" w:firstLineChars="200"/>
        <w:jc w:val="both"/>
        <w:textAlignment w:val="auto"/>
        <w:rPr>
          <w:rFonts w:hint="eastAsia" w:ascii="Times New Roman" w:hAnsi="Times New Roman" w:eastAsia="楷体" w:cs="Times New Roman"/>
          <w:kern w:val="2"/>
          <w:sz w:val="28"/>
          <w:szCs w:val="21"/>
          <w:highlight w:val="none"/>
          <w:lang w:val="en-US" w:eastAsia="zh-CN" w:bidi="ar-SA"/>
        </w:rPr>
      </w:pPr>
      <w:r>
        <w:rPr>
          <w:rFonts w:hint="eastAsia" w:ascii="Times New Roman" w:hAnsi="Times New Roman" w:eastAsia="楷体" w:cs="Times New Roman"/>
          <w:kern w:val="2"/>
          <w:sz w:val="28"/>
          <w:szCs w:val="21"/>
          <w:highlight w:val="none"/>
          <w:lang w:val="en-US" w:eastAsia="zh-CN" w:bidi="ar-SA"/>
        </w:rPr>
        <w:t>3</w:t>
      </w:r>
      <w:r>
        <w:rPr>
          <w:rFonts w:hint="eastAsia" w:cs="Times New Roman"/>
          <w:kern w:val="2"/>
          <w:sz w:val="28"/>
          <w:szCs w:val="21"/>
          <w:highlight w:val="none"/>
          <w:lang w:val="en-US" w:eastAsia="zh-CN" w:bidi="ar-SA"/>
        </w:rPr>
        <w:t>.</w:t>
      </w:r>
      <w:r>
        <w:rPr>
          <w:rFonts w:hint="eastAsia" w:ascii="Times New Roman" w:hAnsi="Times New Roman" w:eastAsia="楷体" w:cs="Times New Roman"/>
          <w:kern w:val="2"/>
          <w:sz w:val="28"/>
          <w:szCs w:val="21"/>
          <w:highlight w:val="none"/>
          <w:lang w:val="en-US" w:eastAsia="zh-CN" w:bidi="ar-SA"/>
        </w:rPr>
        <w:t>零机械安装设计：施工周期缩短至1h，成本仅为传统方案10%。无需专业设备，村民可参与。</w:t>
      </w:r>
    </w:p>
    <w:p w14:paraId="0B4436EA">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kern w:val="2"/>
          <w:sz w:val="28"/>
          <w:szCs w:val="21"/>
          <w:highlight w:val="none"/>
          <w:lang w:val="en-US" w:eastAsia="zh-CN" w:bidi="ar-SA"/>
        </w:rPr>
      </w:pPr>
      <w:r>
        <w:rPr>
          <w:rFonts w:hint="eastAsia" w:ascii="Times New Roman" w:hAnsi="Times New Roman" w:eastAsia="楷体" w:cs="Times New Roman"/>
          <w:kern w:val="2"/>
          <w:sz w:val="28"/>
          <w:szCs w:val="21"/>
          <w:highlight w:val="none"/>
          <w:lang w:val="en-US" w:eastAsia="zh-CN" w:bidi="ar-SA"/>
        </w:rPr>
        <w:drawing>
          <wp:inline distT="0" distB="0" distL="114300" distR="114300">
            <wp:extent cx="3599815" cy="2520315"/>
            <wp:effectExtent l="0" t="0" r="6985" b="6985"/>
            <wp:docPr id="88" name="图片 88"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图片3"/>
                    <pic:cNvPicPr>
                      <a:picLocks noChangeAspect="1"/>
                    </pic:cNvPicPr>
                  </pic:nvPicPr>
                  <pic:blipFill>
                    <a:blip r:embed="rId15"/>
                    <a:stretch>
                      <a:fillRect/>
                    </a:stretch>
                  </pic:blipFill>
                  <pic:spPr>
                    <a:xfrm>
                      <a:off x="0" y="0"/>
                      <a:ext cx="3599815" cy="2520315"/>
                    </a:xfrm>
                    <a:prstGeom prst="rect">
                      <a:avLst/>
                    </a:prstGeom>
                  </pic:spPr>
                </pic:pic>
              </a:graphicData>
            </a:graphic>
          </wp:inline>
        </w:drawing>
      </w:r>
    </w:p>
    <w:p w14:paraId="236A7577">
      <w:pPr>
        <w:pStyle w:val="5"/>
        <w:keepNext w:val="0"/>
        <w:keepLines w:val="0"/>
        <w:pageBreakBefore w:val="0"/>
        <w:widowControl w:val="0"/>
        <w:kinsoku/>
        <w:wordWrap/>
        <w:overflowPunct/>
        <w:topLinePunct w:val="0"/>
        <w:autoSpaceDE/>
        <w:autoSpaceDN/>
        <w:bidi w:val="0"/>
        <w:adjustRightInd/>
        <w:snapToGrid/>
        <w:spacing w:after="120" w:afterLines="50" w:afterAutospacing="0" w:line="360" w:lineRule="auto"/>
        <w:jc w:val="center"/>
        <w:textAlignment w:val="auto"/>
        <w:rPr>
          <w:rFonts w:hint="default" w:ascii="Times New Roman" w:hAnsi="Times New Roman" w:eastAsia="楷体"/>
          <w:sz w:val="28"/>
          <w:highlight w:val="none"/>
          <w:lang w:val="en-US" w:eastAsia="zh-CN"/>
        </w:rPr>
      </w:pPr>
      <w:r>
        <w:rPr>
          <w:rFonts w:hint="eastAsia" w:ascii="Times New Roman" w:hAnsi="Times New Roman" w:eastAsia="黑体" w:cs="宋体"/>
          <w:kern w:val="2"/>
          <w:sz w:val="24"/>
          <w:szCs w:val="24"/>
          <w:highlight w:val="none"/>
          <w:lang w:val="en-US" w:eastAsia="zh-CN" w:bidi="ar-SA"/>
        </w:rPr>
        <w:t>图1-</w:t>
      </w:r>
      <w:r>
        <w:rPr>
          <w:rFonts w:hint="eastAsia" w:ascii="Times New Roman" w:hAnsi="Times New Roman" w:cs="宋体"/>
          <w:kern w:val="2"/>
          <w:sz w:val="24"/>
          <w:szCs w:val="24"/>
          <w:highlight w:val="none"/>
          <w:lang w:val="en-US" w:eastAsia="zh-CN" w:bidi="ar-SA"/>
        </w:rPr>
        <w:t xml:space="preserve">5 </w:t>
      </w:r>
      <w:r>
        <w:rPr>
          <w:rFonts w:hint="eastAsia" w:ascii="Times New Roman" w:hAnsi="Times New Roman" w:eastAsia="黑体" w:cs="宋体"/>
          <w:kern w:val="2"/>
          <w:sz w:val="24"/>
          <w:szCs w:val="24"/>
          <w:highlight w:val="none"/>
          <w:lang w:val="en-US" w:eastAsia="zh-CN" w:bidi="ar-SA"/>
        </w:rPr>
        <w:t>农户自主安装隔震支座</w:t>
      </w:r>
    </w:p>
    <w:p w14:paraId="24C59272">
      <w:pPr>
        <w:keepNext w:val="0"/>
        <w:keepLines w:val="0"/>
        <w:pageBreakBefore w:val="0"/>
        <w:widowControl w:val="0"/>
        <w:tabs>
          <w:tab w:val="left" w:pos="1612"/>
        </w:tabs>
        <w:kinsoku/>
        <w:wordWrap/>
        <w:overflowPunct/>
        <w:topLinePunct w:val="0"/>
        <w:autoSpaceDE/>
        <w:autoSpaceDN/>
        <w:bidi w:val="0"/>
        <w:adjustRightInd/>
        <w:snapToGrid/>
        <w:spacing w:beforeAutospacing="0" w:line="360" w:lineRule="auto"/>
        <w:ind w:firstLine="0" w:firstLineChars="0"/>
        <w:jc w:val="center"/>
        <w:textAlignment w:val="auto"/>
        <w:rPr>
          <w:rFonts w:hint="default" w:ascii="Times New Roman" w:hAnsi="Times New Roman" w:eastAsia="楷体"/>
          <w:sz w:val="28"/>
          <w:highlight w:val="none"/>
          <w:lang w:val="en-US" w:eastAsia="zh-CN"/>
        </w:rPr>
      </w:pPr>
      <w:r>
        <w:rPr>
          <w:rFonts w:hint="default" w:ascii="Times New Roman" w:hAnsi="Times New Roman" w:eastAsia="楷体"/>
          <w:sz w:val="28"/>
          <w:highlight w:val="none"/>
          <w:lang w:val="en-US" w:eastAsia="zh-CN"/>
        </w:rPr>
        <w:drawing>
          <wp:inline distT="0" distB="0" distL="114300" distR="114300">
            <wp:extent cx="3599815" cy="2520315"/>
            <wp:effectExtent l="0" t="0" r="6985" b="6985"/>
            <wp:docPr id="8" name="图片 8"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片4"/>
                    <pic:cNvPicPr>
                      <a:picLocks noChangeAspect="1"/>
                    </pic:cNvPicPr>
                  </pic:nvPicPr>
                  <pic:blipFill>
                    <a:blip r:embed="rId16"/>
                    <a:srcRect t="13722"/>
                    <a:stretch>
                      <a:fillRect/>
                    </a:stretch>
                  </pic:blipFill>
                  <pic:spPr>
                    <a:xfrm>
                      <a:off x="0" y="0"/>
                      <a:ext cx="3599815" cy="2520315"/>
                    </a:xfrm>
                    <a:prstGeom prst="rect">
                      <a:avLst/>
                    </a:prstGeom>
                  </pic:spPr>
                </pic:pic>
              </a:graphicData>
            </a:graphic>
          </wp:inline>
        </w:drawing>
      </w:r>
    </w:p>
    <w:p w14:paraId="44454E1F">
      <w:pPr>
        <w:pStyle w:val="5"/>
        <w:keepNext w:val="0"/>
        <w:keepLines w:val="0"/>
        <w:pageBreakBefore w:val="0"/>
        <w:widowControl w:val="0"/>
        <w:kinsoku/>
        <w:wordWrap/>
        <w:overflowPunct/>
        <w:topLinePunct w:val="0"/>
        <w:autoSpaceDE/>
        <w:autoSpaceDN/>
        <w:bidi w:val="0"/>
        <w:adjustRightInd/>
        <w:snapToGrid/>
        <w:spacing w:after="158" w:afterLines="66" w:afterAutospacing="0" w:line="360" w:lineRule="auto"/>
        <w:jc w:val="center"/>
        <w:textAlignment w:val="auto"/>
        <w:rPr>
          <w:rFonts w:hint="default"/>
          <w:highlight w:val="none"/>
          <w:lang w:val="en-US" w:eastAsia="zh-CN"/>
        </w:rPr>
      </w:pPr>
      <w:r>
        <w:rPr>
          <w:rFonts w:hint="eastAsia" w:ascii="Times New Roman" w:hAnsi="Times New Roman" w:eastAsia="黑体" w:cs="宋体"/>
          <w:kern w:val="2"/>
          <w:sz w:val="24"/>
          <w:szCs w:val="24"/>
          <w:highlight w:val="none"/>
          <w:lang w:val="en-US" w:eastAsia="zh-CN" w:bidi="ar-SA"/>
        </w:rPr>
        <w:t>图1-</w:t>
      </w:r>
      <w:r>
        <w:rPr>
          <w:rFonts w:hint="eastAsia" w:ascii="Times New Roman" w:hAnsi="Times New Roman" w:cs="宋体"/>
          <w:kern w:val="2"/>
          <w:sz w:val="24"/>
          <w:szCs w:val="24"/>
          <w:highlight w:val="none"/>
          <w:lang w:val="en-US" w:eastAsia="zh-CN" w:bidi="ar-SA"/>
        </w:rPr>
        <w:t xml:space="preserve">6 </w:t>
      </w:r>
      <w:r>
        <w:rPr>
          <w:rFonts w:hint="eastAsia" w:ascii="Times New Roman" w:hAnsi="Times New Roman" w:eastAsia="黑体" w:cs="宋体"/>
          <w:kern w:val="2"/>
          <w:sz w:val="24"/>
          <w:szCs w:val="24"/>
          <w:highlight w:val="none"/>
          <w:lang w:val="en-US" w:eastAsia="zh-CN" w:bidi="ar-SA"/>
        </w:rPr>
        <w:t>铺设泡沫砖</w:t>
      </w:r>
    </w:p>
    <w:p w14:paraId="65B62848">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firstLine="560" w:firstLineChars="200"/>
        <w:jc w:val="both"/>
        <w:textAlignment w:val="auto"/>
        <w:rPr>
          <w:rFonts w:hint="eastAsia" w:ascii="Times New Roman" w:hAnsi="Times New Roman" w:eastAsia="楷体" w:cs="Times New Roman"/>
          <w:kern w:val="2"/>
          <w:sz w:val="28"/>
          <w:szCs w:val="21"/>
          <w:highlight w:val="none"/>
          <w:lang w:val="en-US" w:eastAsia="zh-CN" w:bidi="ar-SA"/>
        </w:rPr>
      </w:pPr>
      <w:r>
        <w:rPr>
          <w:rFonts w:hint="eastAsia" w:ascii="Times New Roman" w:hAnsi="Times New Roman" w:eastAsia="楷体" w:cs="Times New Roman"/>
          <w:kern w:val="2"/>
          <w:sz w:val="28"/>
          <w:szCs w:val="21"/>
          <w:highlight w:val="none"/>
          <w:lang w:val="en-US" w:eastAsia="zh-CN" w:bidi="ar-SA"/>
        </w:rPr>
        <w:t>（2）模式创新：三方共担，破解资金难题。</w:t>
      </w:r>
    </w:p>
    <w:p w14:paraId="4F614ACC">
      <w:pPr>
        <w:keepNext w:val="0"/>
        <w:keepLines w:val="0"/>
        <w:pageBreakBefore w:val="0"/>
        <w:widowControl w:val="0"/>
        <w:kinsoku/>
        <w:wordWrap/>
        <w:overflowPunct/>
        <w:topLinePunct w:val="0"/>
        <w:autoSpaceDE/>
        <w:autoSpaceDN/>
        <w:bidi w:val="0"/>
        <w:adjustRightInd/>
        <w:snapToGrid/>
        <w:spacing w:beforeAutospacing="0" w:line="360" w:lineRule="auto"/>
        <w:ind w:firstLine="560" w:firstLineChars="200"/>
        <w:jc w:val="left"/>
        <w:textAlignment w:val="auto"/>
        <w:rPr>
          <w:rFonts w:hint="default" w:ascii="Times New Roman" w:hAnsi="Times New Roman" w:eastAsia="楷体" w:cs="Times New Roman"/>
          <w:color w:val="000000" w:themeColor="text1"/>
          <w:kern w:val="2"/>
          <w:sz w:val="28"/>
          <w:szCs w:val="21"/>
          <w:highlight w:val="none"/>
          <w:lang w:val="en-US" w:eastAsia="zh-CN" w:bidi="ar-SA"/>
          <w14:textFill>
            <w14:solidFill>
              <w14:schemeClr w14:val="tx1"/>
            </w14:solidFill>
          </w14:textFill>
        </w:rPr>
      </w:pPr>
      <w:r>
        <w:rPr>
          <w:rFonts w:hint="eastAsia" w:ascii="Times New Roman" w:hAnsi="Times New Roman" w:eastAsia="楷体" w:cs="Times New Roman"/>
          <w:kern w:val="2"/>
          <w:sz w:val="28"/>
          <w:szCs w:val="21"/>
          <w:highlight w:val="none"/>
          <w:lang w:val="en-US" w:eastAsia="zh-CN" w:bidi="ar-SA"/>
        </w:rPr>
        <w:t>政府补贴：通过住建部门</w:t>
      </w:r>
      <w:r>
        <w:rPr>
          <w:rFonts w:hint="eastAsia" w:cs="Times New Roman"/>
          <w:kern w:val="2"/>
          <w:sz w:val="28"/>
          <w:szCs w:val="21"/>
          <w:highlight w:val="none"/>
          <w:lang w:val="en-US" w:eastAsia="zh-CN" w:bidi="ar-SA"/>
        </w:rPr>
        <w:t>“</w:t>
      </w:r>
      <w:r>
        <w:rPr>
          <w:rFonts w:hint="eastAsia" w:ascii="Times New Roman" w:hAnsi="Times New Roman" w:eastAsia="楷体" w:cs="Times New Roman"/>
          <w:kern w:val="2"/>
          <w:sz w:val="28"/>
          <w:szCs w:val="21"/>
          <w:highlight w:val="none"/>
          <w:lang w:val="en-US" w:eastAsia="zh-CN" w:bidi="ar-SA"/>
        </w:rPr>
        <w:t>危房改造专项资金</w:t>
      </w:r>
      <w:r>
        <w:rPr>
          <w:rFonts w:hint="eastAsia" w:cs="Times New Roman"/>
          <w:kern w:val="2"/>
          <w:sz w:val="28"/>
          <w:szCs w:val="21"/>
          <w:highlight w:val="none"/>
          <w:lang w:val="en-US" w:eastAsia="zh-CN" w:bidi="ar-SA"/>
        </w:rPr>
        <w:t>”</w:t>
      </w:r>
      <w:r>
        <w:rPr>
          <w:rFonts w:hint="eastAsia" w:ascii="Times New Roman" w:hAnsi="Times New Roman" w:eastAsia="楷体" w:cs="Times New Roman"/>
          <w:kern w:val="2"/>
          <w:sz w:val="28"/>
          <w:szCs w:val="21"/>
          <w:highlight w:val="none"/>
          <w:lang w:val="en-US" w:eastAsia="zh-CN" w:bidi="ar-SA"/>
        </w:rPr>
        <w:t>申请补贴（比例达70%），例如云南赤鹫镇试点中政府承担2万元/户。企业捐赠：与震安科技等企业合作，设立</w:t>
      </w:r>
      <w:r>
        <w:rPr>
          <w:rFonts w:hint="eastAsia" w:cs="Times New Roman"/>
          <w:kern w:val="2"/>
          <w:sz w:val="28"/>
          <w:szCs w:val="21"/>
          <w:highlight w:val="none"/>
          <w:lang w:val="en-US" w:eastAsia="zh-CN" w:bidi="ar-SA"/>
        </w:rPr>
        <w:t>“</w:t>
      </w:r>
      <w:r>
        <w:rPr>
          <w:rFonts w:hint="eastAsia" w:ascii="Times New Roman" w:hAnsi="Times New Roman" w:eastAsia="楷体" w:cs="Times New Roman"/>
          <w:kern w:val="2"/>
          <w:sz w:val="28"/>
          <w:szCs w:val="21"/>
          <w:highlight w:val="none"/>
          <w:lang w:val="en-US" w:eastAsia="zh-CN" w:bidi="ar-SA"/>
        </w:rPr>
        <w:t>抗震公益基金</w:t>
      </w:r>
      <w:r>
        <w:rPr>
          <w:rFonts w:hint="eastAsia" w:cs="Times New Roman"/>
          <w:kern w:val="2"/>
          <w:sz w:val="28"/>
          <w:szCs w:val="21"/>
          <w:highlight w:val="none"/>
          <w:lang w:val="en-US" w:eastAsia="zh-CN" w:bidi="ar-SA"/>
        </w:rPr>
        <w:t>”</w:t>
      </w:r>
      <w:r>
        <w:rPr>
          <w:rFonts w:hint="eastAsia" w:ascii="Times New Roman" w:hAnsi="Times New Roman" w:eastAsia="楷体" w:cs="Times New Roman"/>
          <w:kern w:val="2"/>
          <w:sz w:val="28"/>
          <w:szCs w:val="21"/>
          <w:highlight w:val="none"/>
          <w:lang w:val="en-US" w:eastAsia="zh-CN" w:bidi="ar-SA"/>
        </w:rPr>
        <w:t>，定向捐赠20%改造成本。村民微付：农户自付10%（可分期），降低支付门槛。</w:t>
      </w:r>
    </w:p>
    <w:p w14:paraId="4B40E5E8">
      <w:pPr>
        <w:pStyle w:val="3"/>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color w:val="000000" w:themeColor="text1"/>
          <w:kern w:val="2"/>
          <w:sz w:val="32"/>
          <w:szCs w:val="32"/>
          <w:highlight w:val="none"/>
          <w:lang w:val="en-US" w:eastAsia="zh-CN" w:bidi="ar-SA"/>
          <w14:textFill>
            <w14:solidFill>
              <w14:schemeClr w14:val="tx1"/>
            </w14:solidFill>
          </w14:textFill>
        </w:rPr>
      </w:pPr>
      <w:bookmarkStart w:id="10" w:name="_Toc14013"/>
      <w:bookmarkStart w:id="11" w:name="_Toc765"/>
      <w:r>
        <w:rPr>
          <w:rFonts w:hint="eastAsia" w:ascii="Times New Roman" w:hAnsi="Times New Roman" w:eastAsia="仿宋" w:cs="Times New Roman"/>
          <w:b/>
          <w:color w:val="000000" w:themeColor="text1"/>
          <w:kern w:val="2"/>
          <w:sz w:val="32"/>
          <w:szCs w:val="32"/>
          <w:highlight w:val="none"/>
          <w:lang w:val="en-US" w:eastAsia="zh-CN" w:bidi="ar-SA"/>
          <w14:textFill>
            <w14:solidFill>
              <w14:schemeClr w14:val="tx1"/>
            </w14:solidFill>
          </w14:textFill>
        </w:rPr>
        <w:t>1.</w:t>
      </w:r>
      <w:r>
        <w:rPr>
          <w:rFonts w:hint="eastAsia" w:ascii="Times New Roman" w:hAnsi="Times New Roman" w:cs="Times New Roman"/>
          <w:b/>
          <w:color w:val="000000" w:themeColor="text1"/>
          <w:kern w:val="2"/>
          <w:sz w:val="32"/>
          <w:szCs w:val="32"/>
          <w:highlight w:val="none"/>
          <w:lang w:val="en-US" w:eastAsia="zh-CN" w:bidi="ar-SA"/>
          <w14:textFill>
            <w14:solidFill>
              <w14:schemeClr w14:val="tx1"/>
            </w14:solidFill>
          </w14:textFill>
        </w:rPr>
        <w:t>3社会价值</w:t>
      </w:r>
      <w:bookmarkEnd w:id="10"/>
      <w:bookmarkEnd w:id="11"/>
    </w:p>
    <w:p w14:paraId="14F10FB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本项目以科技创新赋能乡村振兴，深度契合国家</w:t>
      </w:r>
      <w:r>
        <w:rPr>
          <w:rFonts w:hint="eastAsia" w:cs="Times New Roman"/>
          <w:kern w:val="2"/>
          <w:sz w:val="28"/>
          <w:szCs w:val="21"/>
          <w:highlight w:val="none"/>
          <w:lang w:val="en-US" w:eastAsia="zh-CN" w:bidi="ar-SA"/>
        </w:rPr>
        <w:t>“</w:t>
      </w:r>
      <w:r>
        <w:rPr>
          <w:rFonts w:hint="default"/>
          <w:highlight w:val="none"/>
          <w:lang w:val="en-US" w:eastAsia="zh-CN"/>
        </w:rPr>
        <w:t>防灾减灾</w:t>
      </w:r>
      <w:r>
        <w:rPr>
          <w:rFonts w:hint="eastAsia"/>
          <w:highlight w:val="none"/>
          <w:lang w:val="en-US" w:eastAsia="zh-CN"/>
        </w:rPr>
        <w:t>”</w:t>
      </w:r>
      <w:r>
        <w:rPr>
          <w:rFonts w:hint="default"/>
          <w:highlight w:val="none"/>
          <w:lang w:val="en-US" w:eastAsia="zh-CN"/>
        </w:rPr>
        <w:t>与</w:t>
      </w:r>
      <w:r>
        <w:rPr>
          <w:rFonts w:hint="eastAsia" w:cs="Times New Roman"/>
          <w:kern w:val="2"/>
          <w:sz w:val="28"/>
          <w:szCs w:val="21"/>
          <w:highlight w:val="none"/>
          <w:lang w:val="en-US" w:eastAsia="zh-CN" w:bidi="ar-SA"/>
        </w:rPr>
        <w:t>“</w:t>
      </w:r>
      <w:r>
        <w:rPr>
          <w:rFonts w:hint="default"/>
          <w:highlight w:val="none"/>
          <w:lang w:val="en-US" w:eastAsia="zh-CN"/>
        </w:rPr>
        <w:t>双碳</w:t>
      </w:r>
      <w:r>
        <w:rPr>
          <w:rFonts w:hint="eastAsia"/>
          <w:highlight w:val="none"/>
          <w:lang w:val="en-US" w:eastAsia="zh-CN"/>
        </w:rPr>
        <w:t>”</w:t>
      </w:r>
      <w:r>
        <w:rPr>
          <w:rFonts w:hint="default"/>
          <w:highlight w:val="none"/>
          <w:lang w:val="en-US" w:eastAsia="zh-CN"/>
        </w:rPr>
        <w:t>战略，系统性破解村镇建筑抗震能力薄弱、因灾返贫风险高等痛点，为农村安全宜居与可持续发展提供高效解决方案。基于中国地震局数据，我国79.3%的村镇位于地震高烈度区，而传统隔震技术适配率不足3%。项目研发的新型简易隔震支座，以工程塑料替代传统钢板（减重93.6%）、热硫化工艺提升材料寿命至50年，结合</w:t>
      </w:r>
      <w:r>
        <w:rPr>
          <w:rFonts w:hint="eastAsia" w:cs="Times New Roman"/>
          <w:kern w:val="2"/>
          <w:sz w:val="28"/>
          <w:szCs w:val="21"/>
          <w:highlight w:val="none"/>
          <w:lang w:val="en-US" w:eastAsia="zh-CN" w:bidi="ar-SA"/>
        </w:rPr>
        <w:t>“</w:t>
      </w:r>
      <w:r>
        <w:rPr>
          <w:rFonts w:hint="default"/>
          <w:highlight w:val="none"/>
          <w:lang w:val="en-US" w:eastAsia="zh-CN"/>
        </w:rPr>
        <w:t>零机械安装</w:t>
      </w:r>
      <w:r>
        <w:rPr>
          <w:rFonts w:hint="eastAsia"/>
          <w:highlight w:val="none"/>
          <w:lang w:val="en-US" w:eastAsia="zh-CN"/>
        </w:rPr>
        <w:t>”</w:t>
      </w:r>
      <w:r>
        <w:rPr>
          <w:rFonts w:hint="default"/>
          <w:highlight w:val="none"/>
          <w:lang w:val="en-US" w:eastAsia="zh-CN"/>
        </w:rPr>
        <w:t>设计，将单栋改造成本降至</w:t>
      </w:r>
      <w:r>
        <w:rPr>
          <w:rFonts w:hint="eastAsia"/>
          <w:highlight w:val="none"/>
          <w:lang w:val="en-US" w:eastAsia="zh-CN"/>
        </w:rPr>
        <w:t>50-100/m</w:t>
      </w:r>
      <w:r>
        <w:rPr>
          <w:rFonts w:hint="eastAsia"/>
          <w:highlight w:val="none"/>
          <w:vertAlign w:val="superscript"/>
          <w:lang w:val="en-US" w:eastAsia="zh-CN"/>
        </w:rPr>
        <w:t>2</w:t>
      </w:r>
      <w:r>
        <w:rPr>
          <w:rFonts w:hint="default"/>
          <w:highlight w:val="none"/>
          <w:lang w:val="en-US" w:eastAsia="zh-CN"/>
        </w:rPr>
        <w:t>（仅为传统方案10%），施工周期缩短至1小时，显著降低技术应用门槛。</w:t>
      </w:r>
    </w:p>
    <w:p w14:paraId="3A11365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通过</w:t>
      </w:r>
      <w:r>
        <w:rPr>
          <w:rFonts w:hint="eastAsia" w:cs="Times New Roman"/>
          <w:kern w:val="2"/>
          <w:sz w:val="28"/>
          <w:szCs w:val="21"/>
          <w:highlight w:val="none"/>
          <w:lang w:val="en-US" w:eastAsia="zh-CN" w:bidi="ar-SA"/>
        </w:rPr>
        <w:t>“</w:t>
      </w:r>
      <w:r>
        <w:rPr>
          <w:rFonts w:hint="default"/>
          <w:highlight w:val="none"/>
          <w:lang w:val="en-US" w:eastAsia="zh-CN"/>
        </w:rPr>
        <w:t>政府补贴（70%）+企业捐赠（20%）+农户微付（10%）</w:t>
      </w:r>
      <w:r>
        <w:rPr>
          <w:rFonts w:hint="eastAsia"/>
          <w:highlight w:val="none"/>
          <w:lang w:val="en-US" w:eastAsia="zh-CN"/>
        </w:rPr>
        <w:t>”</w:t>
      </w:r>
      <w:r>
        <w:rPr>
          <w:rFonts w:hint="default"/>
          <w:highlight w:val="none"/>
          <w:lang w:val="en-US" w:eastAsia="zh-CN"/>
        </w:rPr>
        <w:t>三方共担模式，精准匹配《</w:t>
      </w:r>
      <w:r>
        <w:rPr>
          <w:rFonts w:hint="eastAsia" w:cs="Times New Roman"/>
          <w:kern w:val="2"/>
          <w:sz w:val="28"/>
          <w:szCs w:val="21"/>
          <w:highlight w:val="none"/>
          <w:lang w:val="en-US" w:eastAsia="zh-CN" w:bidi="ar-SA"/>
        </w:rPr>
        <w:t>“</w:t>
      </w:r>
      <w:r>
        <w:rPr>
          <w:rFonts w:hint="default"/>
          <w:highlight w:val="none"/>
          <w:lang w:val="en-US" w:eastAsia="zh-CN"/>
        </w:rPr>
        <w:t>十四五</w:t>
      </w:r>
      <w:r>
        <w:rPr>
          <w:rFonts w:hint="eastAsia"/>
          <w:highlight w:val="none"/>
          <w:lang w:val="en-US" w:eastAsia="zh-CN"/>
        </w:rPr>
        <w:t>”</w:t>
      </w:r>
      <w:r>
        <w:rPr>
          <w:rFonts w:hint="default"/>
          <w:highlight w:val="none"/>
          <w:lang w:val="en-US" w:eastAsia="zh-CN"/>
        </w:rPr>
        <w:t>国家综合防灾减灾规划》要求，已在云南、甘肃等地震高风险区完成</w:t>
      </w:r>
      <w:r>
        <w:rPr>
          <w:rFonts w:hint="eastAsia"/>
          <w:highlight w:val="none"/>
          <w:lang w:val="en-US" w:eastAsia="zh-CN"/>
        </w:rPr>
        <w:t>195</w:t>
      </w:r>
      <w:r>
        <w:rPr>
          <w:rFonts w:hint="default"/>
          <w:highlight w:val="none"/>
          <w:lang w:val="en-US" w:eastAsia="zh-CN"/>
        </w:rPr>
        <w:t>栋农居改造，惠及</w:t>
      </w:r>
      <w:r>
        <w:rPr>
          <w:rFonts w:hint="eastAsia"/>
          <w:highlight w:val="none"/>
          <w:lang w:val="en-US" w:eastAsia="zh-CN"/>
        </w:rPr>
        <w:t>780</w:t>
      </w:r>
      <w:r>
        <w:rPr>
          <w:rFonts w:hint="default"/>
          <w:highlight w:val="none"/>
          <w:lang w:val="en-US" w:eastAsia="zh-CN"/>
        </w:rPr>
        <w:t>名村民，因灾返贫概率降低96%。项目带动上下游产业链发展，累计创造就业岗位超1000个，激活本土建材、物流及技术服务市场，促进区域经济韧性。同时，产品采用可回收工程塑料与低碳施工工艺，减少钢材消耗30%，施工碳排放降低45%，呼应绿色发展战略。</w:t>
      </w:r>
    </w:p>
    <w:p w14:paraId="639C71A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在乡村振兴框架下，项目以技术普惠为纽带，推动</w:t>
      </w:r>
      <w:r>
        <w:rPr>
          <w:rFonts w:hint="eastAsia" w:cs="Times New Roman"/>
          <w:kern w:val="2"/>
          <w:sz w:val="28"/>
          <w:szCs w:val="21"/>
          <w:highlight w:val="none"/>
          <w:lang w:val="en-US" w:eastAsia="zh-CN" w:bidi="ar-SA"/>
        </w:rPr>
        <w:t>“</w:t>
      </w:r>
      <w:r>
        <w:rPr>
          <w:rFonts w:hint="default"/>
          <w:highlight w:val="none"/>
          <w:lang w:val="en-US" w:eastAsia="zh-CN"/>
        </w:rPr>
        <w:t>安居—乐业</w:t>
      </w:r>
      <w:r>
        <w:rPr>
          <w:rFonts w:hint="eastAsia"/>
          <w:highlight w:val="none"/>
          <w:lang w:val="en-US" w:eastAsia="zh-CN"/>
        </w:rPr>
        <w:t>”</w:t>
      </w:r>
      <w:r>
        <w:rPr>
          <w:rFonts w:hint="default"/>
          <w:highlight w:val="none"/>
          <w:lang w:val="en-US" w:eastAsia="zh-CN"/>
        </w:rPr>
        <w:t>良性循环。改造后的农房作为</w:t>
      </w:r>
      <w:r>
        <w:rPr>
          <w:rFonts w:hint="eastAsia" w:cs="Times New Roman"/>
          <w:kern w:val="2"/>
          <w:sz w:val="28"/>
          <w:szCs w:val="21"/>
          <w:highlight w:val="none"/>
          <w:lang w:val="en-US" w:eastAsia="zh-CN" w:bidi="ar-SA"/>
        </w:rPr>
        <w:t>“</w:t>
      </w:r>
      <w:r>
        <w:rPr>
          <w:rFonts w:hint="default"/>
          <w:highlight w:val="none"/>
          <w:lang w:val="en-US" w:eastAsia="zh-CN"/>
        </w:rPr>
        <w:t>安全资产</w:t>
      </w:r>
      <w:r>
        <w:rPr>
          <w:rFonts w:hint="eastAsia"/>
          <w:highlight w:val="none"/>
          <w:lang w:val="en-US" w:eastAsia="zh-CN"/>
        </w:rPr>
        <w:t>”</w:t>
      </w:r>
      <w:r>
        <w:rPr>
          <w:rFonts w:hint="default"/>
          <w:highlight w:val="none"/>
          <w:lang w:val="en-US" w:eastAsia="zh-CN"/>
        </w:rPr>
        <w:t>吸引文旅产业投资，户均年增收1.2万元，留守儿童就学率提升28%。通过</w:t>
      </w:r>
      <w:r>
        <w:rPr>
          <w:rFonts w:hint="eastAsia" w:cs="Times New Roman"/>
          <w:kern w:val="2"/>
          <w:sz w:val="28"/>
          <w:szCs w:val="21"/>
          <w:highlight w:val="none"/>
          <w:lang w:val="en-US" w:eastAsia="zh-CN" w:bidi="ar-SA"/>
        </w:rPr>
        <w:t>“</w:t>
      </w:r>
      <w:r>
        <w:rPr>
          <w:rFonts w:hint="default"/>
          <w:highlight w:val="none"/>
          <w:lang w:val="en-US" w:eastAsia="zh-CN"/>
        </w:rPr>
        <w:t>抗震技术党员先锋队</w:t>
      </w:r>
      <w:r>
        <w:rPr>
          <w:rFonts w:hint="eastAsia"/>
          <w:highlight w:val="none"/>
          <w:lang w:val="en-US" w:eastAsia="zh-CN"/>
        </w:rPr>
        <w:t>”</w:t>
      </w:r>
      <w:r>
        <w:rPr>
          <w:rFonts w:hint="default"/>
          <w:highlight w:val="none"/>
          <w:lang w:val="en-US" w:eastAsia="zh-CN"/>
        </w:rPr>
        <w:t>与基层党组织联动，培养120名本地技术专员，形成</w:t>
      </w:r>
      <w:r>
        <w:rPr>
          <w:rFonts w:hint="eastAsia" w:cs="Times New Roman"/>
          <w:kern w:val="2"/>
          <w:sz w:val="28"/>
          <w:szCs w:val="21"/>
          <w:highlight w:val="none"/>
          <w:lang w:val="en-US" w:eastAsia="zh-CN" w:bidi="ar-SA"/>
        </w:rPr>
        <w:t>“</w:t>
      </w:r>
      <w:r>
        <w:rPr>
          <w:rFonts w:hint="default"/>
          <w:highlight w:val="none"/>
          <w:lang w:val="en-US" w:eastAsia="zh-CN"/>
        </w:rPr>
        <w:t>安全—增收—育人</w:t>
      </w:r>
      <w:r>
        <w:rPr>
          <w:rFonts w:hint="eastAsia"/>
          <w:highlight w:val="none"/>
          <w:lang w:val="en-US" w:eastAsia="zh-CN"/>
        </w:rPr>
        <w:t>”</w:t>
      </w:r>
      <w:r>
        <w:rPr>
          <w:rFonts w:hint="default"/>
          <w:highlight w:val="none"/>
          <w:lang w:val="en-US" w:eastAsia="zh-CN"/>
        </w:rPr>
        <w:t>融合范式，为革命老区振兴提供可复制样板，实现社会效益、经济效益与生态效益的有机统一。</w:t>
      </w:r>
    </w:p>
    <w:p w14:paraId="223F7C32">
      <w:pPr>
        <w:spacing w:line="360" w:lineRule="auto"/>
        <w:rPr>
          <w:rFonts w:hint="default"/>
          <w:highlight w:val="none"/>
          <w:lang w:val="en-US" w:eastAsia="zh-CN"/>
        </w:rPr>
      </w:pPr>
      <w:r>
        <w:rPr>
          <w:rFonts w:hint="default"/>
          <w:highlight w:val="none"/>
          <w:lang w:val="en-US" w:eastAsia="zh-CN"/>
        </w:rPr>
        <w:br w:type="page"/>
      </w:r>
    </w:p>
    <w:p w14:paraId="6B42AB4E">
      <w:pPr>
        <w:pStyle w:val="3"/>
        <w:bidi w:val="0"/>
        <w:spacing w:line="360" w:lineRule="auto"/>
        <w:rPr>
          <w:rFonts w:hint="default"/>
          <w:highlight w:val="none"/>
          <w:lang w:val="en-US" w:eastAsia="zh-CN"/>
        </w:rPr>
      </w:pPr>
      <w:bookmarkStart w:id="12" w:name="_Toc6358"/>
      <w:bookmarkStart w:id="13" w:name="_Toc3181"/>
      <w:r>
        <w:rPr>
          <w:rFonts w:hint="eastAsia"/>
          <w:highlight w:val="none"/>
          <w:lang w:val="en-US" w:eastAsia="zh-CN"/>
        </w:rPr>
        <w:t>1.4核心优势</w:t>
      </w:r>
      <w:bookmarkEnd w:id="12"/>
      <w:bookmarkEnd w:id="13"/>
    </w:p>
    <w:p w14:paraId="7673787A">
      <w:pPr>
        <w:pageBreakBefore w:val="0"/>
        <w:kinsoku/>
        <w:wordWrap/>
        <w:overflowPunct/>
        <w:topLinePunct w:val="0"/>
        <w:autoSpaceDE/>
        <w:autoSpaceDN/>
        <w:bidi w:val="0"/>
        <w:adjustRightInd/>
        <w:snapToGrid/>
        <w:spacing w:line="360" w:lineRule="auto"/>
        <w:textAlignment w:val="auto"/>
        <w:rPr>
          <w:rFonts w:ascii="Times New Roman" w:hAnsi="Times New Roman" w:eastAsia="楷体"/>
          <w:color w:val="000000" w:themeColor="text1"/>
          <w:sz w:val="28"/>
          <w:highlight w:val="none"/>
          <w14:textFill>
            <w14:solidFill>
              <w14:schemeClr w14:val="tx1"/>
            </w14:solidFill>
          </w14:textFill>
        </w:rPr>
      </w:pPr>
      <w:r>
        <w:rPr>
          <w:rFonts w:hint="eastAsia" w:ascii="Times New Roman" w:hAnsi="Times New Roman" w:eastAsia="楷体"/>
          <w:color w:val="000000" w:themeColor="text1"/>
          <w:sz w:val="28"/>
          <w:highlight w:val="none"/>
          <w14:textFill>
            <w14:solidFill>
              <w14:schemeClr w14:val="tx1"/>
            </w14:solidFill>
          </w14:textFill>
        </w:rPr>
        <w:t>传统隔震方案与新型简易隔震支座的对比凸显了本项目的显著优势。</w:t>
      </w:r>
    </w:p>
    <w:p w14:paraId="50D22EE5">
      <w:pPr>
        <w:pStyle w:val="5"/>
        <w:spacing w:after="120" w:afterLines="50" w:afterAutospacing="0" w:line="360" w:lineRule="auto"/>
        <w:rPr>
          <w:highlight w:val="none"/>
        </w:rPr>
      </w:pPr>
      <w:r>
        <w:rPr>
          <w:highlight w:val="none"/>
        </w:rPr>
        <w:t>表1-1</w:t>
      </w:r>
      <w:r>
        <w:rPr>
          <w:rFonts w:hint="eastAsia"/>
          <w:highlight w:val="none"/>
          <w:lang w:val="en-US" w:eastAsia="zh-CN"/>
        </w:rPr>
        <w:t xml:space="preserve"> </w:t>
      </w:r>
      <w:r>
        <w:rPr>
          <w:highlight w:val="none"/>
        </w:rPr>
        <w:t>参数对比</w:t>
      </w:r>
    </w:p>
    <w:tbl>
      <w:tblPr>
        <w:tblStyle w:val="17"/>
        <w:tblpPr w:leftFromText="180" w:rightFromText="180" w:vertAnchor="text" w:horzAnchor="page" w:tblpXSpec="center" w:tblpY="60"/>
        <w:tblOverlap w:val="never"/>
        <w:tblW w:w="896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067"/>
        <w:gridCol w:w="3507"/>
        <w:gridCol w:w="3395"/>
      </w:tblGrid>
      <w:tr w14:paraId="50E28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27" w:hRule="atLeast"/>
          <w:jc w:val="center"/>
        </w:trPr>
        <w:tc>
          <w:tcPr>
            <w:tcW w:w="20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B585D1">
            <w:pPr>
              <w:pageBreakBefore w:val="0"/>
              <w:kinsoku/>
              <w:wordWrap/>
              <w:overflowPunct/>
              <w:topLinePunct w:val="0"/>
              <w:autoSpaceDE/>
              <w:autoSpaceDN/>
              <w:bidi w:val="0"/>
              <w:adjustRightInd/>
              <w:snapToGrid/>
              <w:spacing w:beforeAutospacing="0" w:line="360" w:lineRule="auto"/>
              <w:jc w:val="center"/>
              <w:textAlignment w:val="auto"/>
              <w:rPr>
                <w:rFonts w:ascii="Times New Roman" w:hAnsi="Times New Roman" w:eastAsia="楷体"/>
                <w:b/>
                <w:bCs/>
                <w:color w:val="000000" w:themeColor="text1"/>
                <w:sz w:val="28"/>
                <w:highlight w:val="none"/>
                <w14:textFill>
                  <w14:solidFill>
                    <w14:schemeClr w14:val="tx1"/>
                  </w14:solidFill>
                </w14:textFill>
              </w:rPr>
            </w:pPr>
            <w:r>
              <w:rPr>
                <w:rFonts w:hint="eastAsia" w:ascii="Times New Roman" w:hAnsi="Times New Roman" w:eastAsia="楷体"/>
                <w:b/>
                <w:bCs/>
                <w:color w:val="000000" w:themeColor="text1"/>
                <w:sz w:val="28"/>
                <w:highlight w:val="none"/>
                <w:lang w:val="en-US" w:eastAsia="zh-CN"/>
                <w14:textFill>
                  <w14:solidFill>
                    <w14:schemeClr w14:val="tx1"/>
                  </w14:solidFill>
                </w14:textFill>
              </w:rPr>
              <w:t>对比维度</w:t>
            </w:r>
          </w:p>
        </w:tc>
        <w:tc>
          <w:tcPr>
            <w:tcW w:w="35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385561">
            <w:pPr>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楷体"/>
                <w:b/>
                <w:bCs/>
                <w:color w:val="000000" w:themeColor="text1"/>
                <w:sz w:val="28"/>
                <w:highlight w:val="none"/>
                <w14:textFill>
                  <w14:solidFill>
                    <w14:schemeClr w14:val="tx1"/>
                  </w14:solidFill>
                </w14:textFill>
              </w:rPr>
            </w:pPr>
            <w:r>
              <w:rPr>
                <w:rFonts w:hint="eastAsia" w:ascii="Times New Roman" w:hAnsi="Times New Roman" w:eastAsia="楷体"/>
                <w:b/>
                <w:bCs/>
                <w:color w:val="000000" w:themeColor="text1"/>
                <w:sz w:val="28"/>
                <w:highlight w:val="none"/>
                <w:lang w:val="en-US" w:eastAsia="zh-CN"/>
                <w14:textFill>
                  <w14:solidFill>
                    <w14:schemeClr w14:val="tx1"/>
                  </w14:solidFill>
                </w14:textFill>
              </w:rPr>
              <w:t>传统方案</w:t>
            </w:r>
          </w:p>
        </w:tc>
        <w:tc>
          <w:tcPr>
            <w:tcW w:w="33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372994">
            <w:pPr>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楷体"/>
                <w:b/>
                <w:bCs/>
                <w:color w:val="000000" w:themeColor="text1"/>
                <w:sz w:val="28"/>
                <w:highlight w:val="none"/>
                <w14:textFill>
                  <w14:solidFill>
                    <w14:schemeClr w14:val="tx1"/>
                  </w14:solidFill>
                </w14:textFill>
              </w:rPr>
            </w:pPr>
            <w:r>
              <w:rPr>
                <w:rFonts w:hint="eastAsia" w:ascii="Times New Roman" w:hAnsi="Times New Roman" w:eastAsia="楷体"/>
                <w:b/>
                <w:bCs/>
                <w:color w:val="000000" w:themeColor="text1"/>
                <w:sz w:val="28"/>
                <w:highlight w:val="none"/>
                <w:lang w:val="en-US" w:eastAsia="zh-CN"/>
                <w14:textFill>
                  <w14:solidFill>
                    <w14:schemeClr w14:val="tx1"/>
                  </w14:solidFill>
                </w14:textFill>
              </w:rPr>
              <w:t>本项目方案</w:t>
            </w:r>
          </w:p>
        </w:tc>
      </w:tr>
      <w:tr w14:paraId="75339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40" w:hRule="atLeast"/>
          <w:jc w:val="center"/>
        </w:trPr>
        <w:tc>
          <w:tcPr>
            <w:tcW w:w="20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9C6ABB">
            <w:pPr>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楷体"/>
                <w:color w:val="000000" w:themeColor="text1"/>
                <w:sz w:val="28"/>
                <w:highlight w:val="none"/>
                <w14:textFill>
                  <w14:solidFill>
                    <w14:schemeClr w14:val="tx1"/>
                  </w14:solidFill>
                </w14:textFill>
              </w:rPr>
            </w:pPr>
            <w:r>
              <w:rPr>
                <w:rFonts w:hint="eastAsia" w:ascii="Times New Roman" w:hAnsi="Times New Roman" w:eastAsia="楷体"/>
                <w:color w:val="000000" w:themeColor="text1"/>
                <w:sz w:val="28"/>
                <w:highlight w:val="none"/>
                <w:lang w:val="en-US" w:eastAsia="zh-CN"/>
                <w14:textFill>
                  <w14:solidFill>
                    <w14:schemeClr w14:val="tx1"/>
                  </w14:solidFill>
                </w14:textFill>
              </w:rPr>
              <w:t>材料</w:t>
            </w:r>
          </w:p>
        </w:tc>
        <w:tc>
          <w:tcPr>
            <w:tcW w:w="35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83CCEB">
            <w:pPr>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楷体"/>
                <w:color w:val="000000" w:themeColor="text1"/>
                <w:sz w:val="28"/>
                <w:highlight w:val="none"/>
                <w14:textFill>
                  <w14:solidFill>
                    <w14:schemeClr w14:val="tx1"/>
                  </w14:solidFill>
                </w14:textFill>
              </w:rPr>
            </w:pPr>
            <w:r>
              <w:rPr>
                <w:rFonts w:hint="eastAsia" w:ascii="Times New Roman" w:hAnsi="Times New Roman" w:eastAsia="楷体"/>
                <w:color w:val="000000" w:themeColor="text1"/>
                <w:sz w:val="28"/>
                <w:highlight w:val="none"/>
                <w:lang w:val="en-US" w:eastAsia="zh-CN"/>
                <w14:textFill>
                  <w14:solidFill>
                    <w14:schemeClr w14:val="tx1"/>
                  </w14:solidFill>
                </w14:textFill>
              </w:rPr>
              <w:t>以钢材为主，密度高</w:t>
            </w:r>
          </w:p>
        </w:tc>
        <w:tc>
          <w:tcPr>
            <w:tcW w:w="339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45A418">
            <w:pPr>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eastAsia="楷体"/>
                <w:color w:val="000000" w:themeColor="text1"/>
                <w:sz w:val="28"/>
                <w:highlight w:val="none"/>
                <w:lang w:val="en-US"/>
                <w14:textFill>
                  <w14:solidFill>
                    <w14:schemeClr w14:val="tx1"/>
                  </w14:solidFill>
                </w14:textFill>
              </w:rPr>
            </w:pPr>
            <w:r>
              <w:rPr>
                <w:rFonts w:hint="eastAsia" w:ascii="Times New Roman" w:hAnsi="Times New Roman" w:eastAsia="楷体"/>
                <w:color w:val="000000" w:themeColor="text1"/>
                <w:sz w:val="28"/>
                <w:highlight w:val="none"/>
                <w:lang w:val="en-US" w:eastAsia="zh-CN"/>
                <w14:textFill>
                  <w14:solidFill>
                    <w14:schemeClr w14:val="tx1"/>
                  </w14:solidFill>
                </w14:textFill>
              </w:rPr>
              <w:t>工程塑料</w:t>
            </w:r>
            <w:r>
              <w:rPr>
                <w:rFonts w:hint="eastAsia"/>
                <w:color w:val="000000" w:themeColor="text1"/>
                <w:sz w:val="28"/>
                <w:highlight w:val="none"/>
                <w:lang w:val="en-US" w:eastAsia="zh-CN"/>
                <w14:textFill>
                  <w14:solidFill>
                    <w14:schemeClr w14:val="tx1"/>
                  </w14:solidFill>
                </w14:textFill>
              </w:rPr>
              <w:t>板</w:t>
            </w:r>
            <w:r>
              <w:rPr>
                <w:rFonts w:hint="eastAsia" w:ascii="Times New Roman" w:hAnsi="Times New Roman" w:eastAsia="楷体"/>
                <w:color w:val="000000" w:themeColor="text1"/>
                <w:sz w:val="28"/>
                <w:highlight w:val="none"/>
                <w:lang w:val="en-US" w:eastAsia="zh-CN"/>
                <w14:textFill>
                  <w14:solidFill>
                    <w14:schemeClr w14:val="tx1"/>
                  </w14:solidFill>
                </w14:textFill>
              </w:rPr>
              <w:t>替代钢</w:t>
            </w:r>
            <w:r>
              <w:rPr>
                <w:rFonts w:hint="eastAsia"/>
                <w:color w:val="000000" w:themeColor="text1"/>
                <w:sz w:val="28"/>
                <w:highlight w:val="none"/>
                <w:lang w:val="en-US" w:eastAsia="zh-CN"/>
                <w14:textFill>
                  <w14:solidFill>
                    <w14:schemeClr w14:val="tx1"/>
                  </w14:solidFill>
                </w14:textFill>
              </w:rPr>
              <w:t>板</w:t>
            </w:r>
          </w:p>
        </w:tc>
      </w:tr>
      <w:tr w14:paraId="01BBE1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14" w:hRule="atLeast"/>
          <w:jc w:val="center"/>
        </w:trPr>
        <w:tc>
          <w:tcPr>
            <w:tcW w:w="20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2F0282">
            <w:pPr>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楷体"/>
                <w:color w:val="000000" w:themeColor="text1"/>
                <w:sz w:val="28"/>
                <w:highlight w:val="none"/>
                <w14:textFill>
                  <w14:solidFill>
                    <w14:schemeClr w14:val="tx1"/>
                  </w14:solidFill>
                </w14:textFill>
              </w:rPr>
            </w:pPr>
            <w:r>
              <w:rPr>
                <w:rFonts w:hint="eastAsia" w:ascii="Times New Roman" w:hAnsi="Times New Roman" w:eastAsia="楷体"/>
                <w:color w:val="000000" w:themeColor="text1"/>
                <w:sz w:val="28"/>
                <w:highlight w:val="none"/>
                <w:lang w:val="en-US" w:eastAsia="zh-CN"/>
                <w14:textFill>
                  <w14:solidFill>
                    <w14:schemeClr w14:val="tx1"/>
                  </w14:solidFill>
                </w14:textFill>
              </w:rPr>
              <w:t>施工工艺</w:t>
            </w:r>
          </w:p>
        </w:tc>
        <w:tc>
          <w:tcPr>
            <w:tcW w:w="35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F834AB">
            <w:pPr>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楷体"/>
                <w:color w:val="000000" w:themeColor="text1"/>
                <w:sz w:val="28"/>
                <w:highlight w:val="none"/>
                <w:lang w:val="en-US" w:eastAsia="zh-CN"/>
                <w14:textFill>
                  <w14:solidFill>
                    <w14:schemeClr w14:val="tx1"/>
                  </w14:solidFill>
                </w14:textFill>
              </w:rPr>
            </w:pPr>
            <w:r>
              <w:rPr>
                <w:rFonts w:hint="eastAsia" w:ascii="Times New Roman" w:hAnsi="Times New Roman" w:eastAsia="楷体"/>
                <w:color w:val="000000" w:themeColor="text1"/>
                <w:sz w:val="28"/>
                <w:highlight w:val="none"/>
                <w:lang w:val="en-US" w:eastAsia="zh-CN"/>
                <w14:textFill>
                  <w14:solidFill>
                    <w14:schemeClr w14:val="tx1"/>
                  </w14:solidFill>
                </w14:textFill>
              </w:rPr>
              <w:t>通常需要焊接</w:t>
            </w:r>
          </w:p>
          <w:p w14:paraId="3272DACB">
            <w:pPr>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楷体"/>
                <w:color w:val="000000" w:themeColor="text1"/>
                <w:sz w:val="28"/>
                <w:highlight w:val="none"/>
                <w14:textFill>
                  <w14:solidFill>
                    <w14:schemeClr w14:val="tx1"/>
                  </w14:solidFill>
                </w14:textFill>
              </w:rPr>
            </w:pPr>
            <w:r>
              <w:rPr>
                <w:rFonts w:hint="eastAsia" w:ascii="Times New Roman" w:hAnsi="Times New Roman" w:eastAsia="楷体"/>
                <w:color w:val="000000" w:themeColor="text1"/>
                <w:sz w:val="28"/>
                <w:highlight w:val="none"/>
                <w:lang w:val="en-US" w:eastAsia="zh-CN"/>
                <w14:textFill>
                  <w14:solidFill>
                    <w14:schemeClr w14:val="tx1"/>
                  </w14:solidFill>
                </w14:textFill>
              </w:rPr>
              <w:t>螺栓固定等工艺</w:t>
            </w:r>
          </w:p>
        </w:tc>
        <w:tc>
          <w:tcPr>
            <w:tcW w:w="33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43EA31">
            <w:pPr>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楷体"/>
                <w:color w:val="000000" w:themeColor="text1"/>
                <w:sz w:val="28"/>
                <w:highlight w:val="none"/>
                <w:lang w:val="en-US" w:eastAsia="zh-CN"/>
                <w14:textFill>
                  <w14:solidFill>
                    <w14:schemeClr w14:val="tx1"/>
                  </w14:solidFill>
                </w14:textFill>
              </w:rPr>
            </w:pPr>
            <w:r>
              <w:rPr>
                <w:rFonts w:hint="eastAsia" w:ascii="Times New Roman" w:hAnsi="Times New Roman" w:eastAsia="楷体"/>
                <w:color w:val="000000" w:themeColor="text1"/>
                <w:sz w:val="28"/>
                <w:highlight w:val="none"/>
                <w:lang w:val="en-US" w:eastAsia="zh-CN"/>
                <w14:textFill>
                  <w14:solidFill>
                    <w14:schemeClr w14:val="tx1"/>
                  </w14:solidFill>
                </w14:textFill>
              </w:rPr>
              <w:t>支座标准化凹槽</w:t>
            </w:r>
          </w:p>
          <w:p w14:paraId="5D5804B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楷体"/>
                <w:b/>
                <w:bCs/>
                <w:color w:val="000000" w:themeColor="text1"/>
                <w:sz w:val="28"/>
                <w:highlight w:val="none"/>
                <w:lang w:val="en-US" w:eastAsia="zh-CN"/>
                <w14:textFill>
                  <w14:solidFill>
                    <w14:schemeClr w14:val="tx1"/>
                  </w14:solidFill>
                </w14:textFill>
              </w:rPr>
            </w:pPr>
            <w:r>
              <w:rPr>
                <w:rFonts w:hint="eastAsia" w:ascii="Times New Roman" w:hAnsi="Times New Roman" w:eastAsia="楷体"/>
                <w:b/>
                <w:bCs/>
                <w:color w:val="000000" w:themeColor="text1"/>
                <w:sz w:val="28"/>
                <w:highlight w:val="none"/>
                <w:lang w:val="en-US" w:eastAsia="zh-CN"/>
                <w14:textFill>
                  <w14:solidFill>
                    <w14:schemeClr w14:val="tx1"/>
                  </w14:solidFill>
                </w14:textFill>
              </w:rPr>
              <w:t>+</w:t>
            </w:r>
          </w:p>
          <w:p w14:paraId="3C85C59C">
            <w:pPr>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楷体"/>
                <w:color w:val="000000" w:themeColor="text1"/>
                <w:sz w:val="28"/>
                <w:highlight w:val="none"/>
                <w14:textFill>
                  <w14:solidFill>
                    <w14:schemeClr w14:val="tx1"/>
                  </w14:solidFill>
                </w14:textFill>
              </w:rPr>
            </w:pPr>
            <w:r>
              <w:rPr>
                <w:rFonts w:hint="eastAsia" w:ascii="Times New Roman" w:hAnsi="Times New Roman" w:eastAsia="楷体"/>
                <w:color w:val="000000" w:themeColor="text1"/>
                <w:sz w:val="28"/>
                <w:highlight w:val="none"/>
                <w:lang w:val="en-US" w:eastAsia="zh-CN"/>
                <w14:textFill>
                  <w14:solidFill>
                    <w14:schemeClr w14:val="tx1"/>
                  </w14:solidFill>
                </w14:textFill>
              </w:rPr>
              <w:t>开槽灌浆密拼法</w:t>
            </w:r>
          </w:p>
        </w:tc>
      </w:tr>
      <w:tr w14:paraId="5FB9A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6" w:hRule="atLeast"/>
          <w:jc w:val="center"/>
        </w:trPr>
        <w:tc>
          <w:tcPr>
            <w:tcW w:w="20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179172">
            <w:pPr>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楷体"/>
                <w:color w:val="000000" w:themeColor="text1"/>
                <w:sz w:val="28"/>
                <w:highlight w:val="none"/>
                <w14:textFill>
                  <w14:solidFill>
                    <w14:schemeClr w14:val="tx1"/>
                  </w14:solidFill>
                </w14:textFill>
              </w:rPr>
            </w:pPr>
            <w:r>
              <w:rPr>
                <w:rFonts w:hint="eastAsia" w:ascii="Times New Roman" w:hAnsi="Times New Roman" w:eastAsia="楷体"/>
                <w:color w:val="000000" w:themeColor="text1"/>
                <w:sz w:val="28"/>
                <w:highlight w:val="none"/>
                <w:lang w:val="en-US" w:eastAsia="zh-CN"/>
                <w14:textFill>
                  <w14:solidFill>
                    <w14:schemeClr w14:val="tx1"/>
                  </w14:solidFill>
                </w14:textFill>
              </w:rPr>
              <w:t>标准化程度低</w:t>
            </w:r>
          </w:p>
        </w:tc>
        <w:tc>
          <w:tcPr>
            <w:tcW w:w="35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48037C">
            <w:pPr>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楷体"/>
                <w:color w:val="000000" w:themeColor="text1"/>
                <w:sz w:val="28"/>
                <w:highlight w:val="none"/>
                <w14:textFill>
                  <w14:solidFill>
                    <w14:schemeClr w14:val="tx1"/>
                  </w14:solidFill>
                </w14:textFill>
              </w:rPr>
            </w:pPr>
            <w:r>
              <w:rPr>
                <w:rFonts w:hint="eastAsia" w:ascii="Times New Roman" w:hAnsi="Times New Roman" w:eastAsia="楷体"/>
                <w:color w:val="000000" w:themeColor="text1"/>
                <w:sz w:val="28"/>
                <w:highlight w:val="none"/>
                <w:lang w:val="en-US" w:eastAsia="zh-CN"/>
                <w14:textFill>
                  <w14:solidFill>
                    <w14:schemeClr w14:val="tx1"/>
                  </w14:solidFill>
                </w14:textFill>
              </w:rPr>
              <w:t>多为定制化设计，需根据建筑尺寸，调整构件规格，导致材料利用率低，冗余部分增加重量</w:t>
            </w:r>
          </w:p>
        </w:tc>
        <w:tc>
          <w:tcPr>
            <w:tcW w:w="339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5FF761">
            <w:pPr>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楷体"/>
                <w:color w:val="000000" w:themeColor="text1"/>
                <w:sz w:val="28"/>
                <w:highlight w:val="none"/>
                <w14:textFill>
                  <w14:solidFill>
                    <w14:schemeClr w14:val="tx1"/>
                  </w14:solidFill>
                </w14:textFill>
              </w:rPr>
            </w:pPr>
            <w:r>
              <w:rPr>
                <w:rFonts w:hint="eastAsia" w:ascii="Times New Roman" w:hAnsi="Times New Roman" w:eastAsia="楷体"/>
                <w:color w:val="000000" w:themeColor="text1"/>
                <w:sz w:val="28"/>
                <w:highlight w:val="none"/>
                <w:lang w:val="en-US" w:eastAsia="zh-CN"/>
                <w14:textFill>
                  <w14:solidFill>
                    <w14:schemeClr w14:val="tx1"/>
                  </w14:solidFill>
                </w14:textFill>
              </w:rPr>
              <w:t>240×240mm固定尺寸，符合大多村镇建筑的开间、进深尺寸</w:t>
            </w:r>
          </w:p>
        </w:tc>
      </w:tr>
      <w:tr w14:paraId="6B300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24" w:hRule="atLeast"/>
          <w:jc w:val="center"/>
        </w:trPr>
        <w:tc>
          <w:tcPr>
            <w:tcW w:w="20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9B6EE0">
            <w:pPr>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楷体"/>
                <w:color w:val="000000" w:themeColor="text1"/>
                <w:sz w:val="28"/>
                <w:highlight w:val="none"/>
                <w14:textFill>
                  <w14:solidFill>
                    <w14:schemeClr w14:val="tx1"/>
                  </w14:solidFill>
                </w14:textFill>
              </w:rPr>
            </w:pPr>
            <w:r>
              <w:rPr>
                <w:rFonts w:hint="eastAsia" w:ascii="Times New Roman" w:hAnsi="Times New Roman" w:eastAsia="楷体"/>
                <w:color w:val="000000" w:themeColor="text1"/>
                <w:sz w:val="28"/>
                <w:highlight w:val="none"/>
                <w:lang w:val="en-US" w:eastAsia="zh-CN"/>
                <w14:textFill>
                  <w14:solidFill>
                    <w14:schemeClr w14:val="tx1"/>
                  </w14:solidFill>
                </w14:textFill>
              </w:rPr>
              <w:t>材料耐久性</w:t>
            </w:r>
          </w:p>
        </w:tc>
        <w:tc>
          <w:tcPr>
            <w:tcW w:w="35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0841D0">
            <w:pPr>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楷体"/>
                <w:color w:val="000000" w:themeColor="text1"/>
                <w:sz w:val="28"/>
                <w:highlight w:val="none"/>
                <w14:textFill>
                  <w14:solidFill>
                    <w14:schemeClr w14:val="tx1"/>
                  </w14:solidFill>
                </w14:textFill>
              </w:rPr>
            </w:pPr>
            <w:r>
              <w:rPr>
                <w:rFonts w:hint="eastAsia" w:ascii="Times New Roman" w:hAnsi="Times New Roman" w:eastAsia="楷体"/>
                <w:color w:val="000000" w:themeColor="text1"/>
                <w:sz w:val="28"/>
                <w:highlight w:val="none"/>
                <w:lang w:val="en-US" w:eastAsia="zh-CN"/>
                <w14:textFill>
                  <w14:solidFill>
                    <w14:schemeClr w14:val="tx1"/>
                  </w14:solidFill>
                </w14:textFill>
              </w:rPr>
              <w:t>依赖化学粘合剂，高温（&gt;</w:t>
            </w:r>
            <w:r>
              <w:rPr>
                <w:rFonts w:hint="eastAsia"/>
                <w:color w:val="000000" w:themeColor="text1"/>
                <w:sz w:val="28"/>
                <w:highlight w:val="none"/>
                <w:lang w:val="en-US" w:eastAsia="zh-CN"/>
                <w14:textFill>
                  <w14:solidFill>
                    <w14:schemeClr w14:val="tx1"/>
                  </w14:solidFill>
                </w14:textFill>
              </w:rPr>
              <w:t>4</w:t>
            </w:r>
            <w:r>
              <w:rPr>
                <w:rFonts w:hint="eastAsia" w:ascii="Times New Roman" w:hAnsi="Times New Roman" w:eastAsia="楷体"/>
                <w:color w:val="000000" w:themeColor="text1"/>
                <w:sz w:val="28"/>
                <w:highlight w:val="none"/>
                <w:lang w:val="en-US" w:eastAsia="zh-CN"/>
                <w14:textFill>
                  <w14:solidFill>
                    <w14:schemeClr w14:val="tx1"/>
                  </w14:solidFill>
                </w14:textFill>
              </w:rPr>
              <w:t>0℃）易脱层</w:t>
            </w:r>
          </w:p>
        </w:tc>
        <w:tc>
          <w:tcPr>
            <w:tcW w:w="339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79B6AD">
            <w:pPr>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楷体"/>
                <w:color w:val="000000" w:themeColor="text1"/>
                <w:sz w:val="28"/>
                <w:highlight w:val="none"/>
                <w14:textFill>
                  <w14:solidFill>
                    <w14:schemeClr w14:val="tx1"/>
                  </w14:solidFill>
                </w14:textFill>
              </w:rPr>
            </w:pPr>
            <w:r>
              <w:rPr>
                <w:rFonts w:hint="eastAsia" w:ascii="Times New Roman" w:hAnsi="Times New Roman" w:eastAsia="楷体"/>
                <w:color w:val="000000" w:themeColor="text1"/>
                <w:sz w:val="28"/>
                <w:highlight w:val="none"/>
                <w:lang w:val="en-US" w:eastAsia="zh-CN"/>
                <w14:textFill>
                  <w14:solidFill>
                    <w14:schemeClr w14:val="tx1"/>
                  </w14:solidFill>
                </w14:textFill>
              </w:rPr>
              <w:t>热硫化工艺+工程塑料板，耐温</w:t>
            </w:r>
            <w:r>
              <w:rPr>
                <w:rFonts w:hint="eastAsia" w:ascii="Times New Roman" w:hAnsi="Times New Roman" w:eastAsia="楷体"/>
                <w:color w:val="000000" w:themeColor="text1"/>
                <w:sz w:val="28"/>
                <w:highlight w:val="none"/>
                <w:lang w:val="en-US" w:eastAsia="zh-CN"/>
                <w14:textFill>
                  <w14:solidFill>
                    <w14:schemeClr w14:val="tx1"/>
                  </w14:solidFill>
                </w14:textFill>
              </w:rPr>
              <w:br w:type="textWrapping"/>
            </w:r>
            <w:r>
              <w:rPr>
                <w:rFonts w:hint="eastAsia" w:ascii="Times New Roman" w:hAnsi="Times New Roman" w:eastAsia="楷体"/>
                <w:color w:val="000000" w:themeColor="text1"/>
                <w:sz w:val="28"/>
                <w:highlight w:val="none"/>
                <w:lang w:val="en-US" w:eastAsia="zh-CN"/>
                <w14:textFill>
                  <w14:solidFill>
                    <w14:schemeClr w14:val="tx1"/>
                  </w14:solidFill>
                </w14:textFill>
              </w:rPr>
              <w:t>-</w:t>
            </w:r>
            <w:r>
              <w:rPr>
                <w:rFonts w:hint="eastAsia"/>
                <w:color w:val="000000" w:themeColor="text1"/>
                <w:sz w:val="28"/>
                <w:highlight w:val="none"/>
                <w:lang w:val="en-US" w:eastAsia="zh-CN"/>
                <w14:textFill>
                  <w14:solidFill>
                    <w14:schemeClr w14:val="tx1"/>
                  </w14:solidFill>
                </w14:textFill>
              </w:rPr>
              <w:t>50</w:t>
            </w:r>
            <w:r>
              <w:rPr>
                <w:rFonts w:hint="eastAsia" w:ascii="Times New Roman" w:hAnsi="Times New Roman" w:eastAsia="楷体"/>
                <w:color w:val="000000" w:themeColor="text1"/>
                <w:sz w:val="28"/>
                <w:highlight w:val="none"/>
                <w:lang w:val="en-US" w:eastAsia="zh-CN"/>
                <w14:textFill>
                  <w14:solidFill>
                    <w14:schemeClr w14:val="tx1"/>
                  </w14:solidFill>
                </w14:textFill>
              </w:rPr>
              <w:t>℃-</w:t>
            </w:r>
            <w:r>
              <w:rPr>
                <w:rFonts w:hint="eastAsia"/>
                <w:color w:val="000000" w:themeColor="text1"/>
                <w:sz w:val="28"/>
                <w:highlight w:val="none"/>
                <w:lang w:val="en-US" w:eastAsia="zh-CN"/>
                <w14:textFill>
                  <w14:solidFill>
                    <w14:schemeClr w14:val="tx1"/>
                  </w14:solidFill>
                </w14:textFill>
              </w:rPr>
              <w:t>50</w:t>
            </w:r>
            <w:r>
              <w:rPr>
                <w:rFonts w:hint="eastAsia" w:ascii="Times New Roman" w:hAnsi="Times New Roman" w:eastAsia="楷体"/>
                <w:color w:val="000000" w:themeColor="text1"/>
                <w:sz w:val="28"/>
                <w:highlight w:val="none"/>
                <w:lang w:val="en-US" w:eastAsia="zh-CN"/>
                <w14:textFill>
                  <w14:solidFill>
                    <w14:schemeClr w14:val="tx1"/>
                  </w14:solidFill>
                </w14:textFill>
              </w:rPr>
              <w:t>℃，界面强度稳定，寿命≥50年</w:t>
            </w:r>
          </w:p>
        </w:tc>
      </w:tr>
      <w:tr w14:paraId="19F6CB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6" w:hRule="atLeast"/>
          <w:jc w:val="center"/>
        </w:trPr>
        <w:tc>
          <w:tcPr>
            <w:tcW w:w="20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440073">
            <w:pPr>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楷体"/>
                <w:color w:val="000000" w:themeColor="text1"/>
                <w:sz w:val="28"/>
                <w:highlight w:val="none"/>
                <w14:textFill>
                  <w14:solidFill>
                    <w14:schemeClr w14:val="tx1"/>
                  </w14:solidFill>
                </w14:textFill>
              </w:rPr>
            </w:pPr>
            <w:r>
              <w:rPr>
                <w:rFonts w:hint="eastAsia" w:ascii="Times New Roman" w:hAnsi="Times New Roman" w:eastAsia="楷体"/>
                <w:color w:val="000000" w:themeColor="text1"/>
                <w:sz w:val="28"/>
                <w:highlight w:val="none"/>
                <w:lang w:val="en-US" w:eastAsia="zh-CN"/>
                <w14:textFill>
                  <w14:solidFill>
                    <w14:schemeClr w14:val="tx1"/>
                  </w14:solidFill>
                </w14:textFill>
              </w:rPr>
              <w:t>经济性与环保性限制</w:t>
            </w:r>
          </w:p>
        </w:tc>
        <w:tc>
          <w:tcPr>
            <w:tcW w:w="35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1BAF40">
            <w:pPr>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楷体"/>
                <w:color w:val="000000" w:themeColor="text1"/>
                <w:sz w:val="28"/>
                <w:highlight w:val="none"/>
                <w14:textFill>
                  <w14:solidFill>
                    <w14:schemeClr w14:val="tx1"/>
                  </w14:solidFill>
                </w14:textFill>
              </w:rPr>
            </w:pPr>
            <w:r>
              <w:rPr>
                <w:rFonts w:hint="eastAsia" w:ascii="Times New Roman" w:hAnsi="Times New Roman" w:eastAsia="楷体"/>
                <w:color w:val="000000" w:themeColor="text1"/>
                <w:sz w:val="28"/>
                <w:highlight w:val="none"/>
                <w:lang w:val="en-US" w:eastAsia="zh-CN"/>
                <w14:textFill>
                  <w14:solidFill>
                    <w14:schemeClr w14:val="tx1"/>
                  </w14:solidFill>
                </w14:textFill>
              </w:rPr>
              <w:t>钢材消耗大、施工能耗高</w:t>
            </w:r>
          </w:p>
        </w:tc>
        <w:tc>
          <w:tcPr>
            <w:tcW w:w="339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8DBDD6">
            <w:pPr>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楷体"/>
                <w:color w:val="000000" w:themeColor="text1"/>
                <w:sz w:val="28"/>
                <w:highlight w:val="none"/>
                <w14:textFill>
                  <w14:solidFill>
                    <w14:schemeClr w14:val="tx1"/>
                  </w14:solidFill>
                </w14:textFill>
              </w:rPr>
            </w:pPr>
            <w:r>
              <w:rPr>
                <w:rFonts w:hint="eastAsia" w:ascii="Times New Roman" w:hAnsi="Times New Roman" w:eastAsia="楷体"/>
                <w:color w:val="000000" w:themeColor="text1"/>
                <w:sz w:val="28"/>
                <w:highlight w:val="none"/>
                <w:lang w:val="en-US" w:eastAsia="zh-CN"/>
                <w14:textFill>
                  <w14:solidFill>
                    <w14:schemeClr w14:val="tx1"/>
                  </w14:solidFill>
                </w14:textFill>
              </w:rPr>
              <w:t>采用可回收工程塑料，施工无机械碳排放</w:t>
            </w:r>
          </w:p>
        </w:tc>
      </w:tr>
    </w:tbl>
    <w:p w14:paraId="5A220F85">
      <w:pPr>
        <w:spacing w:line="360" w:lineRule="auto"/>
        <w:rPr>
          <w:rFonts w:hint="default" w:ascii="Times New Roman" w:hAnsi="Times New Roman" w:eastAsia="楷体" w:cs="Times New Roman"/>
          <w:color w:val="000000" w:themeColor="text1"/>
          <w:kern w:val="2"/>
          <w:sz w:val="28"/>
          <w:szCs w:val="21"/>
          <w:highlight w:val="none"/>
          <w:lang w:val="en-US" w:eastAsia="zh-CN" w:bidi="ar-SA"/>
          <w14:textFill>
            <w14:solidFill>
              <w14:schemeClr w14:val="tx1"/>
            </w14:solidFill>
          </w14:textFill>
        </w:rPr>
      </w:pPr>
      <w:r>
        <w:rPr>
          <w:rFonts w:hint="default" w:ascii="Times New Roman" w:hAnsi="Times New Roman" w:eastAsia="楷体" w:cs="Times New Roman"/>
          <w:color w:val="000000" w:themeColor="text1"/>
          <w:kern w:val="2"/>
          <w:sz w:val="28"/>
          <w:szCs w:val="21"/>
          <w:highlight w:val="none"/>
          <w:lang w:val="en-US" w:eastAsia="zh-CN" w:bidi="ar-SA"/>
          <w14:textFill>
            <w14:solidFill>
              <w14:schemeClr w14:val="tx1"/>
            </w14:solidFill>
          </w14:textFill>
        </w:rPr>
        <w:br w:type="page"/>
      </w:r>
    </w:p>
    <w:p w14:paraId="60D25A73">
      <w:pPr>
        <w:pStyle w:val="3"/>
        <w:pageBreakBefore w:val="0"/>
        <w:kinsoku/>
        <w:wordWrap/>
        <w:overflowPunct/>
        <w:topLinePunct w:val="0"/>
        <w:autoSpaceDE/>
        <w:autoSpaceDN/>
        <w:bidi w:val="0"/>
        <w:adjustRightInd/>
        <w:snapToGrid/>
        <w:spacing w:line="360" w:lineRule="auto"/>
        <w:textAlignment w:val="auto"/>
        <w:rPr>
          <w:rFonts w:hint="eastAsia"/>
          <w:color w:val="000000" w:themeColor="text1"/>
          <w:highlight w:val="none"/>
          <w14:textFill>
            <w14:solidFill>
              <w14:schemeClr w14:val="tx1"/>
            </w14:solidFill>
          </w14:textFill>
        </w:rPr>
      </w:pPr>
      <w:bookmarkStart w:id="14" w:name="_Toc20577"/>
      <w:bookmarkStart w:id="15" w:name="_Toc22550"/>
      <w:r>
        <w:rPr>
          <w:rFonts w:hint="eastAsia"/>
          <w:color w:val="000000" w:themeColor="text1"/>
          <w:highlight w:val="none"/>
          <w14:textFill>
            <w14:solidFill>
              <w14:schemeClr w14:val="tx1"/>
            </w14:solidFill>
          </w14:textFill>
        </w:rPr>
        <w:t>1.</w:t>
      </w:r>
      <w:r>
        <w:rPr>
          <w:rFonts w:hint="eastAsia"/>
          <w:color w:val="000000" w:themeColor="text1"/>
          <w:highlight w:val="none"/>
          <w:lang w:val="en-US" w:eastAsia="zh-CN"/>
          <w14:textFill>
            <w14:solidFill>
              <w14:schemeClr w14:val="tx1"/>
            </w14:solidFill>
          </w14:textFill>
        </w:rPr>
        <w:t>5</w:t>
      </w:r>
      <w:r>
        <w:rPr>
          <w:rFonts w:hint="eastAsia"/>
          <w:color w:val="000000" w:themeColor="text1"/>
          <w:highlight w:val="none"/>
          <w14:textFill>
            <w14:solidFill>
              <w14:schemeClr w14:val="tx1"/>
            </w14:solidFill>
          </w14:textFill>
        </w:rPr>
        <w:t>阶段性成果</w:t>
      </w:r>
      <w:bookmarkEnd w:id="14"/>
      <w:bookmarkEnd w:id="15"/>
    </w:p>
    <w:p w14:paraId="3EDE5403">
      <w:pPr>
        <w:pStyle w:val="4"/>
        <w:pageBreakBefore w:val="0"/>
        <w:kinsoku/>
        <w:wordWrap/>
        <w:overflowPunct/>
        <w:topLinePunct w:val="0"/>
        <w:autoSpaceDE/>
        <w:autoSpaceDN/>
        <w:bidi w:val="0"/>
        <w:adjustRightInd/>
        <w:snapToGrid/>
        <w:spacing w:line="360" w:lineRule="auto"/>
        <w:textAlignment w:val="auto"/>
        <w:rPr>
          <w:rFonts w:hint="eastAsia"/>
          <w:color w:val="000000" w:themeColor="text1"/>
          <w:highlight w:val="none"/>
          <w:lang w:val="en-US" w:eastAsia="zh-CN"/>
          <w14:textFill>
            <w14:solidFill>
              <w14:schemeClr w14:val="tx1"/>
            </w14:solidFill>
          </w14:textFill>
        </w:rPr>
      </w:pPr>
      <w:bookmarkStart w:id="16" w:name="_Toc14369"/>
      <w:bookmarkStart w:id="17" w:name="_Toc9129"/>
      <w:r>
        <w:rPr>
          <w:rFonts w:hint="eastAsia"/>
          <w:color w:val="000000" w:themeColor="text1"/>
          <w:highlight w:val="none"/>
          <w:lang w:val="en-US" w:eastAsia="zh-CN"/>
          <w14:textFill>
            <w14:solidFill>
              <w14:schemeClr w14:val="tx1"/>
            </w14:solidFill>
          </w14:textFill>
        </w:rPr>
        <w:t>1.5.1</w:t>
      </w:r>
      <w:r>
        <w:rPr>
          <w:rFonts w:hint="default"/>
          <w:color w:val="000000" w:themeColor="text1"/>
          <w:highlight w:val="none"/>
          <w:lang w:val="en-US" w:eastAsia="zh-CN"/>
          <w14:textFill>
            <w14:solidFill>
              <w14:schemeClr w14:val="tx1"/>
            </w14:solidFill>
          </w14:textFill>
        </w:rPr>
        <w:t>震前房屋改造阶段</w:t>
      </w:r>
      <w:bookmarkEnd w:id="16"/>
      <w:bookmarkEnd w:id="17"/>
    </w:p>
    <w:p w14:paraId="275440D7">
      <w:pPr>
        <w:pStyle w:val="15"/>
        <w:keepNext w:val="0"/>
        <w:keepLines w:val="0"/>
        <w:pageBreakBefore w:val="0"/>
        <w:widowControl/>
        <w:suppressLineNumbers w:val="0"/>
        <w:kinsoku/>
        <w:wordWrap/>
        <w:overflowPunct/>
        <w:topLinePunct w:val="0"/>
        <w:autoSpaceDE/>
        <w:autoSpaceDN/>
        <w:bidi w:val="0"/>
        <w:adjustRightInd/>
        <w:snapToGrid/>
        <w:spacing w:before="103" w:beforeAutospacing="0" w:after="103" w:afterAutospacing="0" w:line="360" w:lineRule="auto"/>
        <w:ind w:left="0" w:right="0" w:firstLine="560" w:firstLineChars="200"/>
        <w:textAlignment w:val="auto"/>
        <w:rPr>
          <w:rFonts w:hint="eastAsia" w:ascii="Times New Roman" w:hAnsi="Times New Roman" w:eastAsia="楷体" w:cs="宋体"/>
          <w:b w:val="0"/>
          <w:bCs w:val="0"/>
          <w:i w:val="0"/>
          <w:iCs w:val="0"/>
          <w:caps w:val="0"/>
          <w:vanish w:val="0"/>
          <w:color w:val="000000" w:themeColor="text1"/>
          <w:spacing w:val="0"/>
          <w:w w:val="100"/>
          <w:kern w:val="2"/>
          <w:sz w:val="28"/>
          <w:szCs w:val="12"/>
          <w:highlight w:val="none"/>
          <w:u w:val="none"/>
          <w:shd w:val="clear" w:color="auto" w:fill="FFFFFF"/>
          <w:lang w:val="en-US" w:eastAsia="zh-CN" w:bidi="ar-SA"/>
          <w14:textFill>
            <w14:solidFill>
              <w14:schemeClr w14:val="tx1"/>
            </w14:solidFill>
          </w14:textFill>
        </w:rPr>
      </w:pPr>
      <w:r>
        <w:rPr>
          <w:rFonts w:hint="default" w:ascii="Times New Roman" w:hAnsi="Times New Roman" w:eastAsia="楷体" w:cs="宋体"/>
          <w:b w:val="0"/>
          <w:bCs w:val="0"/>
          <w:i w:val="0"/>
          <w:iCs w:val="0"/>
          <w:caps w:val="0"/>
          <w:vanish w:val="0"/>
          <w:color w:val="000000" w:themeColor="text1"/>
          <w:spacing w:val="0"/>
          <w:w w:val="100"/>
          <w:kern w:val="2"/>
          <w:sz w:val="28"/>
          <w:szCs w:val="12"/>
          <w:highlight w:val="none"/>
          <w:u w:val="none"/>
          <w:shd w:val="clear" w:color="auto" w:fill="FFFFFF"/>
          <w:lang w:val="en-US" w:eastAsia="zh-CN" w:bidi="ar-SA"/>
          <w14:textFill>
            <w14:solidFill>
              <w14:schemeClr w14:val="tx1"/>
            </w14:solidFill>
          </w14:textFill>
        </w:rPr>
        <w:t>新型隔震支座通过国家级检测，抗震性能远超国标，改造后房屋可抵御</w:t>
      </w:r>
      <w:r>
        <w:rPr>
          <w:rFonts w:hint="eastAsia" w:cs="宋体"/>
          <w:b w:val="0"/>
          <w:bCs w:val="0"/>
          <w:i w:val="0"/>
          <w:iCs w:val="0"/>
          <w:caps w:val="0"/>
          <w:vanish w:val="0"/>
          <w:color w:val="000000" w:themeColor="text1"/>
          <w:spacing w:val="0"/>
          <w:w w:val="100"/>
          <w:kern w:val="2"/>
          <w:sz w:val="28"/>
          <w:szCs w:val="12"/>
          <w:highlight w:val="none"/>
          <w:u w:val="none"/>
          <w:shd w:val="clear" w:color="auto" w:fill="FFFFFF"/>
          <w:lang w:val="en-US" w:eastAsia="zh-CN" w:bidi="ar-SA"/>
          <w14:textFill>
            <w14:solidFill>
              <w14:schemeClr w14:val="tx1"/>
            </w14:solidFill>
          </w14:textFill>
        </w:rPr>
        <w:t>8</w:t>
      </w:r>
      <w:r>
        <w:rPr>
          <w:rFonts w:hint="default" w:ascii="Times New Roman" w:hAnsi="Times New Roman" w:eastAsia="楷体" w:cs="宋体"/>
          <w:b w:val="0"/>
          <w:bCs w:val="0"/>
          <w:i w:val="0"/>
          <w:iCs w:val="0"/>
          <w:caps w:val="0"/>
          <w:vanish w:val="0"/>
          <w:color w:val="000000" w:themeColor="text1"/>
          <w:spacing w:val="0"/>
          <w:w w:val="100"/>
          <w:kern w:val="2"/>
          <w:sz w:val="28"/>
          <w:szCs w:val="12"/>
          <w:highlight w:val="none"/>
          <w:u w:val="none"/>
          <w:shd w:val="clear" w:color="auto" w:fill="FFFFFF"/>
          <w:lang w:val="en-US" w:eastAsia="zh-CN" w:bidi="ar-SA"/>
          <w14:textFill>
            <w14:solidFill>
              <w14:schemeClr w14:val="tx1"/>
            </w14:solidFill>
          </w14:textFill>
        </w:rPr>
        <w:t>级</w:t>
      </w:r>
      <w:r>
        <w:rPr>
          <w:rFonts w:hint="eastAsia" w:cs="宋体"/>
          <w:b w:val="0"/>
          <w:bCs w:val="0"/>
          <w:i w:val="0"/>
          <w:iCs w:val="0"/>
          <w:caps w:val="0"/>
          <w:vanish w:val="0"/>
          <w:color w:val="000000" w:themeColor="text1"/>
          <w:spacing w:val="0"/>
          <w:w w:val="100"/>
          <w:kern w:val="2"/>
          <w:sz w:val="28"/>
          <w:szCs w:val="12"/>
          <w:highlight w:val="none"/>
          <w:u w:val="none"/>
          <w:shd w:val="clear" w:color="auto" w:fill="FFFFFF"/>
          <w:lang w:val="en-US" w:eastAsia="zh-CN" w:bidi="ar-SA"/>
          <w14:textFill>
            <w14:solidFill>
              <w14:schemeClr w14:val="tx1"/>
            </w14:solidFill>
          </w14:textFill>
        </w:rPr>
        <w:t>及以上</w:t>
      </w:r>
      <w:r>
        <w:rPr>
          <w:rFonts w:hint="default" w:ascii="Times New Roman" w:hAnsi="Times New Roman" w:eastAsia="楷体" w:cs="宋体"/>
          <w:b w:val="0"/>
          <w:bCs w:val="0"/>
          <w:i w:val="0"/>
          <w:iCs w:val="0"/>
          <w:caps w:val="0"/>
          <w:vanish w:val="0"/>
          <w:color w:val="000000" w:themeColor="text1"/>
          <w:spacing w:val="0"/>
          <w:w w:val="100"/>
          <w:kern w:val="2"/>
          <w:sz w:val="28"/>
          <w:szCs w:val="12"/>
          <w:highlight w:val="none"/>
          <w:u w:val="none"/>
          <w:shd w:val="clear" w:color="auto" w:fill="FFFFFF"/>
          <w:lang w:val="en-US" w:eastAsia="zh-CN" w:bidi="ar-SA"/>
          <w14:textFill>
            <w14:solidFill>
              <w14:schemeClr w14:val="tx1"/>
            </w14:solidFill>
          </w14:textFill>
        </w:rPr>
        <w:t>地震，层间位移限值优化至1/800，倾斜度低于0.3%。在云南赤鹫镇、甘肃甘南等完成</w:t>
      </w:r>
      <w:r>
        <w:rPr>
          <w:rFonts w:hint="eastAsia" w:cs="宋体"/>
          <w:b w:val="0"/>
          <w:bCs w:val="0"/>
          <w:i w:val="0"/>
          <w:iCs w:val="0"/>
          <w:caps w:val="0"/>
          <w:vanish w:val="0"/>
          <w:color w:val="000000" w:themeColor="text1"/>
          <w:spacing w:val="0"/>
          <w:w w:val="100"/>
          <w:kern w:val="2"/>
          <w:sz w:val="28"/>
          <w:szCs w:val="12"/>
          <w:highlight w:val="none"/>
          <w:u w:val="none"/>
          <w:shd w:val="clear" w:color="auto" w:fill="FFFFFF"/>
          <w:lang w:val="en-US" w:eastAsia="zh-CN" w:bidi="ar-SA"/>
          <w14:textFill>
            <w14:solidFill>
              <w14:schemeClr w14:val="tx1"/>
            </w14:solidFill>
          </w14:textFill>
        </w:rPr>
        <w:t>195</w:t>
      </w:r>
      <w:r>
        <w:rPr>
          <w:rFonts w:hint="default" w:ascii="Times New Roman" w:hAnsi="Times New Roman" w:eastAsia="楷体" w:cs="宋体"/>
          <w:b w:val="0"/>
          <w:bCs w:val="0"/>
          <w:i w:val="0"/>
          <w:iCs w:val="0"/>
          <w:caps w:val="0"/>
          <w:vanish w:val="0"/>
          <w:color w:val="000000" w:themeColor="text1"/>
          <w:spacing w:val="0"/>
          <w:w w:val="100"/>
          <w:kern w:val="2"/>
          <w:sz w:val="28"/>
          <w:szCs w:val="12"/>
          <w:highlight w:val="none"/>
          <w:u w:val="none"/>
          <w:shd w:val="clear" w:color="auto" w:fill="FFFFFF"/>
          <w:lang w:val="en-US" w:eastAsia="zh-CN" w:bidi="ar-SA"/>
          <w14:textFill>
            <w14:solidFill>
              <w14:schemeClr w14:val="tx1"/>
            </w14:solidFill>
          </w14:textFill>
        </w:rPr>
        <w:t>栋农居实践验证，形成标准化改造方案。</w:t>
      </w:r>
    </w:p>
    <w:p w14:paraId="2C85549B">
      <w:pPr>
        <w:pStyle w:val="4"/>
        <w:pageBreakBefore w:val="0"/>
        <w:kinsoku/>
        <w:wordWrap/>
        <w:overflowPunct/>
        <w:topLinePunct w:val="0"/>
        <w:autoSpaceDE/>
        <w:autoSpaceDN/>
        <w:bidi w:val="0"/>
        <w:adjustRightInd/>
        <w:snapToGrid/>
        <w:spacing w:line="360" w:lineRule="auto"/>
        <w:textAlignment w:val="auto"/>
        <w:rPr>
          <w:rFonts w:hint="default"/>
          <w:color w:val="000000" w:themeColor="text1"/>
          <w:highlight w:val="none"/>
          <w:lang w:val="en-US" w:eastAsia="zh-CN"/>
          <w14:textFill>
            <w14:solidFill>
              <w14:schemeClr w14:val="tx1"/>
            </w14:solidFill>
          </w14:textFill>
        </w:rPr>
      </w:pPr>
      <w:bookmarkStart w:id="18" w:name="_Toc4956"/>
      <w:bookmarkStart w:id="19" w:name="_Toc19591"/>
      <w:r>
        <w:rPr>
          <w:rFonts w:hint="eastAsia"/>
          <w:color w:val="000000" w:themeColor="text1"/>
          <w:highlight w:val="none"/>
          <w:lang w:val="en-US" w:eastAsia="zh-CN"/>
          <w14:textFill>
            <w14:solidFill>
              <w14:schemeClr w14:val="tx1"/>
            </w14:solidFill>
          </w14:textFill>
        </w:rPr>
        <w:t>1.5.2</w:t>
      </w:r>
      <w:r>
        <w:rPr>
          <w:rFonts w:hint="default"/>
          <w:color w:val="000000" w:themeColor="text1"/>
          <w:highlight w:val="none"/>
          <w:lang w:val="en-US" w:eastAsia="zh-CN"/>
          <w14:textFill>
            <w14:solidFill>
              <w14:schemeClr w14:val="tx1"/>
            </w14:solidFill>
          </w14:textFill>
        </w:rPr>
        <w:t>灾后重建与村镇新建阶段</w:t>
      </w:r>
      <w:bookmarkEnd w:id="18"/>
      <w:bookmarkEnd w:id="19"/>
    </w:p>
    <w:p w14:paraId="7D43BC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Times New Roman" w:hAnsi="Times New Roman" w:eastAsia="楷体" w:cs="宋体"/>
          <w:b w:val="0"/>
          <w:bCs w:val="0"/>
          <w:i w:val="0"/>
          <w:iCs w:val="0"/>
          <w:caps w:val="0"/>
          <w:vanish w:val="0"/>
          <w:color w:val="000000" w:themeColor="text1"/>
          <w:spacing w:val="0"/>
          <w:w w:val="100"/>
          <w:kern w:val="2"/>
          <w:sz w:val="28"/>
          <w:szCs w:val="12"/>
          <w:highlight w:val="none"/>
          <w:u w:val="none"/>
          <w:shd w:val="clear" w:color="auto" w:fill="FFFFFF"/>
          <w:lang w:val="en-US" w:eastAsia="zh-CN" w:bidi="ar-SA"/>
          <w14:textFill>
            <w14:solidFill>
              <w14:schemeClr w14:val="tx1"/>
            </w14:solidFill>
          </w14:textFill>
        </w:rPr>
      </w:pPr>
      <w:r>
        <w:rPr>
          <w:rFonts w:hint="eastAsia" w:ascii="Times New Roman" w:hAnsi="Times New Roman" w:eastAsia="楷体" w:cs="宋体"/>
          <w:b w:val="0"/>
          <w:bCs w:val="0"/>
          <w:i w:val="0"/>
          <w:iCs w:val="0"/>
          <w:caps w:val="0"/>
          <w:vanish w:val="0"/>
          <w:color w:val="000000" w:themeColor="text1"/>
          <w:spacing w:val="0"/>
          <w:w w:val="100"/>
          <w:kern w:val="2"/>
          <w:sz w:val="28"/>
          <w:szCs w:val="12"/>
          <w:highlight w:val="none"/>
          <w:u w:val="none"/>
          <w:shd w:val="clear" w:color="auto" w:fill="FFFFFF"/>
          <w:lang w:val="en-US" w:eastAsia="zh-CN" w:bidi="ar-SA"/>
          <w14:textFill>
            <w14:solidFill>
              <w14:schemeClr w14:val="tx1"/>
            </w14:solidFill>
          </w14:textFill>
        </w:rPr>
        <w:t>在</w:t>
      </w:r>
      <w:r>
        <w:rPr>
          <w:rFonts w:hint="default" w:ascii="Times New Roman" w:hAnsi="Times New Roman" w:eastAsia="楷体" w:cs="宋体"/>
          <w:b w:val="0"/>
          <w:bCs w:val="0"/>
          <w:i w:val="0"/>
          <w:iCs w:val="0"/>
          <w:caps w:val="0"/>
          <w:vanish w:val="0"/>
          <w:color w:val="000000" w:themeColor="text1"/>
          <w:spacing w:val="0"/>
          <w:w w:val="100"/>
          <w:kern w:val="2"/>
          <w:sz w:val="28"/>
          <w:szCs w:val="12"/>
          <w:highlight w:val="none"/>
          <w:u w:val="none"/>
          <w:shd w:val="clear" w:color="auto" w:fill="FFFFFF"/>
          <w:lang w:val="en-US" w:eastAsia="zh-CN" w:bidi="ar-SA"/>
          <w14:textFill>
            <w14:solidFill>
              <w14:schemeClr w14:val="tx1"/>
            </w14:solidFill>
          </w14:textFill>
        </w:rPr>
        <w:t>云南省大理州漾濞县上河村易地搬迁试点工程</w:t>
      </w:r>
      <w:r>
        <w:rPr>
          <w:rFonts w:hint="eastAsia" w:cs="宋体"/>
          <w:b w:val="0"/>
          <w:bCs w:val="0"/>
          <w:i w:val="0"/>
          <w:iCs w:val="0"/>
          <w:caps w:val="0"/>
          <w:vanish w:val="0"/>
          <w:color w:val="000000" w:themeColor="text1"/>
          <w:spacing w:val="0"/>
          <w:w w:val="100"/>
          <w:kern w:val="2"/>
          <w:sz w:val="28"/>
          <w:szCs w:val="12"/>
          <w:highlight w:val="none"/>
          <w:u w:val="none"/>
          <w:shd w:val="clear" w:color="auto" w:fill="FFFFFF"/>
          <w:lang w:val="en-US" w:eastAsia="zh-CN" w:bidi="ar-SA"/>
          <w14:textFill>
            <w14:solidFill>
              <w14:schemeClr w14:val="tx1"/>
            </w14:solidFill>
          </w14:textFill>
        </w:rPr>
        <w:t>中</w:t>
      </w:r>
      <w:r>
        <w:rPr>
          <w:rFonts w:hint="default" w:ascii="Times New Roman" w:hAnsi="Times New Roman" w:eastAsia="楷体" w:cs="宋体"/>
          <w:b w:val="0"/>
          <w:bCs w:val="0"/>
          <w:i w:val="0"/>
          <w:iCs w:val="0"/>
          <w:caps w:val="0"/>
          <w:vanish w:val="0"/>
          <w:color w:val="000000" w:themeColor="text1"/>
          <w:spacing w:val="0"/>
          <w:w w:val="100"/>
          <w:kern w:val="2"/>
          <w:sz w:val="28"/>
          <w:szCs w:val="12"/>
          <w:highlight w:val="none"/>
          <w:u w:val="none"/>
          <w:shd w:val="clear" w:color="auto" w:fill="FFFFFF"/>
          <w:lang w:val="en-US" w:eastAsia="zh-CN" w:bidi="ar-SA"/>
          <w14:textFill>
            <w14:solidFill>
              <w14:schemeClr w14:val="tx1"/>
            </w14:solidFill>
          </w14:textFill>
        </w:rPr>
        <w:t>，为农户完成新居重建，共惠及</w:t>
      </w:r>
      <w:r>
        <w:rPr>
          <w:rFonts w:hint="eastAsia" w:cs="宋体"/>
          <w:b w:val="0"/>
          <w:bCs w:val="0"/>
          <w:i w:val="0"/>
          <w:iCs w:val="0"/>
          <w:caps w:val="0"/>
          <w:vanish w:val="0"/>
          <w:color w:val="000000" w:themeColor="text1"/>
          <w:spacing w:val="0"/>
          <w:w w:val="100"/>
          <w:kern w:val="2"/>
          <w:sz w:val="28"/>
          <w:szCs w:val="12"/>
          <w:highlight w:val="none"/>
          <w:u w:val="none"/>
          <w:shd w:val="clear" w:color="auto" w:fill="FFFFFF"/>
          <w:lang w:val="en-US" w:eastAsia="zh-CN" w:bidi="ar-SA"/>
          <w14:textFill>
            <w14:solidFill>
              <w14:schemeClr w14:val="tx1"/>
            </w14:solidFill>
          </w14:textFill>
        </w:rPr>
        <w:t>85</w:t>
      </w:r>
      <w:r>
        <w:rPr>
          <w:rFonts w:hint="default" w:ascii="Times New Roman" w:hAnsi="Times New Roman" w:eastAsia="楷体" w:cs="宋体"/>
          <w:b w:val="0"/>
          <w:bCs w:val="0"/>
          <w:i w:val="0"/>
          <w:iCs w:val="0"/>
          <w:caps w:val="0"/>
          <w:vanish w:val="0"/>
          <w:color w:val="000000" w:themeColor="text1"/>
          <w:spacing w:val="0"/>
          <w:w w:val="100"/>
          <w:kern w:val="2"/>
          <w:sz w:val="28"/>
          <w:szCs w:val="12"/>
          <w:highlight w:val="none"/>
          <w:u w:val="none"/>
          <w:shd w:val="clear" w:color="auto" w:fill="FFFFFF"/>
          <w:lang w:val="en-US" w:eastAsia="zh-CN" w:bidi="ar-SA"/>
          <w14:textFill>
            <w14:solidFill>
              <w14:schemeClr w14:val="tx1"/>
            </w14:solidFill>
          </w14:textFill>
        </w:rPr>
        <w:t>名易地搬迁农户，</w:t>
      </w:r>
      <w:r>
        <w:rPr>
          <w:rFonts w:hint="eastAsia" w:ascii="Times New Roman" w:hAnsi="Times New Roman" w:eastAsia="楷体" w:cs="宋体"/>
          <w:b w:val="0"/>
          <w:bCs w:val="0"/>
          <w:i w:val="0"/>
          <w:iCs w:val="0"/>
          <w:caps w:val="0"/>
          <w:vanish w:val="0"/>
          <w:color w:val="000000" w:themeColor="text1"/>
          <w:spacing w:val="0"/>
          <w:w w:val="100"/>
          <w:kern w:val="2"/>
          <w:sz w:val="28"/>
          <w:szCs w:val="12"/>
          <w:highlight w:val="none"/>
          <w:u w:val="none"/>
          <w:shd w:val="clear" w:color="auto" w:fill="FFFFFF"/>
          <w:lang w:val="en-US" w:eastAsia="zh-CN" w:bidi="ar-SA"/>
          <w14:textFill>
            <w14:solidFill>
              <w14:schemeClr w14:val="tx1"/>
            </w14:solidFill>
          </w14:textFill>
        </w:rPr>
        <w:t>预计新建房屋可</w:t>
      </w:r>
      <w:r>
        <w:rPr>
          <w:rFonts w:hint="default" w:ascii="Times New Roman" w:hAnsi="Times New Roman" w:eastAsia="楷体" w:cs="宋体"/>
          <w:b w:val="0"/>
          <w:bCs w:val="0"/>
          <w:i w:val="0"/>
          <w:iCs w:val="0"/>
          <w:caps w:val="0"/>
          <w:vanish w:val="0"/>
          <w:color w:val="000000" w:themeColor="text1"/>
          <w:spacing w:val="0"/>
          <w:w w:val="100"/>
          <w:kern w:val="2"/>
          <w:sz w:val="28"/>
          <w:szCs w:val="12"/>
          <w:highlight w:val="none"/>
          <w:u w:val="none"/>
          <w:shd w:val="clear" w:color="auto" w:fill="FFFFFF"/>
          <w:lang w:val="en-US" w:eastAsia="zh-CN" w:bidi="ar-SA"/>
          <w14:textFill>
            <w14:solidFill>
              <w14:schemeClr w14:val="tx1"/>
            </w14:solidFill>
          </w14:textFill>
        </w:rPr>
        <w:t>有效抵御80%的地震冲击。改造后房屋震后损失减少96%，为灾后快速恢复提供技术保障。技术模式可快速复制应用于倒塌房屋重建，确保新建村镇建筑抗震达标。</w:t>
      </w:r>
    </w:p>
    <w:p w14:paraId="60C693B1">
      <w:pPr>
        <w:pStyle w:val="4"/>
        <w:pageBreakBefore w:val="0"/>
        <w:kinsoku/>
        <w:wordWrap/>
        <w:overflowPunct/>
        <w:topLinePunct w:val="0"/>
        <w:autoSpaceDE/>
        <w:autoSpaceDN/>
        <w:bidi w:val="0"/>
        <w:adjustRightInd/>
        <w:snapToGrid/>
        <w:spacing w:line="360" w:lineRule="auto"/>
        <w:textAlignment w:val="auto"/>
        <w:rPr>
          <w:rFonts w:hint="default"/>
          <w:color w:val="000000" w:themeColor="text1"/>
          <w:highlight w:val="none"/>
          <w:lang w:val="en-US" w:eastAsia="zh-CN"/>
          <w14:textFill>
            <w14:solidFill>
              <w14:schemeClr w14:val="tx1"/>
            </w14:solidFill>
          </w14:textFill>
        </w:rPr>
      </w:pPr>
      <w:bookmarkStart w:id="20" w:name="_Toc582"/>
      <w:bookmarkStart w:id="21" w:name="_Toc30849"/>
      <w:r>
        <w:rPr>
          <w:rFonts w:hint="eastAsia"/>
          <w:color w:val="000000" w:themeColor="text1"/>
          <w:highlight w:val="none"/>
          <w:lang w:val="en-US" w:eastAsia="zh-CN"/>
          <w14:textFill>
            <w14:solidFill>
              <w14:schemeClr w14:val="tx1"/>
            </w14:solidFill>
          </w14:textFill>
        </w:rPr>
        <w:t>1.5.3</w:t>
      </w:r>
      <w:r>
        <w:rPr>
          <w:rFonts w:hint="default"/>
          <w:color w:val="000000" w:themeColor="text1"/>
          <w:highlight w:val="none"/>
          <w:lang w:val="en-US" w:eastAsia="zh-CN"/>
          <w14:textFill>
            <w14:solidFill>
              <w14:schemeClr w14:val="tx1"/>
            </w14:solidFill>
          </w14:textFill>
        </w:rPr>
        <w:t>社会效益</w:t>
      </w:r>
      <w:bookmarkEnd w:id="20"/>
      <w:bookmarkEnd w:id="21"/>
    </w:p>
    <w:p w14:paraId="0614C346">
      <w:pPr>
        <w:pageBreakBefore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楷体" w:cs="宋体"/>
          <w:b w:val="0"/>
          <w:bCs w:val="0"/>
          <w:i w:val="0"/>
          <w:iCs w:val="0"/>
          <w:caps w:val="0"/>
          <w:vanish w:val="0"/>
          <w:color w:val="000000" w:themeColor="text1"/>
          <w:spacing w:val="0"/>
          <w:w w:val="100"/>
          <w:kern w:val="2"/>
          <w:sz w:val="28"/>
          <w:szCs w:val="12"/>
          <w:highlight w:val="none"/>
          <w:u w:val="none"/>
          <w:shd w:val="clear" w:color="auto" w:fill="FFFFFF"/>
          <w:lang w:val="en-US" w:eastAsia="zh-CN" w:bidi="ar-SA"/>
          <w14:textFill>
            <w14:solidFill>
              <w14:schemeClr w14:val="tx1"/>
            </w14:solidFill>
          </w14:textFill>
        </w:rPr>
      </w:pPr>
      <w:r>
        <w:rPr>
          <w:rFonts w:hint="default" w:ascii="Times New Roman" w:hAnsi="Times New Roman" w:eastAsia="楷体" w:cs="宋体"/>
          <w:b w:val="0"/>
          <w:bCs w:val="0"/>
          <w:i w:val="0"/>
          <w:iCs w:val="0"/>
          <w:caps w:val="0"/>
          <w:vanish w:val="0"/>
          <w:color w:val="000000" w:themeColor="text1"/>
          <w:spacing w:val="0"/>
          <w:w w:val="100"/>
          <w:kern w:val="2"/>
          <w:sz w:val="28"/>
          <w:szCs w:val="12"/>
          <w:highlight w:val="none"/>
          <w:u w:val="none"/>
          <w:shd w:val="clear" w:color="auto" w:fill="FFFFFF"/>
          <w:lang w:val="en-US" w:eastAsia="zh-CN" w:bidi="ar-SA"/>
          <w14:textFill>
            <w14:solidFill>
              <w14:schemeClr w14:val="tx1"/>
            </w14:solidFill>
          </w14:textFill>
        </w:rPr>
        <w:t>项目团队引入文旅企业打造</w:t>
      </w:r>
      <w:r>
        <w:rPr>
          <w:rFonts w:hint="eastAsia" w:cs="Times New Roman"/>
          <w:kern w:val="2"/>
          <w:sz w:val="28"/>
          <w:szCs w:val="21"/>
          <w:highlight w:val="none"/>
          <w:lang w:val="en-US" w:eastAsia="zh-CN" w:bidi="ar-SA"/>
        </w:rPr>
        <w:t>“</w:t>
      </w:r>
      <w:r>
        <w:rPr>
          <w:rFonts w:hint="default" w:ascii="Times New Roman" w:hAnsi="Times New Roman" w:eastAsia="楷体" w:cs="宋体"/>
          <w:b w:val="0"/>
          <w:bCs w:val="0"/>
          <w:i w:val="0"/>
          <w:iCs w:val="0"/>
          <w:caps w:val="0"/>
          <w:vanish w:val="0"/>
          <w:color w:val="000000" w:themeColor="text1"/>
          <w:spacing w:val="0"/>
          <w:w w:val="100"/>
          <w:kern w:val="2"/>
          <w:sz w:val="28"/>
          <w:szCs w:val="12"/>
          <w:highlight w:val="none"/>
          <w:u w:val="none"/>
          <w:shd w:val="clear" w:color="auto" w:fill="FFFFFF"/>
          <w:lang w:val="en-US" w:eastAsia="zh-CN" w:bidi="ar-SA"/>
          <w14:textFill>
            <w14:solidFill>
              <w14:schemeClr w14:val="tx1"/>
            </w14:solidFill>
          </w14:textFill>
        </w:rPr>
        <w:t>红旅山居</w:t>
      </w:r>
      <w:r>
        <w:rPr>
          <w:rFonts w:hint="eastAsia" w:cs="宋体"/>
          <w:b w:val="0"/>
          <w:bCs w:val="0"/>
          <w:i w:val="0"/>
          <w:iCs w:val="0"/>
          <w:caps w:val="0"/>
          <w:vanish w:val="0"/>
          <w:color w:val="000000" w:themeColor="text1"/>
          <w:spacing w:val="0"/>
          <w:w w:val="100"/>
          <w:kern w:val="2"/>
          <w:sz w:val="28"/>
          <w:szCs w:val="12"/>
          <w:highlight w:val="none"/>
          <w:u w:val="none"/>
          <w:shd w:val="clear" w:color="auto" w:fill="FFFFFF"/>
          <w:lang w:val="en-US" w:eastAsia="zh-CN" w:bidi="ar-SA"/>
          <w14:textFill>
            <w14:solidFill>
              <w14:schemeClr w14:val="tx1"/>
            </w14:solidFill>
          </w14:textFill>
        </w:rPr>
        <w:t>”</w:t>
      </w:r>
      <w:r>
        <w:rPr>
          <w:rFonts w:hint="default" w:ascii="Times New Roman" w:hAnsi="Times New Roman" w:eastAsia="楷体" w:cs="宋体"/>
          <w:b w:val="0"/>
          <w:bCs w:val="0"/>
          <w:i w:val="0"/>
          <w:iCs w:val="0"/>
          <w:caps w:val="0"/>
          <w:vanish w:val="0"/>
          <w:color w:val="000000" w:themeColor="text1"/>
          <w:spacing w:val="0"/>
          <w:w w:val="100"/>
          <w:kern w:val="2"/>
          <w:sz w:val="28"/>
          <w:szCs w:val="12"/>
          <w:highlight w:val="none"/>
          <w:u w:val="none"/>
          <w:shd w:val="clear" w:color="auto" w:fill="FFFFFF"/>
          <w:lang w:val="en-US" w:eastAsia="zh-CN" w:bidi="ar-SA"/>
          <w14:textFill>
            <w14:solidFill>
              <w14:schemeClr w14:val="tx1"/>
            </w14:solidFill>
          </w14:textFill>
        </w:rPr>
        <w:t>品牌民宿，依托安全农房改造与隔震支座技术应用，将抗震性能提升至8度设防标准。带动农户户均年增收超万元，试点区域民宿入住率提升至78%，游客调研中九成以上认可安全旅居体验对旅游选择的促进作用，实现红色文旅与生态民宿的产业共振。</w:t>
      </w:r>
    </w:p>
    <w:p w14:paraId="3685CA6F">
      <w:pPr>
        <w:spacing w:line="360" w:lineRule="auto"/>
        <w:rPr>
          <w:rFonts w:hint="default" w:ascii="Times New Roman" w:hAnsi="Times New Roman" w:eastAsia="仿宋" w:cs="Times New Roman"/>
          <w:color w:val="000000" w:themeColor="text1"/>
          <w:highlight w:val="none"/>
          <w:lang w:val="en-US" w:eastAsia="zh-CN"/>
          <w14:textFill>
            <w14:solidFill>
              <w14:schemeClr w14:val="tx1"/>
            </w14:solidFill>
          </w14:textFill>
        </w:rPr>
      </w:pPr>
      <w:r>
        <w:rPr>
          <w:rFonts w:hint="default" w:ascii="Times New Roman" w:hAnsi="Times New Roman" w:eastAsia="仿宋" w:cs="Times New Roman"/>
          <w:color w:val="000000" w:themeColor="text1"/>
          <w:highlight w:val="none"/>
          <w:lang w:val="en-US" w:eastAsia="zh-CN"/>
          <w14:textFill>
            <w14:solidFill>
              <w14:schemeClr w14:val="tx1"/>
            </w14:solidFill>
          </w14:textFill>
        </w:rPr>
        <w:br w:type="page"/>
      </w:r>
    </w:p>
    <w:p w14:paraId="7FF408F7">
      <w:pPr>
        <w:pStyle w:val="2"/>
        <w:keepNext/>
        <w:keepLines/>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highlight w:val="none"/>
          <w:lang w:val="en-US" w:eastAsia="zh-CN"/>
        </w:rPr>
      </w:pPr>
      <w:bookmarkStart w:id="22" w:name="_Toc7085"/>
      <w:bookmarkStart w:id="23" w:name="_Toc5316"/>
      <w:r>
        <w:rPr>
          <w:rFonts w:hint="eastAsia"/>
          <w:highlight w:val="none"/>
          <w:lang w:val="en-US" w:eastAsia="zh-CN"/>
        </w:rPr>
        <w:t xml:space="preserve">第二章 </w:t>
      </w:r>
      <w:r>
        <w:rPr>
          <w:rFonts w:hint="default"/>
          <w:highlight w:val="none"/>
          <w:lang w:val="en-US" w:eastAsia="zh-CN"/>
        </w:rPr>
        <w:t>社会价值与政策契合</w:t>
      </w:r>
      <w:bookmarkEnd w:id="22"/>
      <w:bookmarkEnd w:id="23"/>
    </w:p>
    <w:p w14:paraId="43C5B59E">
      <w:pPr>
        <w:pStyle w:val="3"/>
        <w:keepNext/>
        <w:keepLines/>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bookmarkStart w:id="24" w:name="_Toc25491"/>
      <w:bookmarkStart w:id="25" w:name="_Toc9531"/>
      <w:r>
        <w:rPr>
          <w:rFonts w:hint="default"/>
          <w:highlight w:val="none"/>
          <w:lang w:val="en-US" w:eastAsia="zh-CN"/>
        </w:rPr>
        <w:t>2.1服务乡村振兴的具体场景</w:t>
      </w:r>
      <w:bookmarkEnd w:id="24"/>
      <w:bookmarkEnd w:id="25"/>
    </w:p>
    <w:p w14:paraId="2FA26B70">
      <w:pPr>
        <w:pStyle w:val="4"/>
        <w:keepNext/>
        <w:keepLines/>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bookmarkStart w:id="26" w:name="_Toc11959"/>
      <w:bookmarkStart w:id="27" w:name="_Toc16339"/>
      <w:r>
        <w:rPr>
          <w:rFonts w:hint="eastAsia"/>
          <w:highlight w:val="none"/>
          <w:lang w:val="en-US" w:eastAsia="zh-CN"/>
        </w:rPr>
        <w:t>2.1.1</w:t>
      </w:r>
      <w:r>
        <w:rPr>
          <w:rFonts w:hint="default"/>
          <w:highlight w:val="none"/>
          <w:lang w:val="en-US" w:eastAsia="zh-CN"/>
        </w:rPr>
        <w:t>农村危房改造——经济困难户的</w:t>
      </w:r>
      <w:r>
        <w:rPr>
          <w:rFonts w:hint="eastAsia" w:cs="Times New Roman"/>
          <w:kern w:val="2"/>
          <w:sz w:val="28"/>
          <w:szCs w:val="21"/>
          <w:highlight w:val="none"/>
          <w:lang w:val="en-US" w:eastAsia="zh-CN" w:bidi="ar-SA"/>
        </w:rPr>
        <w:t>“</w:t>
      </w:r>
      <w:r>
        <w:rPr>
          <w:rFonts w:hint="default"/>
          <w:highlight w:val="none"/>
          <w:lang w:val="en-US" w:eastAsia="zh-CN"/>
        </w:rPr>
        <w:t>安全资产</w:t>
      </w:r>
      <w:r>
        <w:rPr>
          <w:rFonts w:hint="eastAsia"/>
          <w:highlight w:val="none"/>
          <w:lang w:val="en-US" w:eastAsia="zh-CN"/>
        </w:rPr>
        <w:t>”</w:t>
      </w:r>
      <w:r>
        <w:rPr>
          <w:rFonts w:hint="default"/>
          <w:highlight w:val="none"/>
          <w:lang w:val="en-US" w:eastAsia="zh-CN"/>
        </w:rPr>
        <w:t>激活</w:t>
      </w:r>
      <w:bookmarkEnd w:id="26"/>
      <w:bookmarkEnd w:id="27"/>
    </w:p>
    <w:p w14:paraId="214A607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在深度贫困山区，农村危房改造意义非凡，它不仅是对居住物理空间的安全升级，更是阻断</w:t>
      </w:r>
      <w:r>
        <w:rPr>
          <w:rFonts w:hint="eastAsia" w:cs="Times New Roman"/>
          <w:kern w:val="2"/>
          <w:sz w:val="28"/>
          <w:szCs w:val="21"/>
          <w:highlight w:val="none"/>
          <w:lang w:val="en-US" w:eastAsia="zh-CN" w:bidi="ar-SA"/>
        </w:rPr>
        <w:t>“</w:t>
      </w:r>
      <w:r>
        <w:rPr>
          <w:rFonts w:hint="default"/>
          <w:highlight w:val="none"/>
          <w:lang w:val="en-US" w:eastAsia="zh-CN"/>
        </w:rPr>
        <w:t>因灾返贫</w:t>
      </w:r>
      <w:r>
        <w:rPr>
          <w:rFonts w:hint="eastAsia"/>
          <w:highlight w:val="none"/>
          <w:lang w:val="en-US" w:eastAsia="zh-CN"/>
        </w:rPr>
        <w:t>”</w:t>
      </w:r>
      <w:r>
        <w:rPr>
          <w:rFonts w:hint="default"/>
          <w:highlight w:val="none"/>
          <w:lang w:val="en-US" w:eastAsia="zh-CN"/>
        </w:rPr>
        <w:t>链条的关键之举。就像甘肃甘南，当地传统夯土农房抗震性能差，地震时90%的伤亡由房屋倒塌造成，灾后返贫率</w:t>
      </w:r>
      <w:r>
        <w:rPr>
          <w:rFonts w:hint="eastAsia"/>
          <w:highlight w:val="none"/>
          <w:lang w:val="en-US" w:eastAsia="zh-CN"/>
        </w:rPr>
        <w:t>高</w:t>
      </w:r>
      <w:r>
        <w:rPr>
          <w:rFonts w:hint="default"/>
          <w:highlight w:val="none"/>
          <w:lang w:val="en-US" w:eastAsia="zh-CN"/>
        </w:rPr>
        <w:t>达17%。针对这一情况，团队研发出新型简易隔震支座，成功解决农村危房抗震难题，还把单户改造成本从8万元降到1.1万元。</w:t>
      </w:r>
    </w:p>
    <w:p w14:paraId="10043ACF">
      <w:pPr>
        <w:keepNext w:val="0"/>
        <w:keepLines w:val="0"/>
        <w:pageBreakBefore w:val="0"/>
        <w:widowControl w:val="0"/>
        <w:kinsoku/>
        <w:wordWrap/>
        <w:overflowPunct/>
        <w:topLinePunct w:val="0"/>
        <w:autoSpaceDE/>
        <w:autoSpaceDN/>
        <w:bidi w:val="0"/>
        <w:adjustRightInd/>
        <w:snapToGrid/>
        <w:spacing w:afterAutospacing="0" w:line="360" w:lineRule="auto"/>
        <w:ind w:firstLine="0" w:firstLineChars="0"/>
        <w:jc w:val="center"/>
        <w:textAlignment w:val="auto"/>
        <w:rPr>
          <w:rFonts w:hint="default"/>
          <w:highlight w:val="none"/>
          <w:lang w:val="en-US" w:eastAsia="zh-CN"/>
        </w:rPr>
      </w:pPr>
      <w:r>
        <w:rPr>
          <w:rFonts w:hint="default"/>
          <w:highlight w:val="none"/>
          <w:lang w:val="en-US" w:eastAsia="zh-CN"/>
        </w:rPr>
        <w:drawing>
          <wp:inline distT="0" distB="0" distL="114300" distR="114300">
            <wp:extent cx="3599815" cy="2520315"/>
            <wp:effectExtent l="0" t="0" r="6985" b="6985"/>
            <wp:docPr id="62" name="图片 62" descr="76c3d7ab72cbc156dcf536e05d91d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76c3d7ab72cbc156dcf536e05d91db1"/>
                    <pic:cNvPicPr>
                      <a:picLocks noChangeAspect="1"/>
                    </pic:cNvPicPr>
                  </pic:nvPicPr>
                  <pic:blipFill>
                    <a:blip r:embed="rId17"/>
                    <a:srcRect b="5579"/>
                    <a:stretch>
                      <a:fillRect/>
                    </a:stretch>
                  </pic:blipFill>
                  <pic:spPr>
                    <a:xfrm>
                      <a:off x="0" y="0"/>
                      <a:ext cx="3599815" cy="2520315"/>
                    </a:xfrm>
                    <a:prstGeom prst="rect">
                      <a:avLst/>
                    </a:prstGeom>
                  </pic:spPr>
                </pic:pic>
              </a:graphicData>
            </a:graphic>
          </wp:inline>
        </w:drawing>
      </w:r>
    </w:p>
    <w:p w14:paraId="421F3602">
      <w:pPr>
        <w:pStyle w:val="5"/>
        <w:bidi w:val="0"/>
        <w:spacing w:before="120" w:beforeLines="50" w:beforeAutospacing="0" w:afterAutospacing="0" w:line="360" w:lineRule="auto"/>
        <w:rPr>
          <w:rFonts w:hint="default"/>
          <w:highlight w:val="none"/>
          <w:lang w:val="en-US" w:eastAsia="zh-CN"/>
        </w:rPr>
      </w:pPr>
      <w:r>
        <w:rPr>
          <w:rFonts w:hint="eastAsia"/>
          <w:highlight w:val="none"/>
          <w:lang w:val="en-US" w:eastAsia="zh-CN"/>
        </w:rPr>
        <w:t>图2-1 甘肃甘南危房实地图</w:t>
      </w:r>
    </w:p>
    <w:p w14:paraId="6D618E20">
      <w:pPr>
        <w:keepNext w:val="0"/>
        <w:keepLines w:val="0"/>
        <w:pageBreakBefore w:val="0"/>
        <w:widowControl w:val="0"/>
        <w:kinsoku/>
        <w:wordWrap/>
        <w:overflowPunct/>
        <w:topLinePunct w:val="0"/>
        <w:autoSpaceDE/>
        <w:autoSpaceDN/>
        <w:bidi w:val="0"/>
        <w:adjustRightInd/>
        <w:snapToGrid/>
        <w:spacing w:beforeAutospacing="0" w:line="360" w:lineRule="auto"/>
        <w:ind w:firstLine="560" w:firstLineChars="200"/>
        <w:textAlignment w:val="auto"/>
        <w:rPr>
          <w:rFonts w:hint="default"/>
          <w:highlight w:val="none"/>
          <w:lang w:val="en-US" w:eastAsia="zh-CN"/>
        </w:rPr>
      </w:pPr>
      <w:r>
        <w:rPr>
          <w:rFonts w:hint="default"/>
          <w:highlight w:val="none"/>
          <w:lang w:val="en-US" w:eastAsia="zh-CN"/>
        </w:rPr>
        <w:t>改造主要让建档立卡贫困户受益。改造后，房屋抗震等级从6度提升到8度，灾后重建的财政支出减少23%，农房价值提高20%-25%，成为能抵押的</w:t>
      </w:r>
      <w:r>
        <w:rPr>
          <w:rFonts w:hint="eastAsia" w:cs="Times New Roman"/>
          <w:kern w:val="2"/>
          <w:sz w:val="28"/>
          <w:szCs w:val="21"/>
          <w:highlight w:val="none"/>
          <w:lang w:val="en-US" w:eastAsia="zh-CN" w:bidi="ar-SA"/>
        </w:rPr>
        <w:t>“</w:t>
      </w:r>
      <w:r>
        <w:rPr>
          <w:rFonts w:hint="default"/>
          <w:highlight w:val="none"/>
          <w:lang w:val="en-US" w:eastAsia="zh-CN"/>
        </w:rPr>
        <w:t>安全资产</w:t>
      </w:r>
      <w:r>
        <w:rPr>
          <w:rFonts w:hint="eastAsia"/>
          <w:highlight w:val="none"/>
          <w:lang w:val="en-US" w:eastAsia="zh-CN"/>
        </w:rPr>
        <w:t>”</w:t>
      </w:r>
      <w:r>
        <w:rPr>
          <w:rFonts w:hint="default"/>
          <w:highlight w:val="none"/>
          <w:lang w:val="en-US" w:eastAsia="zh-CN"/>
        </w:rPr>
        <w:t>。经济困难家庭不仅住上安全的房子，房屋安全性提升还吸引了配套产业园区落户，形成</w:t>
      </w:r>
      <w:r>
        <w:rPr>
          <w:rFonts w:hint="eastAsia" w:cs="Times New Roman"/>
          <w:kern w:val="2"/>
          <w:sz w:val="28"/>
          <w:szCs w:val="21"/>
          <w:highlight w:val="none"/>
          <w:lang w:val="en-US" w:eastAsia="zh-CN" w:bidi="ar-SA"/>
        </w:rPr>
        <w:t>“</w:t>
      </w:r>
      <w:r>
        <w:rPr>
          <w:rFonts w:hint="default"/>
          <w:highlight w:val="none"/>
          <w:lang w:val="en-US" w:eastAsia="zh-CN"/>
        </w:rPr>
        <w:t>安居—乐业</w:t>
      </w:r>
      <w:r>
        <w:rPr>
          <w:rFonts w:hint="eastAsia"/>
          <w:highlight w:val="none"/>
          <w:lang w:val="en-US" w:eastAsia="zh-CN"/>
        </w:rPr>
        <w:t>”</w:t>
      </w:r>
      <w:r>
        <w:rPr>
          <w:rFonts w:hint="default"/>
          <w:highlight w:val="none"/>
          <w:lang w:val="en-US" w:eastAsia="zh-CN"/>
        </w:rPr>
        <w:t>的良性循环。而且，通过</w:t>
      </w:r>
      <w:r>
        <w:rPr>
          <w:rFonts w:hint="eastAsia" w:cs="Times New Roman"/>
          <w:kern w:val="2"/>
          <w:sz w:val="28"/>
          <w:szCs w:val="21"/>
          <w:highlight w:val="none"/>
          <w:lang w:val="en-US" w:eastAsia="zh-CN" w:bidi="ar-SA"/>
        </w:rPr>
        <w:t>“</w:t>
      </w:r>
      <w:r>
        <w:rPr>
          <w:rFonts w:hint="default"/>
          <w:highlight w:val="none"/>
          <w:lang w:val="en-US" w:eastAsia="zh-CN"/>
        </w:rPr>
        <w:t>以工代赈</w:t>
      </w:r>
      <w:r>
        <w:rPr>
          <w:rFonts w:hint="eastAsia"/>
          <w:highlight w:val="none"/>
          <w:lang w:val="en-US" w:eastAsia="zh-CN"/>
        </w:rPr>
        <w:t>”</w:t>
      </w:r>
      <w:r>
        <w:rPr>
          <w:rFonts w:hint="default"/>
          <w:highlight w:val="none"/>
          <w:lang w:val="en-US" w:eastAsia="zh-CN"/>
        </w:rPr>
        <w:t>模式培育了7支本地施工队，带动人均年增收3000元，构建了</w:t>
      </w:r>
      <w:r>
        <w:rPr>
          <w:rFonts w:hint="eastAsia" w:cs="Times New Roman"/>
          <w:kern w:val="2"/>
          <w:sz w:val="28"/>
          <w:szCs w:val="21"/>
          <w:highlight w:val="none"/>
          <w:lang w:val="en-US" w:eastAsia="zh-CN" w:bidi="ar-SA"/>
        </w:rPr>
        <w:t>“</w:t>
      </w:r>
      <w:r>
        <w:rPr>
          <w:rFonts w:hint="default"/>
          <w:highlight w:val="none"/>
          <w:lang w:val="en-US" w:eastAsia="zh-CN"/>
        </w:rPr>
        <w:t>技术普惠—就业拉动—脱贫巩固</w:t>
      </w:r>
      <w:r>
        <w:rPr>
          <w:rFonts w:hint="eastAsia"/>
          <w:highlight w:val="none"/>
          <w:lang w:val="en-US" w:eastAsia="zh-CN"/>
        </w:rPr>
        <w:t>”</w:t>
      </w:r>
      <w:r>
        <w:rPr>
          <w:rFonts w:hint="default"/>
          <w:highlight w:val="none"/>
          <w:lang w:val="en-US" w:eastAsia="zh-CN"/>
        </w:rPr>
        <w:t>的闭环。</w:t>
      </w:r>
    </w:p>
    <w:p w14:paraId="6EDF0F0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数据显示，改造后成效显著，灾后返贫风险降低96%，家庭年收入增长18%，留守儿童就学率提升28%，充分体现出安全环境对家庭稳定和社会发展的重要基础性作用。</w:t>
      </w:r>
    </w:p>
    <w:p w14:paraId="318D2564">
      <w:pPr>
        <w:pStyle w:val="4"/>
        <w:keepNext/>
        <w:keepLines/>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bookmarkStart w:id="28" w:name="_Toc27006"/>
      <w:bookmarkStart w:id="29" w:name="_Toc30393"/>
      <w:r>
        <w:rPr>
          <w:rFonts w:hint="eastAsia"/>
          <w:highlight w:val="none"/>
          <w:lang w:val="en-US" w:eastAsia="zh-CN"/>
        </w:rPr>
        <w:t>2.1.2</w:t>
      </w:r>
      <w:r>
        <w:rPr>
          <w:rFonts w:hint="default"/>
          <w:highlight w:val="none"/>
          <w:lang w:val="en-US" w:eastAsia="zh-CN"/>
        </w:rPr>
        <w:t>易地搬迁抗震升级——灾后重建地区</w:t>
      </w:r>
      <w:r>
        <w:rPr>
          <w:rFonts w:hint="eastAsia" w:cs="Times New Roman"/>
          <w:kern w:val="2"/>
          <w:sz w:val="28"/>
          <w:szCs w:val="21"/>
          <w:highlight w:val="none"/>
          <w:lang w:val="en-US" w:eastAsia="zh-CN" w:bidi="ar-SA"/>
        </w:rPr>
        <w:t>“</w:t>
      </w:r>
      <w:r>
        <w:rPr>
          <w:rFonts w:hint="default"/>
          <w:highlight w:val="none"/>
          <w:lang w:val="en-US" w:eastAsia="zh-CN"/>
        </w:rPr>
        <w:t>韧性社区</w:t>
      </w:r>
      <w:r>
        <w:rPr>
          <w:rFonts w:hint="eastAsia"/>
          <w:highlight w:val="none"/>
          <w:lang w:val="en-US" w:eastAsia="zh-CN"/>
        </w:rPr>
        <w:t>”</w:t>
      </w:r>
      <w:r>
        <w:rPr>
          <w:rFonts w:hint="default"/>
          <w:highlight w:val="none"/>
          <w:lang w:val="en-US" w:eastAsia="zh-CN"/>
        </w:rPr>
        <w:t>构建</w:t>
      </w:r>
      <w:bookmarkEnd w:id="28"/>
      <w:bookmarkEnd w:id="29"/>
    </w:p>
    <w:p w14:paraId="63D54D7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在灾后重建地区，易地搬迁安置房的抗震升级是阻断</w:t>
      </w:r>
      <w:r>
        <w:rPr>
          <w:rFonts w:hint="eastAsia" w:cs="Times New Roman"/>
          <w:kern w:val="2"/>
          <w:sz w:val="28"/>
          <w:szCs w:val="21"/>
          <w:highlight w:val="none"/>
          <w:lang w:val="en-US" w:eastAsia="zh-CN" w:bidi="ar-SA"/>
        </w:rPr>
        <w:t>“</w:t>
      </w:r>
      <w:r>
        <w:rPr>
          <w:rFonts w:hint="default"/>
          <w:highlight w:val="none"/>
          <w:lang w:val="en-US" w:eastAsia="zh-CN"/>
        </w:rPr>
        <w:t>二次灾害</w:t>
      </w:r>
      <w:r>
        <w:rPr>
          <w:rFonts w:hint="eastAsia"/>
          <w:highlight w:val="none"/>
          <w:lang w:val="en-US" w:eastAsia="zh-CN"/>
        </w:rPr>
        <w:t>”</w:t>
      </w:r>
      <w:r>
        <w:rPr>
          <w:rFonts w:hint="default"/>
          <w:highlight w:val="none"/>
          <w:lang w:val="en-US" w:eastAsia="zh-CN"/>
        </w:rPr>
        <w:t>的核心工程。以云南赤鹫镇为例，作为革命老区，当地在灾后重建中深度融入隔震技术，致力于打造安全韧性示范点。赤鹫镇永富村采用新型简易隔震支座完成4栋农居改造，改造后建筑抗震倾斜度由0.8%优化至0.2%，层间位移限值达1/800，成为区域内首个通过《建筑隔震橡胶支座》GB20688认证的农居集群。</w:t>
      </w:r>
    </w:p>
    <w:p w14:paraId="3B9CD0BA">
      <w:pPr>
        <w:keepNext w:val="0"/>
        <w:keepLines w:val="0"/>
        <w:pageBreakBefore w:val="0"/>
        <w:widowControl w:val="0"/>
        <w:kinsoku/>
        <w:wordWrap/>
        <w:overflowPunct/>
        <w:topLinePunct w:val="0"/>
        <w:autoSpaceDE/>
        <w:autoSpaceDN/>
        <w:bidi w:val="0"/>
        <w:adjustRightInd/>
        <w:snapToGrid/>
        <w:spacing w:afterAutospacing="0" w:line="360" w:lineRule="auto"/>
        <w:ind w:firstLine="0" w:firstLineChars="0"/>
        <w:jc w:val="center"/>
        <w:textAlignment w:val="auto"/>
        <w:rPr>
          <w:rFonts w:hint="default"/>
          <w:highlight w:val="none"/>
          <w:lang w:val="en-US" w:eastAsia="zh-CN"/>
        </w:rPr>
      </w:pPr>
      <w:r>
        <w:rPr>
          <w:rFonts w:hint="default"/>
          <w:highlight w:val="none"/>
          <w:lang w:val="en-US" w:eastAsia="zh-CN"/>
        </w:rPr>
        <w:drawing>
          <wp:inline distT="0" distB="0" distL="114300" distR="114300">
            <wp:extent cx="3599815" cy="2520315"/>
            <wp:effectExtent l="0" t="0" r="6985" b="6985"/>
            <wp:docPr id="64" name="图片 64" descr="eb7f9e65ebd25aaca6c92dc3473c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eb7f9e65ebd25aaca6c92dc3473cab6"/>
                    <pic:cNvPicPr>
                      <a:picLocks noChangeAspect="1"/>
                    </pic:cNvPicPr>
                  </pic:nvPicPr>
                  <pic:blipFill>
                    <a:blip r:embed="rId18"/>
                    <a:stretch>
                      <a:fillRect/>
                    </a:stretch>
                  </pic:blipFill>
                  <pic:spPr>
                    <a:xfrm>
                      <a:off x="0" y="0"/>
                      <a:ext cx="3599815" cy="2520315"/>
                    </a:xfrm>
                    <a:prstGeom prst="rect">
                      <a:avLst/>
                    </a:prstGeom>
                  </pic:spPr>
                </pic:pic>
              </a:graphicData>
            </a:graphic>
          </wp:inline>
        </w:drawing>
      </w:r>
    </w:p>
    <w:p w14:paraId="26C7E952">
      <w:pPr>
        <w:pStyle w:val="5"/>
        <w:bidi w:val="0"/>
        <w:spacing w:before="77" w:beforeLines="32" w:beforeAutospacing="0" w:after="120" w:afterLines="50" w:afterAutospacing="0" w:line="360" w:lineRule="auto"/>
        <w:rPr>
          <w:rFonts w:hint="default"/>
          <w:highlight w:val="none"/>
          <w:lang w:val="en-US" w:eastAsia="zh-CN"/>
        </w:rPr>
      </w:pPr>
      <w:r>
        <w:rPr>
          <w:rFonts w:hint="eastAsia"/>
          <w:highlight w:val="none"/>
          <w:lang w:val="en-US" w:eastAsia="zh-CN"/>
        </w:rPr>
        <w:t>图2-2 云南赤鹫安装支座房屋竣工照片</w:t>
      </w:r>
    </w:p>
    <w:p w14:paraId="6897218E">
      <w:pPr>
        <w:keepNext w:val="0"/>
        <w:keepLines w:val="0"/>
        <w:pageBreakBefore w:val="0"/>
        <w:widowControl w:val="0"/>
        <w:kinsoku/>
        <w:wordWrap/>
        <w:overflowPunct/>
        <w:topLinePunct w:val="0"/>
        <w:autoSpaceDE/>
        <w:autoSpaceDN/>
        <w:bidi w:val="0"/>
        <w:adjustRightInd/>
        <w:snapToGrid/>
        <w:spacing w:beforeAutospacing="0" w:line="360" w:lineRule="auto"/>
        <w:ind w:firstLine="560" w:firstLineChars="200"/>
        <w:textAlignment w:val="auto"/>
        <w:rPr>
          <w:rFonts w:hint="default"/>
          <w:highlight w:val="none"/>
          <w:lang w:val="en-US" w:eastAsia="zh-CN"/>
        </w:rPr>
      </w:pPr>
      <w:r>
        <w:rPr>
          <w:rFonts w:hint="default"/>
          <w:highlight w:val="none"/>
          <w:lang w:val="en-US" w:eastAsia="zh-CN"/>
        </w:rPr>
        <w:t>在技术落地实施过程中，技术团队针对赤鹫镇生土建筑特性，对支座安装工艺进行优化，通过标准化凹槽设计，实现</w:t>
      </w:r>
      <w:r>
        <w:rPr>
          <w:rFonts w:hint="eastAsia" w:cs="Times New Roman"/>
          <w:kern w:val="2"/>
          <w:sz w:val="28"/>
          <w:szCs w:val="21"/>
          <w:highlight w:val="none"/>
          <w:lang w:val="en-US" w:eastAsia="zh-CN" w:bidi="ar-SA"/>
        </w:rPr>
        <w:t>“</w:t>
      </w:r>
      <w:r>
        <w:rPr>
          <w:rFonts w:hint="default"/>
          <w:highlight w:val="none"/>
          <w:lang w:val="en-US" w:eastAsia="zh-CN"/>
        </w:rPr>
        <w:t>1人1小时安装</w:t>
      </w:r>
      <w:r>
        <w:rPr>
          <w:rFonts w:hint="eastAsia"/>
          <w:highlight w:val="none"/>
          <w:lang w:val="en-US" w:eastAsia="zh-CN"/>
        </w:rPr>
        <w:t>”</w:t>
      </w:r>
      <w:r>
        <w:rPr>
          <w:rFonts w:hint="default"/>
          <w:highlight w:val="none"/>
          <w:lang w:val="en-US" w:eastAsia="zh-CN"/>
        </w:rPr>
        <w:t>，极大提高了安装效率。在此过程中，众多农户从中受益，65%的家庭通过参与本地施工队实现就近就业，当地外出务工人数减少37%。</w:t>
      </w:r>
    </w:p>
    <w:p w14:paraId="630ABBC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赤鹫镇作为红色地区，在改造过程中高度重视历史建筑保护。技术团队采用柔性隔震技术对其中2栋百年夯土民居进行加固，将其抗震等级提升至8度。改造后的民居作为</w:t>
      </w:r>
      <w:r>
        <w:rPr>
          <w:rFonts w:hint="eastAsia" w:cs="Times New Roman"/>
          <w:kern w:val="2"/>
          <w:sz w:val="28"/>
          <w:szCs w:val="21"/>
          <w:highlight w:val="none"/>
          <w:lang w:val="en-US" w:eastAsia="zh-CN" w:bidi="ar-SA"/>
        </w:rPr>
        <w:t>“</w:t>
      </w:r>
      <w:r>
        <w:rPr>
          <w:rFonts w:hint="default"/>
          <w:highlight w:val="none"/>
          <w:lang w:val="en-US" w:eastAsia="zh-CN"/>
        </w:rPr>
        <w:t>安全示范屋</w:t>
      </w:r>
      <w:r>
        <w:rPr>
          <w:rFonts w:hint="eastAsia"/>
          <w:highlight w:val="none"/>
          <w:lang w:val="en-US" w:eastAsia="zh-CN"/>
        </w:rPr>
        <w:t>”</w:t>
      </w:r>
      <w:r>
        <w:rPr>
          <w:rFonts w:hint="default"/>
          <w:highlight w:val="none"/>
          <w:lang w:val="en-US" w:eastAsia="zh-CN"/>
        </w:rPr>
        <w:t>向公众开放，年均接待考察团组42批次，有效推动区域隔震技术普及率从30%跃升至85%。</w:t>
      </w:r>
    </w:p>
    <w:p w14:paraId="3D271C6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在红色精神传承层面，抗震工程与革命记忆深度融合。改造过程中保留夯土墙面的弹痕遗迹，借助隔震支座的柔性保护实现</w:t>
      </w:r>
      <w:r>
        <w:rPr>
          <w:rFonts w:hint="eastAsia" w:cs="Times New Roman"/>
          <w:kern w:val="2"/>
          <w:sz w:val="28"/>
          <w:szCs w:val="21"/>
          <w:highlight w:val="none"/>
          <w:lang w:val="en-US" w:eastAsia="zh-CN" w:bidi="ar-SA"/>
        </w:rPr>
        <w:t>“</w:t>
      </w:r>
      <w:r>
        <w:rPr>
          <w:rFonts w:hint="default"/>
          <w:highlight w:val="none"/>
          <w:lang w:val="en-US" w:eastAsia="zh-CN"/>
        </w:rPr>
        <w:t>修旧如旧</w:t>
      </w:r>
      <w:r>
        <w:rPr>
          <w:rFonts w:hint="eastAsia"/>
          <w:highlight w:val="none"/>
          <w:lang w:val="en-US" w:eastAsia="zh-CN"/>
        </w:rPr>
        <w:t>”</w:t>
      </w:r>
      <w:r>
        <w:rPr>
          <w:rFonts w:hint="default"/>
          <w:highlight w:val="none"/>
          <w:lang w:val="en-US" w:eastAsia="zh-CN"/>
        </w:rPr>
        <w:t>，形成</w:t>
      </w:r>
      <w:r>
        <w:rPr>
          <w:rFonts w:hint="eastAsia" w:cs="Times New Roman"/>
          <w:kern w:val="2"/>
          <w:sz w:val="28"/>
          <w:szCs w:val="21"/>
          <w:highlight w:val="none"/>
          <w:lang w:val="en-US" w:eastAsia="zh-CN" w:bidi="ar-SA"/>
        </w:rPr>
        <w:t>“</w:t>
      </w:r>
      <w:r>
        <w:rPr>
          <w:rFonts w:hint="default"/>
          <w:highlight w:val="none"/>
          <w:lang w:val="en-US" w:eastAsia="zh-CN"/>
        </w:rPr>
        <w:t>抗震铸魂·红旅富民</w:t>
      </w:r>
      <w:r>
        <w:rPr>
          <w:rFonts w:hint="eastAsia"/>
          <w:highlight w:val="none"/>
          <w:lang w:val="en-US" w:eastAsia="zh-CN"/>
        </w:rPr>
        <w:t>”</w:t>
      </w:r>
      <w:r>
        <w:rPr>
          <w:rFonts w:hint="default"/>
          <w:highlight w:val="none"/>
          <w:lang w:val="en-US" w:eastAsia="zh-CN"/>
        </w:rPr>
        <w:t>的协同效应，实现了从</w:t>
      </w:r>
      <w:r>
        <w:rPr>
          <w:rFonts w:hint="eastAsia" w:cs="Times New Roman"/>
          <w:kern w:val="2"/>
          <w:sz w:val="28"/>
          <w:szCs w:val="21"/>
          <w:highlight w:val="none"/>
          <w:lang w:val="en-US" w:eastAsia="zh-CN" w:bidi="ar-SA"/>
        </w:rPr>
        <w:t>“</w:t>
      </w:r>
      <w:r>
        <w:rPr>
          <w:rFonts w:hint="default"/>
          <w:highlight w:val="none"/>
          <w:lang w:val="en-US" w:eastAsia="zh-CN"/>
        </w:rPr>
        <w:t>灾后重建</w:t>
      </w:r>
      <w:r>
        <w:rPr>
          <w:rFonts w:hint="eastAsia"/>
          <w:highlight w:val="none"/>
          <w:lang w:val="en-US" w:eastAsia="zh-CN"/>
        </w:rPr>
        <w:t>”</w:t>
      </w:r>
      <w:r>
        <w:rPr>
          <w:rFonts w:hint="default"/>
          <w:highlight w:val="none"/>
          <w:lang w:val="en-US" w:eastAsia="zh-CN"/>
        </w:rPr>
        <w:t>到</w:t>
      </w:r>
      <w:r>
        <w:rPr>
          <w:rFonts w:hint="eastAsia" w:cs="Times New Roman"/>
          <w:kern w:val="2"/>
          <w:sz w:val="28"/>
          <w:szCs w:val="21"/>
          <w:highlight w:val="none"/>
          <w:lang w:val="en-US" w:eastAsia="zh-CN" w:bidi="ar-SA"/>
        </w:rPr>
        <w:t>“</w:t>
      </w:r>
      <w:r>
        <w:rPr>
          <w:rFonts w:hint="default"/>
          <w:highlight w:val="none"/>
          <w:lang w:val="en-US" w:eastAsia="zh-CN"/>
        </w:rPr>
        <w:t>精神传承</w:t>
      </w:r>
      <w:r>
        <w:rPr>
          <w:rFonts w:hint="eastAsia"/>
          <w:highlight w:val="none"/>
          <w:lang w:val="en-US" w:eastAsia="zh-CN"/>
        </w:rPr>
        <w:t>”</w:t>
      </w:r>
      <w:r>
        <w:rPr>
          <w:rFonts w:hint="default"/>
          <w:highlight w:val="none"/>
          <w:lang w:val="en-US" w:eastAsia="zh-CN"/>
        </w:rPr>
        <w:t>的价值升华。</w:t>
      </w:r>
    </w:p>
    <w:p w14:paraId="2E46237E">
      <w:pPr>
        <w:pStyle w:val="4"/>
        <w:keepNext/>
        <w:keepLines/>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bookmarkStart w:id="30" w:name="_Toc5733"/>
      <w:bookmarkStart w:id="31" w:name="_Toc15875"/>
      <w:r>
        <w:rPr>
          <w:rFonts w:hint="eastAsia"/>
          <w:highlight w:val="none"/>
          <w:lang w:val="en-US" w:eastAsia="zh-CN"/>
        </w:rPr>
        <w:t>2.1.3</w:t>
      </w:r>
      <w:r>
        <w:rPr>
          <w:rFonts w:hint="default"/>
          <w:highlight w:val="none"/>
          <w:lang w:val="en-US" w:eastAsia="zh-CN"/>
        </w:rPr>
        <w:t>乡村公共建筑加固——守护民生服务的</w:t>
      </w:r>
      <w:r>
        <w:rPr>
          <w:rFonts w:hint="eastAsia" w:cs="Times New Roman"/>
          <w:kern w:val="2"/>
          <w:sz w:val="28"/>
          <w:szCs w:val="21"/>
          <w:highlight w:val="none"/>
          <w:lang w:val="en-US" w:eastAsia="zh-CN" w:bidi="ar-SA"/>
        </w:rPr>
        <w:t>“</w:t>
      </w:r>
      <w:r>
        <w:rPr>
          <w:rFonts w:hint="default"/>
          <w:highlight w:val="none"/>
          <w:lang w:val="en-US" w:eastAsia="zh-CN"/>
        </w:rPr>
        <w:t>生命线</w:t>
      </w:r>
      <w:r>
        <w:rPr>
          <w:rFonts w:hint="eastAsia"/>
          <w:highlight w:val="none"/>
          <w:lang w:val="en-US" w:eastAsia="zh-CN"/>
        </w:rPr>
        <w:t>”</w:t>
      </w:r>
      <w:bookmarkEnd w:id="30"/>
      <w:bookmarkEnd w:id="31"/>
    </w:p>
    <w:p w14:paraId="767C8BD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eastAsia"/>
          <w:highlight w:val="none"/>
          <w:lang w:val="en-US" w:eastAsia="zh-CN"/>
        </w:rPr>
        <w:t>乡村公共建筑的抗震工程，对于保障教育公平和公共卫生安全意义重大，是一项极具战略性的工程。就拿四川雅安来说，当地为了提升建筑的抗震能力，采用了在建筑物基础和上部结构之间设置隔震支座的方法，对建筑结构进行改造。这种方式能够有效减少地震时能量向上部结构的传导，让学校建筑变得更加安全。</w:t>
      </w:r>
    </w:p>
    <w:p w14:paraId="6A13F99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经过改造后，当地产生了一系列积极变化。在就业方面，由于改造工程带动了本地施工、物流等行业的发展，65%的家庭都能在</w:t>
      </w:r>
      <w:r>
        <w:rPr>
          <w:rFonts w:hint="eastAsia" w:cs="Times New Roman"/>
          <w:kern w:val="2"/>
          <w:sz w:val="28"/>
          <w:szCs w:val="21"/>
          <w:highlight w:val="none"/>
          <w:lang w:val="en-US" w:eastAsia="zh-CN" w:bidi="ar-SA"/>
        </w:rPr>
        <w:t>“</w:t>
      </w:r>
      <w:r>
        <w:rPr>
          <w:rFonts w:hint="default"/>
          <w:highlight w:val="none"/>
          <w:lang w:val="en-US" w:eastAsia="zh-CN"/>
        </w:rPr>
        <w:t>家门口</w:t>
      </w:r>
      <w:r>
        <w:rPr>
          <w:rFonts w:hint="eastAsia"/>
          <w:highlight w:val="none"/>
          <w:lang w:val="en-US" w:eastAsia="zh-CN"/>
        </w:rPr>
        <w:t>”</w:t>
      </w:r>
      <w:r>
        <w:rPr>
          <w:rFonts w:hint="default"/>
          <w:highlight w:val="none"/>
          <w:lang w:val="en-US" w:eastAsia="zh-CN"/>
        </w:rPr>
        <w:t>找到工作，外出打工的人数减少了37%。这使得许多家庭得以团聚，留守儿童的生活也有了很大改变。比如，孩子们的抑郁量表得分从58分降低到了31分，大部分家庭每年团聚的时间从42天大幅延长到300天。</w:t>
      </w:r>
      <w:r>
        <w:rPr>
          <w:rFonts w:hint="eastAsia" w:cs="Times New Roman"/>
          <w:kern w:val="2"/>
          <w:sz w:val="28"/>
          <w:szCs w:val="21"/>
          <w:highlight w:val="none"/>
          <w:lang w:val="en-US" w:eastAsia="zh-CN" w:bidi="ar-SA"/>
        </w:rPr>
        <w:t>“</w:t>
      </w:r>
      <w:r>
        <w:rPr>
          <w:rFonts w:hint="default"/>
          <w:highlight w:val="none"/>
          <w:lang w:val="en-US" w:eastAsia="zh-CN"/>
        </w:rPr>
        <w:t>安居不离乡</w:t>
      </w:r>
      <w:r>
        <w:rPr>
          <w:rFonts w:hint="eastAsia"/>
          <w:highlight w:val="none"/>
          <w:lang w:val="en-US" w:eastAsia="zh-CN"/>
        </w:rPr>
        <w:t>”</w:t>
      </w:r>
      <w:r>
        <w:rPr>
          <w:rFonts w:hint="default"/>
          <w:highlight w:val="none"/>
          <w:lang w:val="en-US" w:eastAsia="zh-CN"/>
        </w:rPr>
        <w:t>的模式效果明显，留守儿童能经常得到父母的陪伴。</w:t>
      </w:r>
    </w:p>
    <w:p w14:paraId="322911B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highlight w:val="none"/>
          <w:lang w:val="en-US" w:eastAsia="zh-CN"/>
        </w:rPr>
      </w:pPr>
      <w:r>
        <w:rPr>
          <w:rFonts w:hint="eastAsia"/>
          <w:highlight w:val="none"/>
          <w:lang w:val="en-US" w:eastAsia="zh-CN"/>
        </w:rPr>
        <w:t>家庭陪伴增多，再加上校园安全感的提升，对教育也产生了积极影响。学生的就学率提高了28%，教师流动率降低了37%，学生心理安全感提升了72%，家长对当地教育资源的信任度也大大增强。</w:t>
      </w:r>
    </w:p>
    <w:p w14:paraId="487BA78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芦山县人民医院改造后，在抗震性能上有了很大提升。手术室具备震后48小时内持续运行的能力，这对于实现</w:t>
      </w:r>
      <w:r>
        <w:rPr>
          <w:rFonts w:hint="eastAsia" w:cs="Times New Roman"/>
          <w:kern w:val="2"/>
          <w:sz w:val="28"/>
          <w:szCs w:val="21"/>
          <w:highlight w:val="none"/>
          <w:lang w:val="en-US" w:eastAsia="zh-CN" w:bidi="ar-SA"/>
        </w:rPr>
        <w:t>“</w:t>
      </w:r>
      <w:r>
        <w:rPr>
          <w:rFonts w:hint="default"/>
          <w:highlight w:val="none"/>
          <w:lang w:val="en-US" w:eastAsia="zh-CN"/>
        </w:rPr>
        <w:t>良好健康与福祉</w:t>
      </w:r>
      <w:r>
        <w:rPr>
          <w:rFonts w:hint="eastAsia"/>
          <w:highlight w:val="none"/>
          <w:lang w:val="en-US" w:eastAsia="zh-CN"/>
        </w:rPr>
        <w:t>”</w:t>
      </w:r>
      <w:r>
        <w:rPr>
          <w:rFonts w:hint="default"/>
          <w:highlight w:val="none"/>
          <w:lang w:val="en-US" w:eastAsia="zh-CN"/>
        </w:rPr>
        <w:t>的目标很有帮助。有数据表明，建筑每提高1度抗震等级，灾后急症患者的存活率就能提高65%，孕产妇死亡率会下降45%。这充分说明，隔震技术应用到医疗建筑中，大大增强了医疗建筑应对灾害的能力，完善了灾害应急响应体系，为那些需要特殊医疗照顾的人群提供了更可靠的安全保障，实现了公共卫生基础设施从震后补救到震前预防的重要转变。</w:t>
      </w:r>
    </w:p>
    <w:p w14:paraId="13F02616">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drawing>
          <wp:inline distT="0" distB="0" distL="114300" distR="114300">
            <wp:extent cx="3599815" cy="2520315"/>
            <wp:effectExtent l="0" t="0" r="6985" b="6985"/>
            <wp:docPr id="63" name="图片 63" descr="2b18f9bf031f62acdf7c298e46b94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2b18f9bf031f62acdf7c298e46b94e3"/>
                    <pic:cNvPicPr>
                      <a:picLocks noChangeAspect="1"/>
                    </pic:cNvPicPr>
                  </pic:nvPicPr>
                  <pic:blipFill>
                    <a:blip r:embed="rId19"/>
                    <a:stretch>
                      <a:fillRect/>
                    </a:stretch>
                  </pic:blipFill>
                  <pic:spPr>
                    <a:xfrm>
                      <a:off x="0" y="0"/>
                      <a:ext cx="3599815" cy="2520315"/>
                    </a:xfrm>
                    <a:prstGeom prst="rect">
                      <a:avLst/>
                    </a:prstGeom>
                  </pic:spPr>
                </pic:pic>
              </a:graphicData>
            </a:graphic>
          </wp:inline>
        </w:drawing>
      </w:r>
    </w:p>
    <w:p w14:paraId="56FCFB3D">
      <w:pPr>
        <w:pStyle w:val="5"/>
        <w:bidi w:val="0"/>
        <w:spacing w:afterAutospacing="0" w:line="360" w:lineRule="auto"/>
        <w:rPr>
          <w:rFonts w:hint="default"/>
          <w:highlight w:val="none"/>
          <w:lang w:val="en-US" w:eastAsia="zh-CN"/>
        </w:rPr>
      </w:pPr>
      <w:r>
        <w:rPr>
          <w:rFonts w:hint="eastAsia"/>
          <w:highlight w:val="none"/>
          <w:lang w:val="en-US" w:eastAsia="zh-CN"/>
        </w:rPr>
        <w:t>图2-3 四川雅安震区安装支座的人民医院</w:t>
      </w:r>
    </w:p>
    <w:p w14:paraId="79039346">
      <w:pPr>
        <w:keepNext w:val="0"/>
        <w:keepLines w:val="0"/>
        <w:pageBreakBefore w:val="0"/>
        <w:widowControl w:val="0"/>
        <w:kinsoku/>
        <w:wordWrap/>
        <w:overflowPunct/>
        <w:topLinePunct w:val="0"/>
        <w:autoSpaceDE/>
        <w:autoSpaceDN/>
        <w:bidi w:val="0"/>
        <w:adjustRightInd/>
        <w:snapToGrid/>
        <w:spacing w:beforeAutospacing="0" w:line="360" w:lineRule="auto"/>
        <w:ind w:firstLine="560" w:firstLineChars="200"/>
        <w:textAlignment w:val="auto"/>
        <w:rPr>
          <w:rFonts w:hint="default"/>
          <w:highlight w:val="none"/>
          <w:lang w:val="en-US" w:eastAsia="zh-CN"/>
        </w:rPr>
      </w:pPr>
      <w:r>
        <w:rPr>
          <w:rFonts w:hint="default"/>
          <w:highlight w:val="none"/>
          <w:lang w:val="en-US" w:eastAsia="zh-CN"/>
        </w:rPr>
        <w:t>从这些案例可以看出，乡村公共建筑的抗震改造可不只是技术层面的事，它还关乎社会治理。通过合理的设计，把抗震技术带来的安全保障直观地展现出来，能够增强社区居民之间的凝聚力，为乡村的发展和振兴提供持续的、有力的支持。</w:t>
      </w:r>
    </w:p>
    <w:p w14:paraId="4FA5F2B0">
      <w:pPr>
        <w:spacing w:line="360" w:lineRule="auto"/>
        <w:rPr>
          <w:rFonts w:hint="default"/>
          <w:highlight w:val="none"/>
          <w:lang w:val="en-US" w:eastAsia="zh-CN"/>
        </w:rPr>
      </w:pPr>
      <w:r>
        <w:rPr>
          <w:rFonts w:hint="default"/>
          <w:highlight w:val="none"/>
          <w:lang w:val="en-US" w:eastAsia="zh-CN"/>
        </w:rPr>
        <w:br w:type="page"/>
      </w:r>
    </w:p>
    <w:p w14:paraId="62F2BA8B">
      <w:pPr>
        <w:pStyle w:val="3"/>
        <w:bidi w:val="0"/>
        <w:spacing w:line="360" w:lineRule="auto"/>
        <w:rPr>
          <w:rFonts w:hint="default"/>
          <w:highlight w:val="none"/>
          <w:lang w:val="en-US" w:eastAsia="zh-CN"/>
        </w:rPr>
      </w:pPr>
      <w:bookmarkStart w:id="32" w:name="_Toc3885"/>
      <w:bookmarkStart w:id="33" w:name="_Toc30565"/>
      <w:r>
        <w:rPr>
          <w:rFonts w:hint="default"/>
          <w:highlight w:val="none"/>
          <w:lang w:val="en-US" w:eastAsia="zh-CN"/>
        </w:rPr>
        <w:t>2.2与联合国可持续发展目标（SDGs）的关联</w:t>
      </w:r>
      <w:bookmarkEnd w:id="32"/>
      <w:bookmarkEnd w:id="33"/>
    </w:p>
    <w:p w14:paraId="460909D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在全球灾害治理的大背景下，村镇建筑的抗震问题一直是个难题。而</w:t>
      </w:r>
      <w:r>
        <w:rPr>
          <w:rFonts w:hint="eastAsia"/>
          <w:highlight w:val="none"/>
          <w:lang w:val="en-US" w:eastAsia="zh-CN"/>
        </w:rPr>
        <w:t>本项目所研发的新型简易隔震支座，</w:t>
      </w:r>
      <w:r>
        <w:rPr>
          <w:rFonts w:hint="default"/>
          <w:highlight w:val="none"/>
          <w:lang w:val="en-US" w:eastAsia="zh-CN"/>
        </w:rPr>
        <w:t>不仅解决了国内的实际问题，还为全球灾害治理提供了新的思路和方案，与国家战略以及全球可持续发展目标紧密相连。</w:t>
      </w:r>
    </w:p>
    <w:p w14:paraId="7D561AE4">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b/>
          <w:bCs/>
          <w:highlight w:val="none"/>
          <w:lang w:val="en-US" w:eastAsia="zh-CN"/>
        </w:rPr>
      </w:pPr>
      <w:r>
        <w:rPr>
          <w:rFonts w:hint="eastAsia"/>
          <w:b/>
          <w:bCs/>
          <w:highlight w:val="none"/>
          <w:lang w:val="en-US" w:eastAsia="zh-CN"/>
        </w:rPr>
        <w:t>（1）</w:t>
      </w:r>
      <w:r>
        <w:rPr>
          <w:rFonts w:hint="default"/>
          <w:b/>
          <w:bCs/>
          <w:highlight w:val="none"/>
          <w:lang w:val="en-US" w:eastAsia="zh-CN"/>
        </w:rPr>
        <w:t>中国村镇建筑隔震实践与全球可持续发展目标的契合</w:t>
      </w:r>
    </w:p>
    <w:p w14:paraId="4FC65E7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中国的村镇建筑隔震实践与多个联合国可持续发展目标相呼应。在SDG11（可持续城市和社区）方面，隔震技术极大地提升了建筑的抗灾能力，有效打破了</w:t>
      </w:r>
      <w:r>
        <w:rPr>
          <w:rFonts w:hint="eastAsia" w:cs="Times New Roman"/>
          <w:kern w:val="2"/>
          <w:sz w:val="28"/>
          <w:szCs w:val="21"/>
          <w:highlight w:val="none"/>
          <w:lang w:val="en-US" w:eastAsia="zh-CN" w:bidi="ar-SA"/>
        </w:rPr>
        <w:t>“</w:t>
      </w:r>
      <w:r>
        <w:rPr>
          <w:rFonts w:hint="default"/>
          <w:highlight w:val="none"/>
          <w:lang w:val="en-US" w:eastAsia="zh-CN"/>
        </w:rPr>
        <w:t>小震大灾、大震巨灾</w:t>
      </w:r>
      <w:r>
        <w:rPr>
          <w:rFonts w:hint="eastAsia"/>
          <w:highlight w:val="none"/>
          <w:lang w:val="en-US" w:eastAsia="zh-CN"/>
        </w:rPr>
        <w:t>”</w:t>
      </w:r>
      <w:r>
        <w:rPr>
          <w:rFonts w:hint="default"/>
          <w:highlight w:val="none"/>
          <w:lang w:val="en-US" w:eastAsia="zh-CN"/>
        </w:rPr>
        <w:t>的困局。在地震发生时，隔震后的建筑能更好地保持结构完整，减少人员伤亡和财产损失，保障社区的可持续发展。从SDG1（消除贫困）角度来看，隔震技术切断了</w:t>
      </w:r>
      <w:r>
        <w:rPr>
          <w:rFonts w:hint="eastAsia" w:cs="Times New Roman"/>
          <w:kern w:val="2"/>
          <w:sz w:val="28"/>
          <w:szCs w:val="21"/>
          <w:highlight w:val="none"/>
          <w:lang w:val="en-US" w:eastAsia="zh-CN" w:bidi="ar-SA"/>
        </w:rPr>
        <w:t>“</w:t>
      </w:r>
      <w:r>
        <w:rPr>
          <w:rFonts w:hint="default"/>
          <w:highlight w:val="none"/>
          <w:lang w:val="en-US" w:eastAsia="zh-CN"/>
        </w:rPr>
        <w:t>因灾返贫</w:t>
      </w:r>
      <w:r>
        <w:rPr>
          <w:rFonts w:hint="eastAsia"/>
          <w:highlight w:val="none"/>
          <w:lang w:val="en-US" w:eastAsia="zh-CN"/>
        </w:rPr>
        <w:t>”</w:t>
      </w:r>
      <w:r>
        <w:rPr>
          <w:rFonts w:hint="default"/>
          <w:highlight w:val="none"/>
          <w:lang w:val="en-US" w:eastAsia="zh-CN"/>
        </w:rPr>
        <w:t>的恶性循环。在灾害多发地区，地震往往让贫困家庭雪上加霜，而隔震技术降低了地震对建筑的破坏，保障了居民的生活基础，重构了当地的减贫逻辑和发展路径。</w:t>
      </w:r>
    </w:p>
    <w:p w14:paraId="6FEEF786">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b/>
          <w:bCs/>
          <w:highlight w:val="none"/>
          <w:lang w:val="en-US" w:eastAsia="zh-CN"/>
        </w:rPr>
      </w:pPr>
      <w:r>
        <w:rPr>
          <w:rFonts w:hint="eastAsia"/>
          <w:b/>
          <w:bCs/>
          <w:highlight w:val="none"/>
          <w:lang w:val="en-US" w:eastAsia="zh-CN"/>
        </w:rPr>
        <w:t>（2）</w:t>
      </w:r>
      <w:r>
        <w:rPr>
          <w:rFonts w:hint="default"/>
          <w:b/>
          <w:bCs/>
          <w:highlight w:val="none"/>
          <w:lang w:val="en-US" w:eastAsia="zh-CN"/>
        </w:rPr>
        <w:t>中国方案在全球治理中的成本优势与技术输出成果</w:t>
      </w:r>
    </w:p>
    <w:p w14:paraId="658D17C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中国的村镇建筑隔震技术体系在成本控制上取得了重大突破。专业评估显示，单户抗震改造成本仅为国际通行标准的19%。这一优势吸引了众多发展中国家。以东南亚国家联盟为例，引入中国隔震标准后，成员国农村抗震达标率均值从28%大幅跃升至79%，全生命周期减灾效益达到投入成本的17倍。同时，中国的技术输出不仅是简单的技术转让，还带动了当地建造产业链的发展。技术合作项目让当地建筑领域中小企业数量年均增长22%，实现了减灾能力建设与产业基础再造的协同发展。这种从产品输出到标准共建的转变，标志着全球减灾治理从传统的救济模式向发展模式迈进。</w:t>
      </w:r>
    </w:p>
    <w:p w14:paraId="13E37D16">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b/>
          <w:bCs/>
          <w:highlight w:val="none"/>
          <w:lang w:val="en-US" w:eastAsia="zh-CN"/>
        </w:rPr>
      </w:pPr>
      <w:r>
        <w:rPr>
          <w:rFonts w:hint="eastAsia"/>
          <w:b/>
          <w:bCs/>
          <w:highlight w:val="none"/>
          <w:lang w:val="en-US" w:eastAsia="zh-CN"/>
        </w:rPr>
        <w:t>（3）</w:t>
      </w:r>
      <w:r>
        <w:rPr>
          <w:rFonts w:hint="default"/>
          <w:b/>
          <w:bCs/>
          <w:highlight w:val="none"/>
          <w:lang w:val="en-US" w:eastAsia="zh-CN"/>
        </w:rPr>
        <w:t>技术创新对农村地震高发区的三重突破及国际影响</w:t>
      </w:r>
    </w:p>
    <w:p w14:paraId="685E6EA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在中国农村地震高发区，隔震技术体系实现了三重突破：改造成本较国际标准降低81%，极大减轻了农村居民的经济负担；生土建筑适配性提升至95%，让更多传统建筑也能享受到隔震技术带来的安全保障。这一创新成果积极响应了SDG17对南北技术协作的需求。在南亚、东南亚地区，采用中国方案后，农村建筑抗震达标率均值从不足30%提升到75%以上。这充分证明了中国技术共享为全球南方国家的发展权提供了有力支持，推动这些国家的防灾体系从被动救灾向主动防御转变。</w:t>
      </w:r>
    </w:p>
    <w:p w14:paraId="5E11777C">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b/>
          <w:bCs/>
          <w:highlight w:val="none"/>
          <w:lang w:val="en-US" w:eastAsia="zh-CN"/>
        </w:rPr>
      </w:pPr>
      <w:r>
        <w:rPr>
          <w:rFonts w:hint="eastAsia"/>
          <w:b/>
          <w:bCs/>
          <w:highlight w:val="none"/>
          <w:lang w:val="en-US" w:eastAsia="zh-CN"/>
        </w:rPr>
        <w:t>（4）</w:t>
      </w:r>
      <w:r>
        <w:rPr>
          <w:rFonts w:hint="default"/>
          <w:b/>
          <w:bCs/>
          <w:highlight w:val="none"/>
          <w:lang w:val="en-US" w:eastAsia="zh-CN"/>
        </w:rPr>
        <w:t>技术创新的社会价值与人类命运共同体理念的实践</w:t>
      </w:r>
    </w:p>
    <w:p w14:paraId="247AD37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中国村镇建筑隔震实践充分体现了技术创新的社会价值。真正的技术创新不是追求论文数据的好看，而是像</w:t>
      </w:r>
      <w:r>
        <w:rPr>
          <w:rFonts w:hint="eastAsia" w:cs="Times New Roman"/>
          <w:kern w:val="2"/>
          <w:sz w:val="28"/>
          <w:szCs w:val="21"/>
          <w:highlight w:val="none"/>
          <w:lang w:val="en-US" w:eastAsia="zh-CN" w:bidi="ar-SA"/>
        </w:rPr>
        <w:t>“</w:t>
      </w:r>
      <w:r>
        <w:rPr>
          <w:rFonts w:hint="default"/>
          <w:highlight w:val="none"/>
          <w:lang w:val="en-US" w:eastAsia="zh-CN"/>
        </w:rPr>
        <w:t>隔震支座</w:t>
      </w:r>
      <w:r>
        <w:rPr>
          <w:rFonts w:hint="eastAsia"/>
          <w:highlight w:val="none"/>
          <w:lang w:val="en-US" w:eastAsia="zh-CN"/>
        </w:rPr>
        <w:t>”</w:t>
      </w:r>
      <w:r>
        <w:rPr>
          <w:rFonts w:hint="default"/>
          <w:highlight w:val="none"/>
          <w:lang w:val="en-US" w:eastAsia="zh-CN"/>
        </w:rPr>
        <w:t>一样，成为支撑社会稳定的关键因素。它让先进科技深入乡土，为乡村居民带来实实在在的安全保障；将</w:t>
      </w:r>
      <w:r>
        <w:rPr>
          <w:rFonts w:hint="eastAsia" w:cs="Times New Roman"/>
          <w:kern w:val="2"/>
          <w:sz w:val="28"/>
          <w:szCs w:val="21"/>
          <w:highlight w:val="none"/>
          <w:lang w:val="en-US" w:eastAsia="zh-CN" w:bidi="ar-SA"/>
        </w:rPr>
        <w:t>“</w:t>
      </w:r>
      <w:r>
        <w:rPr>
          <w:rFonts w:hint="default"/>
          <w:highlight w:val="none"/>
          <w:lang w:val="en-US" w:eastAsia="zh-CN"/>
        </w:rPr>
        <w:t>人类命运共同体</w:t>
      </w:r>
      <w:r>
        <w:rPr>
          <w:rFonts w:hint="eastAsia"/>
          <w:highlight w:val="none"/>
          <w:lang w:val="en-US" w:eastAsia="zh-CN"/>
        </w:rPr>
        <w:t>”</w:t>
      </w:r>
      <w:r>
        <w:rPr>
          <w:rFonts w:hint="default"/>
          <w:highlight w:val="none"/>
          <w:lang w:val="en-US" w:eastAsia="zh-CN"/>
        </w:rPr>
        <w:t>的理念转化为可触摸的安全成果，让安全与发展成为所有国家和群体都能享有的基本权利。通过打破</w:t>
      </w:r>
      <w:r>
        <w:rPr>
          <w:rFonts w:hint="eastAsia" w:cs="Times New Roman"/>
          <w:kern w:val="2"/>
          <w:sz w:val="28"/>
          <w:szCs w:val="21"/>
          <w:highlight w:val="none"/>
          <w:lang w:val="en-US" w:eastAsia="zh-CN" w:bidi="ar-SA"/>
        </w:rPr>
        <w:t>“</w:t>
      </w:r>
      <w:r>
        <w:rPr>
          <w:rFonts w:hint="default"/>
          <w:highlight w:val="none"/>
          <w:lang w:val="en-US" w:eastAsia="zh-CN"/>
        </w:rPr>
        <w:t>灾害不平等</w:t>
      </w:r>
      <w:r>
        <w:rPr>
          <w:rFonts w:hint="eastAsia"/>
          <w:highlight w:val="none"/>
          <w:lang w:val="en-US" w:eastAsia="zh-CN"/>
        </w:rPr>
        <w:t>”</w:t>
      </w:r>
      <w:r>
        <w:rPr>
          <w:rFonts w:hint="default"/>
          <w:highlight w:val="none"/>
          <w:lang w:val="en-US" w:eastAsia="zh-CN"/>
        </w:rPr>
        <w:t>的全球格局，把防灾减灾从少数资本密集型国家的特权，转变为普惠权利，为全球可持续发展开辟了更包容的实践道路。</w:t>
      </w:r>
    </w:p>
    <w:p w14:paraId="7FEDA38A">
      <w:pPr>
        <w:spacing w:line="360" w:lineRule="auto"/>
        <w:rPr>
          <w:rFonts w:hint="default"/>
          <w:highlight w:val="none"/>
          <w:lang w:val="en-US" w:eastAsia="zh-CN"/>
        </w:rPr>
      </w:pPr>
      <w:r>
        <w:rPr>
          <w:rFonts w:hint="default"/>
          <w:highlight w:val="none"/>
          <w:lang w:val="en-US" w:eastAsia="zh-CN"/>
        </w:rPr>
        <w:br w:type="page"/>
      </w:r>
    </w:p>
    <w:p w14:paraId="17521A62">
      <w:pPr>
        <w:pStyle w:val="3"/>
        <w:keepNext/>
        <w:keepLines/>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bookmarkStart w:id="34" w:name="_Toc25586"/>
      <w:bookmarkStart w:id="35" w:name="_Toc8401"/>
      <w:r>
        <w:rPr>
          <w:rFonts w:hint="default"/>
          <w:highlight w:val="none"/>
          <w:lang w:val="en-US" w:eastAsia="zh-CN"/>
        </w:rPr>
        <w:t>2.</w:t>
      </w:r>
      <w:r>
        <w:rPr>
          <w:rFonts w:hint="eastAsia"/>
          <w:highlight w:val="none"/>
          <w:lang w:val="en-US" w:eastAsia="zh-CN"/>
        </w:rPr>
        <w:t>3隔震科普</w:t>
      </w:r>
      <w:bookmarkEnd w:id="34"/>
      <w:bookmarkEnd w:id="35"/>
    </w:p>
    <w:p w14:paraId="13BC027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在四川攀枝花的灾后重建中，衡御安邦团队实施的隔震技术科普工程展现了知识传递对社区韧性的重塑效能。项目组深入6个重灾村落，针对老年群体认知特点，开发出</w:t>
      </w:r>
      <w:r>
        <w:rPr>
          <w:rFonts w:hint="eastAsia"/>
          <w:highlight w:val="none"/>
          <w:lang w:val="en-US" w:eastAsia="zh-CN"/>
        </w:rPr>
        <w:t>”</w:t>
      </w:r>
      <w:r>
        <w:rPr>
          <w:rFonts w:hint="default"/>
          <w:highlight w:val="none"/>
          <w:lang w:val="en-US" w:eastAsia="zh-CN"/>
        </w:rPr>
        <w:t>技术可视化-原理场景化-效益数据化</w:t>
      </w:r>
      <w:r>
        <w:rPr>
          <w:rFonts w:hint="eastAsia"/>
          <w:highlight w:val="none"/>
          <w:lang w:val="en-US" w:eastAsia="zh-CN"/>
        </w:rPr>
        <w:t>”</w:t>
      </w:r>
      <w:r>
        <w:rPr>
          <w:rFonts w:hint="default"/>
          <w:highlight w:val="none"/>
          <w:lang w:val="en-US" w:eastAsia="zh-CN"/>
        </w:rPr>
        <w:t>的三维科普体系。通过将专业抗震参数转化为具象生活参照：用</w:t>
      </w:r>
      <w:r>
        <w:rPr>
          <w:rFonts w:hint="eastAsia" w:cs="Times New Roman"/>
          <w:kern w:val="2"/>
          <w:sz w:val="28"/>
          <w:szCs w:val="21"/>
          <w:highlight w:val="none"/>
          <w:lang w:val="en-US" w:eastAsia="zh-CN" w:bidi="ar-SA"/>
        </w:rPr>
        <w:t>“</w:t>
      </w:r>
      <w:r>
        <w:rPr>
          <w:rFonts w:hint="default"/>
          <w:highlight w:val="none"/>
          <w:lang w:val="en-US" w:eastAsia="zh-CN"/>
        </w:rPr>
        <w:t>建筑摇摆缓冲</w:t>
      </w:r>
      <w:r>
        <w:rPr>
          <w:rFonts w:hint="eastAsia"/>
          <w:highlight w:val="none"/>
          <w:lang w:val="en-US" w:eastAsia="zh-CN"/>
        </w:rPr>
        <w:t>”</w:t>
      </w:r>
      <w:r>
        <w:rPr>
          <w:rFonts w:hint="default"/>
          <w:highlight w:val="none"/>
          <w:lang w:val="en-US" w:eastAsia="zh-CN"/>
        </w:rPr>
        <w:t>解释隔震支座的耗能机制，以</w:t>
      </w:r>
      <w:r>
        <w:rPr>
          <w:rFonts w:hint="eastAsia" w:cs="Times New Roman"/>
          <w:kern w:val="2"/>
          <w:sz w:val="28"/>
          <w:szCs w:val="21"/>
          <w:highlight w:val="none"/>
          <w:lang w:val="en-US" w:eastAsia="zh-CN" w:bidi="ar-SA"/>
        </w:rPr>
        <w:t>“</w:t>
      </w:r>
      <w:r>
        <w:rPr>
          <w:rFonts w:hint="default"/>
          <w:highlight w:val="none"/>
          <w:lang w:val="en-US" w:eastAsia="zh-CN"/>
        </w:rPr>
        <w:t>房屋弹簧鞋</w:t>
      </w:r>
      <w:r>
        <w:rPr>
          <w:rFonts w:hint="eastAsia"/>
          <w:highlight w:val="none"/>
          <w:lang w:val="en-US" w:eastAsia="zh-CN"/>
        </w:rPr>
        <w:t>”</w:t>
      </w:r>
      <w:r>
        <w:rPr>
          <w:rFonts w:hint="default"/>
          <w:highlight w:val="none"/>
          <w:lang w:val="en-US" w:eastAsia="zh-CN"/>
        </w:rPr>
        <w:t>类比基底隔震系统，让受访者能准确了解描述的防灾知识。</w:t>
      </w:r>
    </w:p>
    <w:p w14:paraId="77D477A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项目组设计的</w:t>
      </w:r>
      <w:r>
        <w:rPr>
          <w:rFonts w:hint="eastAsia"/>
          <w:highlight w:val="none"/>
          <w:lang w:val="en-US" w:eastAsia="zh-CN"/>
        </w:rPr>
        <w:t>超</w:t>
      </w:r>
      <w:r>
        <w:rPr>
          <w:rFonts w:hint="default"/>
          <w:highlight w:val="none"/>
          <w:lang w:val="en-US" w:eastAsia="zh-CN"/>
        </w:rPr>
        <w:t>1200份《隔震安全手册》，采用工程师手绘动态图解与方言对照说明。</w:t>
      </w:r>
      <w:r>
        <w:rPr>
          <w:rFonts w:hint="eastAsia" w:cs="Times New Roman"/>
          <w:kern w:val="2"/>
          <w:sz w:val="28"/>
          <w:szCs w:val="21"/>
          <w:highlight w:val="none"/>
          <w:lang w:val="en-US" w:eastAsia="zh-CN" w:bidi="ar-SA"/>
        </w:rPr>
        <w:t>“</w:t>
      </w:r>
      <w:r>
        <w:rPr>
          <w:rFonts w:hint="default"/>
          <w:highlight w:val="none"/>
          <w:lang w:val="en-US" w:eastAsia="zh-CN"/>
        </w:rPr>
        <w:t>安全大手托举农房</w:t>
      </w:r>
      <w:r>
        <w:rPr>
          <w:rFonts w:hint="eastAsia"/>
          <w:highlight w:val="none"/>
          <w:lang w:val="en-US" w:eastAsia="zh-CN"/>
        </w:rPr>
        <w:t>”</w:t>
      </w:r>
      <w:r>
        <w:rPr>
          <w:rFonts w:hint="default"/>
          <w:highlight w:val="none"/>
          <w:lang w:val="en-US" w:eastAsia="zh-CN"/>
        </w:rPr>
        <w:t>的视觉隐喻，使83岁高龄文盲村民能理解隔震支座的工作原理。18场村口科普讲堂创新采用实物教具演示：用稻谷堆砌建筑模型展示不同自振周期建筑的抗震表现，借竹篾编制隔震层模拟地震波能量耗散过程。当82岁的王德昌老人用</w:t>
      </w:r>
      <w:r>
        <w:rPr>
          <w:rFonts w:hint="eastAsia" w:cs="Times New Roman"/>
          <w:kern w:val="2"/>
          <w:sz w:val="28"/>
          <w:szCs w:val="21"/>
          <w:highlight w:val="none"/>
          <w:lang w:val="en-US" w:eastAsia="zh-CN" w:bidi="ar-SA"/>
        </w:rPr>
        <w:t>“</w:t>
      </w:r>
      <w:r>
        <w:rPr>
          <w:rFonts w:hint="default"/>
          <w:highlight w:val="none"/>
          <w:lang w:val="en-US" w:eastAsia="zh-CN"/>
        </w:rPr>
        <w:t>房屋跳摇摆舞</w:t>
      </w:r>
      <w:r>
        <w:rPr>
          <w:rFonts w:hint="eastAsia"/>
          <w:highlight w:val="none"/>
          <w:lang w:val="en-US" w:eastAsia="zh-CN"/>
        </w:rPr>
        <w:t>”</w:t>
      </w:r>
      <w:r>
        <w:rPr>
          <w:rFonts w:hint="default"/>
          <w:highlight w:val="none"/>
          <w:lang w:val="en-US" w:eastAsia="zh-CN"/>
        </w:rPr>
        <w:t>向邻居解释隔震原理时，冰冷的抗震规范已转化为有温度的安全信念。这种扎根于技术理解的心理修复，正为灾害社会学研究提供新的范式启示——在钢筋混凝土构筑物理屏障的同时，更需要用科学认知构筑心灵防波堤。</w:t>
      </w:r>
    </w:p>
    <w:p w14:paraId="6C7DA37C">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drawing>
          <wp:inline distT="0" distB="0" distL="114300" distR="114300">
            <wp:extent cx="3599815" cy="2520315"/>
            <wp:effectExtent l="0" t="0" r="6985" b="6985"/>
            <wp:docPr id="67" name="图片 67" descr="d9e57073958775254d49f8bb3797d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d9e57073958775254d49f8bb3797d51"/>
                    <pic:cNvPicPr>
                      <a:picLocks noChangeAspect="1"/>
                    </pic:cNvPicPr>
                  </pic:nvPicPr>
                  <pic:blipFill>
                    <a:blip r:embed="rId20"/>
                    <a:stretch>
                      <a:fillRect/>
                    </a:stretch>
                  </pic:blipFill>
                  <pic:spPr>
                    <a:xfrm>
                      <a:off x="0" y="0"/>
                      <a:ext cx="3599815" cy="2520315"/>
                    </a:xfrm>
                    <a:prstGeom prst="rect">
                      <a:avLst/>
                    </a:prstGeom>
                  </pic:spPr>
                </pic:pic>
              </a:graphicData>
            </a:graphic>
          </wp:inline>
        </w:drawing>
      </w:r>
    </w:p>
    <w:p w14:paraId="4D46201E">
      <w:pPr>
        <w:pStyle w:val="5"/>
        <w:bidi w:val="0"/>
        <w:spacing w:line="360" w:lineRule="auto"/>
        <w:rPr>
          <w:rFonts w:hint="eastAsia"/>
          <w:highlight w:val="none"/>
          <w:lang w:val="en-US" w:eastAsia="zh-CN"/>
        </w:rPr>
      </w:pPr>
      <w:r>
        <w:rPr>
          <w:rFonts w:hint="eastAsia"/>
          <w:highlight w:val="none"/>
          <w:lang w:val="en-US" w:eastAsia="zh-CN"/>
        </w:rPr>
        <w:t>图2-4 衡御安邦震后心理援助</w:t>
      </w:r>
    </w:p>
    <w:p w14:paraId="6AF18C10">
      <w:pPr>
        <w:pStyle w:val="3"/>
        <w:keepNext/>
        <w:keepLines/>
        <w:pageBreakBefore w:val="0"/>
        <w:widowControl w:val="0"/>
        <w:kinsoku/>
        <w:wordWrap/>
        <w:overflowPunct/>
        <w:topLinePunct w:val="0"/>
        <w:autoSpaceDE/>
        <w:autoSpaceDN/>
        <w:bidi w:val="0"/>
        <w:adjustRightInd/>
        <w:snapToGrid/>
        <w:spacing w:line="360" w:lineRule="auto"/>
        <w:textAlignment w:val="auto"/>
        <w:rPr>
          <w:rFonts w:hint="default"/>
          <w:color w:val="auto"/>
          <w:highlight w:val="none"/>
          <w:lang w:val="en-US" w:eastAsia="zh-CN"/>
        </w:rPr>
      </w:pPr>
      <w:bookmarkStart w:id="36" w:name="_Toc16607"/>
      <w:bookmarkStart w:id="37" w:name="_Toc18591"/>
      <w:r>
        <w:rPr>
          <w:rFonts w:hint="default"/>
          <w:color w:val="auto"/>
          <w:highlight w:val="none"/>
          <w:lang w:val="en-US" w:eastAsia="zh-CN"/>
        </w:rPr>
        <w:t>2.4乡村振兴防返贫机制创新</w:t>
      </w:r>
      <w:bookmarkEnd w:id="36"/>
      <w:bookmarkEnd w:id="37"/>
    </w:p>
    <w:p w14:paraId="6D8C6C4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color w:val="auto"/>
          <w:highlight w:val="none"/>
        </w:rPr>
      </w:pPr>
      <w:r>
        <w:rPr>
          <w:rFonts w:hint="default"/>
          <w:color w:val="auto"/>
          <w:highlight w:val="none"/>
        </w:rPr>
        <w:t>（1）资产保护机制</w:t>
      </w:r>
      <w:r>
        <w:rPr>
          <w:rFonts w:hint="default"/>
          <w:color w:val="auto"/>
          <w:highlight w:val="none"/>
        </w:rPr>
        <w:br w:type="textWrapping"/>
      </w:r>
      <w:r>
        <w:rPr>
          <w:rFonts w:hint="default"/>
          <w:color w:val="auto"/>
          <w:highlight w:val="none"/>
        </w:rPr>
        <w:t>经中国乡村振兴研究院测算，地震高烈度区每户农房倒塌导致的直接经济损失达8-12万元，相当于脱贫家庭5-8年收入总和。本项目通过隔震改造将房屋损毁率降低96%，使农房成为可抵押的</w:t>
      </w:r>
      <w:r>
        <w:rPr>
          <w:rFonts w:hint="eastAsia"/>
          <w:color w:val="auto"/>
          <w:highlight w:val="none"/>
          <w:lang w:eastAsia="zh-CN"/>
        </w:rPr>
        <w:t>“</w:t>
      </w:r>
      <w:r>
        <w:rPr>
          <w:rFonts w:hint="default"/>
          <w:color w:val="auto"/>
          <w:highlight w:val="none"/>
        </w:rPr>
        <w:t>安全资产</w:t>
      </w:r>
      <w:r>
        <w:rPr>
          <w:rFonts w:hint="eastAsia"/>
          <w:color w:val="auto"/>
          <w:highlight w:val="none"/>
          <w:lang w:eastAsia="zh-CN"/>
        </w:rPr>
        <w:t>”</w:t>
      </w:r>
      <w:r>
        <w:rPr>
          <w:rFonts w:hint="default"/>
          <w:color w:val="auto"/>
          <w:highlight w:val="none"/>
        </w:rPr>
        <w:t>，破解了金融机构因灾害风险不愿放贷的难题。云南试点中，改造后农房抵押贷款通过率提升47%。</w:t>
      </w:r>
    </w:p>
    <w:p w14:paraId="0A9675A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color w:val="auto"/>
          <w:highlight w:val="none"/>
        </w:rPr>
      </w:pPr>
      <w:r>
        <w:rPr>
          <w:rFonts w:hint="default"/>
          <w:color w:val="auto"/>
          <w:highlight w:val="none"/>
        </w:rPr>
        <w:t>（2）产业赋能路径</w:t>
      </w:r>
      <w:r>
        <w:rPr>
          <w:rFonts w:hint="default"/>
          <w:color w:val="auto"/>
          <w:highlight w:val="none"/>
        </w:rPr>
        <w:br w:type="textWrapping"/>
      </w:r>
      <w:r>
        <w:rPr>
          <w:rFonts w:hint="default"/>
          <w:color w:val="auto"/>
          <w:highlight w:val="none"/>
        </w:rPr>
        <w:t>在甘肃陇南，团队联合文旅企业将抗震农房改造为</w:t>
      </w:r>
      <w:r>
        <w:rPr>
          <w:rFonts w:hint="eastAsia"/>
          <w:color w:val="auto"/>
          <w:highlight w:val="none"/>
          <w:lang w:eastAsia="zh-CN"/>
        </w:rPr>
        <w:t>“</w:t>
      </w:r>
      <w:r>
        <w:rPr>
          <w:rFonts w:hint="default"/>
          <w:color w:val="auto"/>
          <w:highlight w:val="none"/>
        </w:rPr>
        <w:t>安全民宿</w:t>
      </w:r>
      <w:r>
        <w:rPr>
          <w:rFonts w:hint="eastAsia"/>
          <w:color w:val="auto"/>
          <w:highlight w:val="none"/>
          <w:lang w:eastAsia="zh-CN"/>
        </w:rPr>
        <w:t>”</w:t>
      </w:r>
      <w:r>
        <w:rPr>
          <w:rFonts w:hint="default"/>
          <w:color w:val="auto"/>
          <w:highlight w:val="none"/>
        </w:rPr>
        <w:t>，游客因建筑抗震认证入住率提升35%，带动户均年增收1.2万元。这种</w:t>
      </w:r>
      <w:r>
        <w:rPr>
          <w:rFonts w:hint="eastAsia"/>
          <w:color w:val="auto"/>
          <w:highlight w:val="none"/>
          <w:lang w:eastAsia="zh-CN"/>
        </w:rPr>
        <w:t>“</w:t>
      </w:r>
      <w:r>
        <w:rPr>
          <w:rFonts w:hint="default"/>
          <w:color w:val="auto"/>
          <w:highlight w:val="none"/>
        </w:rPr>
        <w:t>安全背书+特色产业</w:t>
      </w:r>
      <w:r>
        <w:rPr>
          <w:rFonts w:hint="eastAsia"/>
          <w:color w:val="auto"/>
          <w:highlight w:val="none"/>
          <w:lang w:eastAsia="zh-CN"/>
        </w:rPr>
        <w:t>”</w:t>
      </w:r>
      <w:r>
        <w:rPr>
          <w:rFonts w:hint="default"/>
          <w:color w:val="auto"/>
          <w:highlight w:val="none"/>
        </w:rPr>
        <w:t>模式已入选国家乡村振兴局《扶贫资产后续管理典型案例》。</w:t>
      </w:r>
    </w:p>
    <w:p w14:paraId="1B25E95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color w:val="auto"/>
          <w:highlight w:val="none"/>
        </w:rPr>
      </w:pPr>
      <w:r>
        <w:rPr>
          <w:rFonts w:hint="default"/>
          <w:color w:val="auto"/>
          <w:highlight w:val="none"/>
        </w:rPr>
        <w:t>（3）人才振兴实践</w:t>
      </w:r>
      <w:r>
        <w:rPr>
          <w:rFonts w:hint="default"/>
          <w:color w:val="auto"/>
          <w:highlight w:val="none"/>
        </w:rPr>
        <w:br w:type="textWrapping"/>
      </w:r>
      <w:r>
        <w:rPr>
          <w:rFonts w:hint="default"/>
          <w:color w:val="auto"/>
          <w:highlight w:val="none"/>
        </w:rPr>
        <w:t>通过</w:t>
      </w:r>
      <w:r>
        <w:rPr>
          <w:rFonts w:hint="eastAsia"/>
          <w:color w:val="auto"/>
          <w:highlight w:val="none"/>
          <w:lang w:eastAsia="zh-CN"/>
        </w:rPr>
        <w:t>“</w:t>
      </w:r>
      <w:r>
        <w:rPr>
          <w:rFonts w:hint="default"/>
          <w:color w:val="auto"/>
          <w:highlight w:val="none"/>
        </w:rPr>
        <w:t>抗震工匠培训计划</w:t>
      </w:r>
      <w:r>
        <w:rPr>
          <w:rFonts w:hint="eastAsia"/>
          <w:color w:val="auto"/>
          <w:highlight w:val="none"/>
          <w:lang w:eastAsia="zh-CN"/>
        </w:rPr>
        <w:t>”</w:t>
      </w:r>
      <w:r>
        <w:rPr>
          <w:rFonts w:hint="default"/>
          <w:color w:val="auto"/>
          <w:highlight w:val="none"/>
        </w:rPr>
        <w:t>培养本土技术员，学员马木呷（彝族）结业后成立施工队，带动6名脱贫户就业，人均月收入超4000元。这种</w:t>
      </w:r>
      <w:r>
        <w:rPr>
          <w:rFonts w:hint="eastAsia"/>
          <w:color w:val="auto"/>
          <w:highlight w:val="none"/>
          <w:lang w:eastAsia="zh-CN"/>
        </w:rPr>
        <w:t>“</w:t>
      </w:r>
      <w:r>
        <w:rPr>
          <w:rFonts w:hint="default"/>
          <w:color w:val="auto"/>
          <w:highlight w:val="none"/>
        </w:rPr>
        <w:t>技术赋能-就业增收-社区防灾</w:t>
      </w:r>
      <w:r>
        <w:rPr>
          <w:rFonts w:hint="eastAsia"/>
          <w:color w:val="auto"/>
          <w:highlight w:val="none"/>
          <w:lang w:eastAsia="zh-CN"/>
        </w:rPr>
        <w:t>”</w:t>
      </w:r>
      <w:r>
        <w:rPr>
          <w:rFonts w:hint="default"/>
          <w:color w:val="auto"/>
          <w:highlight w:val="none"/>
        </w:rPr>
        <w:t>的闭环，为乡村振兴提供了可持续的人力支撑。</w:t>
      </w:r>
    </w:p>
    <w:p w14:paraId="3F91E29B">
      <w:pPr>
        <w:spacing w:line="360" w:lineRule="auto"/>
        <w:rPr>
          <w:rFonts w:hint="default"/>
          <w:color w:val="auto"/>
          <w:highlight w:val="none"/>
        </w:rPr>
      </w:pPr>
      <w:r>
        <w:rPr>
          <w:rFonts w:hint="default"/>
          <w:color w:val="auto"/>
          <w:highlight w:val="none"/>
        </w:rPr>
        <w:br w:type="page"/>
      </w:r>
    </w:p>
    <w:p w14:paraId="40C7F136">
      <w:pPr>
        <w:pStyle w:val="2"/>
        <w:keepNext/>
        <w:keepLines/>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highlight w:val="none"/>
          <w:lang w:val="en-US" w:eastAsia="zh-CN"/>
        </w:rPr>
      </w:pPr>
      <w:bookmarkStart w:id="38" w:name="_Toc15433"/>
      <w:bookmarkStart w:id="39" w:name="_Toc2292"/>
      <w:r>
        <w:rPr>
          <w:rFonts w:hint="eastAsia"/>
          <w:highlight w:val="none"/>
          <w:lang w:val="en-US" w:eastAsia="zh-CN"/>
        </w:rPr>
        <w:t xml:space="preserve">第三章 </w:t>
      </w:r>
      <w:r>
        <w:rPr>
          <w:rFonts w:hint="default"/>
          <w:highlight w:val="none"/>
          <w:lang w:val="en-US" w:eastAsia="zh-CN"/>
        </w:rPr>
        <w:t>市场机遇分析及趋势分析</w:t>
      </w:r>
      <w:bookmarkEnd w:id="38"/>
      <w:bookmarkEnd w:id="39"/>
    </w:p>
    <w:p w14:paraId="7647853B">
      <w:pPr>
        <w:pStyle w:val="3"/>
        <w:keepNext/>
        <w:keepLines/>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bookmarkStart w:id="40" w:name="_Toc26030"/>
      <w:bookmarkStart w:id="41" w:name="_Toc30439"/>
      <w:r>
        <w:rPr>
          <w:rFonts w:hint="eastAsia"/>
          <w:highlight w:val="none"/>
          <w:lang w:val="en-US" w:eastAsia="zh-CN"/>
        </w:rPr>
        <w:t>3.1抗震产业发展背景</w:t>
      </w:r>
      <w:bookmarkEnd w:id="40"/>
      <w:bookmarkEnd w:id="41"/>
    </w:p>
    <w:p w14:paraId="1DB6D418">
      <w:pPr>
        <w:pStyle w:val="4"/>
        <w:keepNext/>
        <w:keepLines/>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bookmarkStart w:id="42" w:name="_Toc24579"/>
      <w:bookmarkStart w:id="43" w:name="_Toc23979"/>
      <w:r>
        <w:rPr>
          <w:rFonts w:hint="eastAsia"/>
          <w:highlight w:val="none"/>
          <w:lang w:val="en-US" w:eastAsia="zh-CN"/>
        </w:rPr>
        <w:t>3.1.1社会需求觉醒：从灾后教训到政策与媒体的双重驱动</w:t>
      </w:r>
      <w:bookmarkEnd w:id="42"/>
      <w:bookmarkEnd w:id="43"/>
    </w:p>
    <w:p w14:paraId="307982F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highlight w:val="none"/>
          <w:lang w:val="en-US" w:eastAsia="zh-CN"/>
        </w:rPr>
      </w:pPr>
      <w:r>
        <w:rPr>
          <w:rFonts w:hint="eastAsia"/>
          <w:highlight w:val="none"/>
          <w:lang w:val="en-US" w:eastAsia="zh-CN"/>
        </w:rPr>
        <w:t>在建筑抗震政策的推行进程中，各地政府基于自身实际情况，制定并实施了差异化政策，这些政策与震后的社会需求紧密契合，为震后救援、恢复与重建提供了有力支撑。</w:t>
      </w:r>
    </w:p>
    <w:p w14:paraId="79803AE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highlight w:val="none"/>
          <w:lang w:val="en-US" w:eastAsia="zh-CN"/>
        </w:rPr>
      </w:pPr>
      <w:r>
        <w:rPr>
          <w:rFonts w:hint="eastAsia"/>
          <w:highlight w:val="none"/>
          <w:lang w:val="en-US" w:eastAsia="zh-CN"/>
        </w:rPr>
        <w:t>云南省政府发布的《云南省隔震减震建筑工程促进规定》及《农房抗震改造技术规程》，充分考虑到云南地震频发的特点。震后，那些采用减隔震技术的学校、医院等公共建筑，能够保持结构完整，成为紧急救援和医疗救治的关键场所。比如在漾濞地震中，部分应用隔震技术的新建农房受损轻微，既为受灾群众提供了临时避难空间，也避免了因房屋大面积损毁而陷入无处安置的困境，保障了震后基本生活需求。省级补贴比例的提升，让更多农房得以进行抗震改造，减少了震后重建的经济压力和时间成本，加快了灾区恢复正常生活秩序的进程。</w:t>
      </w:r>
    </w:p>
    <w:p w14:paraId="1FDE61DE">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highlight w:val="none"/>
        </w:rPr>
      </w:pPr>
      <w:r>
        <w:rPr>
          <w:highlight w:val="none"/>
        </w:rPr>
        <w:drawing>
          <wp:inline distT="0" distB="0" distL="114300" distR="114300">
            <wp:extent cx="3599815" cy="2520315"/>
            <wp:effectExtent l="0" t="0" r="6985" b="698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21"/>
                    <a:stretch>
                      <a:fillRect/>
                    </a:stretch>
                  </pic:blipFill>
                  <pic:spPr>
                    <a:xfrm>
                      <a:off x="0" y="0"/>
                      <a:ext cx="3599815" cy="2520315"/>
                    </a:xfrm>
                    <a:prstGeom prst="rect">
                      <a:avLst/>
                    </a:prstGeom>
                    <a:noFill/>
                    <a:ln>
                      <a:noFill/>
                    </a:ln>
                  </pic:spPr>
                </pic:pic>
              </a:graphicData>
            </a:graphic>
          </wp:inline>
        </w:drawing>
      </w:r>
    </w:p>
    <w:p w14:paraId="3F643A45">
      <w:pPr>
        <w:pStyle w:val="5"/>
        <w:bidi w:val="0"/>
        <w:spacing w:line="360" w:lineRule="auto"/>
        <w:rPr>
          <w:rFonts w:hint="eastAsia"/>
          <w:highlight w:val="none"/>
          <w:lang w:val="en-US" w:eastAsia="zh-CN"/>
        </w:rPr>
      </w:pPr>
      <w:r>
        <w:rPr>
          <w:rFonts w:hint="eastAsia"/>
          <w:highlight w:val="none"/>
          <w:lang w:val="en-US" w:eastAsia="zh-CN"/>
        </w:rPr>
        <w:t>图3-1 《云南省隔震减震建筑工程促进规定》</w:t>
      </w:r>
    </w:p>
    <w:p w14:paraId="6C8A0C3E">
      <w:pPr>
        <w:keepNext w:val="0"/>
        <w:keepLines w:val="0"/>
        <w:pageBreakBefore w:val="0"/>
        <w:widowControl w:val="0"/>
        <w:kinsoku/>
        <w:wordWrap/>
        <w:overflowPunct/>
        <w:topLinePunct w:val="0"/>
        <w:autoSpaceDE/>
        <w:autoSpaceDN/>
        <w:bidi w:val="0"/>
        <w:adjustRightInd/>
        <w:snapToGrid/>
        <w:spacing w:afterAutospacing="0" w:line="360" w:lineRule="auto"/>
        <w:ind w:firstLine="0" w:firstLineChars="0"/>
        <w:jc w:val="center"/>
        <w:textAlignment w:val="auto"/>
        <w:rPr>
          <w:rFonts w:hint="eastAsia"/>
          <w:highlight w:val="none"/>
          <w:lang w:val="en-US" w:eastAsia="zh-CN"/>
        </w:rPr>
      </w:pPr>
      <w:r>
        <w:rPr>
          <w:highlight w:val="none"/>
        </w:rPr>
        <w:drawing>
          <wp:inline distT="0" distB="0" distL="114300" distR="114300">
            <wp:extent cx="3599815" cy="2520315"/>
            <wp:effectExtent l="0" t="0" r="6985" b="698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22"/>
                    <a:stretch>
                      <a:fillRect/>
                    </a:stretch>
                  </pic:blipFill>
                  <pic:spPr>
                    <a:xfrm>
                      <a:off x="0" y="0"/>
                      <a:ext cx="3599815" cy="2520315"/>
                    </a:xfrm>
                    <a:prstGeom prst="rect">
                      <a:avLst/>
                    </a:prstGeom>
                    <a:noFill/>
                    <a:ln>
                      <a:noFill/>
                    </a:ln>
                  </pic:spPr>
                </pic:pic>
              </a:graphicData>
            </a:graphic>
          </wp:inline>
        </w:drawing>
      </w:r>
    </w:p>
    <w:p w14:paraId="2E96D0F4">
      <w:pPr>
        <w:pStyle w:val="5"/>
        <w:bidi w:val="0"/>
        <w:spacing w:before="120" w:beforeLines="50" w:beforeAutospacing="0" w:after="240" w:afterLines="100" w:afterAutospacing="0" w:line="360" w:lineRule="auto"/>
        <w:rPr>
          <w:rFonts w:hint="default"/>
          <w:highlight w:val="none"/>
          <w:lang w:val="en-US" w:eastAsia="zh-CN"/>
        </w:rPr>
      </w:pPr>
      <w:r>
        <w:rPr>
          <w:rFonts w:hint="eastAsia"/>
          <w:highlight w:val="none"/>
          <w:lang w:val="en-US" w:eastAsia="zh-CN"/>
        </w:rPr>
        <w:t>图3-2 《农房抗震改造技术规程》</w:t>
      </w:r>
    </w:p>
    <w:p w14:paraId="6545472B">
      <w:pPr>
        <w:keepNext w:val="0"/>
        <w:keepLines w:val="0"/>
        <w:pageBreakBefore w:val="0"/>
        <w:widowControl w:val="0"/>
        <w:kinsoku/>
        <w:wordWrap/>
        <w:overflowPunct/>
        <w:topLinePunct w:val="0"/>
        <w:autoSpaceDE/>
        <w:autoSpaceDN/>
        <w:bidi w:val="0"/>
        <w:adjustRightInd/>
        <w:snapToGrid/>
        <w:spacing w:beforeAutospacing="0" w:line="360" w:lineRule="auto"/>
        <w:ind w:firstLine="560" w:firstLineChars="200"/>
        <w:textAlignment w:val="auto"/>
        <w:rPr>
          <w:rFonts w:hint="eastAsia"/>
          <w:highlight w:val="none"/>
          <w:lang w:val="en-US" w:eastAsia="zh-CN"/>
        </w:rPr>
      </w:pPr>
      <w:r>
        <w:rPr>
          <w:rFonts w:hint="eastAsia"/>
          <w:highlight w:val="none"/>
          <w:lang w:val="en-US" w:eastAsia="zh-CN"/>
        </w:rPr>
        <w:t>陕西省政府和甘肃省政府强制学校和医院使用减隔震技术，并由甘肃省住建厅细化监督管理要求。震后，这些建筑能迅速投入使用，确保教育和医疗服务不中断。学校成为临时避难和救援物资分发点，保障受灾学生的学习和生活秩序；医院则能够正常运转，及时救治伤员，满足震后对医疗资源的迫切需求。严格的质量监督管理，也保障了这些关键建筑在震后发挥应有作用，增强了社会应对灾害的信心。</w:t>
      </w:r>
    </w:p>
    <w:p w14:paraId="5F1F07E4">
      <w:pPr>
        <w:keepNext w:val="0"/>
        <w:keepLines w:val="0"/>
        <w:pageBreakBefore w:val="0"/>
        <w:widowControl w:val="0"/>
        <w:kinsoku/>
        <w:wordWrap/>
        <w:overflowPunct/>
        <w:topLinePunct w:val="0"/>
        <w:autoSpaceDE/>
        <w:autoSpaceDN/>
        <w:bidi w:val="0"/>
        <w:adjustRightInd/>
        <w:snapToGrid/>
        <w:spacing w:afterAutospacing="0" w:line="360" w:lineRule="auto"/>
        <w:ind w:firstLine="0" w:firstLineChars="0"/>
        <w:jc w:val="center"/>
        <w:textAlignment w:val="auto"/>
        <w:rPr>
          <w:rFonts w:hint="eastAsia"/>
          <w:highlight w:val="none"/>
          <w:lang w:val="en-US" w:eastAsia="zh-CN"/>
        </w:rPr>
      </w:pPr>
      <w:r>
        <w:rPr>
          <w:highlight w:val="none"/>
        </w:rPr>
        <w:drawing>
          <wp:inline distT="0" distB="0" distL="114300" distR="114300">
            <wp:extent cx="3599815" cy="2520315"/>
            <wp:effectExtent l="0" t="0" r="6985" b="698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23"/>
                    <a:stretch>
                      <a:fillRect/>
                    </a:stretch>
                  </pic:blipFill>
                  <pic:spPr>
                    <a:xfrm>
                      <a:off x="0" y="0"/>
                      <a:ext cx="3599815" cy="2520315"/>
                    </a:xfrm>
                    <a:prstGeom prst="rect">
                      <a:avLst/>
                    </a:prstGeom>
                    <a:noFill/>
                    <a:ln>
                      <a:noFill/>
                    </a:ln>
                  </pic:spPr>
                </pic:pic>
              </a:graphicData>
            </a:graphic>
          </wp:inline>
        </w:drawing>
      </w:r>
    </w:p>
    <w:p w14:paraId="6AA43530">
      <w:pPr>
        <w:pStyle w:val="5"/>
        <w:bidi w:val="0"/>
        <w:spacing w:before="120" w:beforeLines="50" w:beforeAutospacing="0" w:line="360" w:lineRule="auto"/>
        <w:rPr>
          <w:rFonts w:hint="eastAsia"/>
          <w:highlight w:val="none"/>
          <w:lang w:val="en-US" w:eastAsia="zh-CN"/>
        </w:rPr>
      </w:pPr>
      <w:r>
        <w:rPr>
          <w:rFonts w:hint="eastAsia"/>
          <w:highlight w:val="none"/>
          <w:lang w:val="en-US" w:eastAsia="zh-CN"/>
        </w:rPr>
        <w:t>图3-3 《陕西省防震减灾条例》</w:t>
      </w:r>
    </w:p>
    <w:p w14:paraId="2651BDF6">
      <w:pPr>
        <w:spacing w:line="360" w:lineRule="auto"/>
        <w:rPr>
          <w:rFonts w:hint="default"/>
          <w:highlight w:val="none"/>
          <w:lang w:val="en-US" w:eastAsia="zh-CN"/>
        </w:rPr>
      </w:pPr>
      <w:r>
        <w:rPr>
          <w:rFonts w:hint="eastAsia"/>
          <w:highlight w:val="none"/>
          <w:lang w:val="en-US" w:eastAsia="zh-CN"/>
        </w:rPr>
        <w:br w:type="page"/>
      </w:r>
    </w:p>
    <w:p w14:paraId="25152E6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highlight w:val="none"/>
          <w:lang w:val="en-US" w:eastAsia="zh-CN"/>
        </w:rPr>
      </w:pPr>
      <w:r>
        <w:rPr>
          <w:rFonts w:hint="eastAsia"/>
          <w:highlight w:val="none"/>
          <w:lang w:val="en-US" w:eastAsia="zh-CN"/>
        </w:rPr>
        <w:t>山东省政府对学校和三级医院建设强制使用减隔震产品，有效保障了人员密集场所的安全。震后，这些建筑不易倒塌损毁，能够保护大量师生和患者的生命安全，减少伤亡人数。同时，完整的学校和医院建筑为震后应急救援、临时安置和医疗救治提供了可靠场所。</w:t>
      </w:r>
    </w:p>
    <w:p w14:paraId="11145F16">
      <w:pPr>
        <w:keepNext w:val="0"/>
        <w:keepLines w:val="0"/>
        <w:pageBreakBefore w:val="0"/>
        <w:widowControl w:val="0"/>
        <w:kinsoku/>
        <w:wordWrap/>
        <w:overflowPunct/>
        <w:topLinePunct w:val="0"/>
        <w:autoSpaceDE/>
        <w:autoSpaceDN/>
        <w:bidi w:val="0"/>
        <w:adjustRightInd/>
        <w:snapToGrid/>
        <w:spacing w:afterAutospacing="0" w:line="360" w:lineRule="auto"/>
        <w:ind w:firstLine="0" w:firstLineChars="0"/>
        <w:jc w:val="center"/>
        <w:textAlignment w:val="auto"/>
        <w:rPr>
          <w:rFonts w:hint="eastAsia"/>
          <w:highlight w:val="none"/>
          <w:lang w:val="en-US" w:eastAsia="zh-CN"/>
        </w:rPr>
      </w:pPr>
      <w:r>
        <w:rPr>
          <w:highlight w:val="none"/>
        </w:rPr>
        <w:drawing>
          <wp:inline distT="0" distB="0" distL="114300" distR="114300">
            <wp:extent cx="3599815" cy="2520315"/>
            <wp:effectExtent l="0" t="0" r="6985" b="6985"/>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pic:cNvPicPr>
                  </pic:nvPicPr>
                  <pic:blipFill>
                    <a:blip r:embed="rId24"/>
                    <a:stretch>
                      <a:fillRect/>
                    </a:stretch>
                  </pic:blipFill>
                  <pic:spPr>
                    <a:xfrm>
                      <a:off x="0" y="0"/>
                      <a:ext cx="3599815" cy="2520315"/>
                    </a:xfrm>
                    <a:prstGeom prst="rect">
                      <a:avLst/>
                    </a:prstGeom>
                    <a:noFill/>
                    <a:ln>
                      <a:noFill/>
                    </a:ln>
                  </pic:spPr>
                </pic:pic>
              </a:graphicData>
            </a:graphic>
          </wp:inline>
        </w:drawing>
      </w:r>
    </w:p>
    <w:p w14:paraId="3EBF965E">
      <w:pPr>
        <w:pStyle w:val="5"/>
        <w:bidi w:val="0"/>
        <w:spacing w:before="84" w:beforeLines="35" w:beforeAutospacing="0" w:afterAutospacing="0" w:line="360" w:lineRule="auto"/>
        <w:rPr>
          <w:rFonts w:hint="default"/>
          <w:highlight w:val="none"/>
          <w:lang w:val="en-US" w:eastAsia="zh-CN"/>
        </w:rPr>
      </w:pPr>
      <w:r>
        <w:rPr>
          <w:rFonts w:hint="eastAsia"/>
          <w:highlight w:val="none"/>
          <w:lang w:val="en-US" w:eastAsia="zh-CN"/>
        </w:rPr>
        <w:t>图3-4 山东省防震减灾第十四个五年规划</w:t>
      </w:r>
    </w:p>
    <w:p w14:paraId="14CFDD56">
      <w:pPr>
        <w:keepNext w:val="0"/>
        <w:keepLines w:val="0"/>
        <w:pageBreakBefore w:val="0"/>
        <w:widowControl w:val="0"/>
        <w:kinsoku/>
        <w:wordWrap/>
        <w:overflowPunct/>
        <w:topLinePunct w:val="0"/>
        <w:autoSpaceDE/>
        <w:autoSpaceDN/>
        <w:bidi w:val="0"/>
        <w:adjustRightInd/>
        <w:snapToGrid/>
        <w:spacing w:beforeAutospacing="0" w:line="360" w:lineRule="auto"/>
        <w:ind w:firstLine="560" w:firstLineChars="200"/>
        <w:textAlignment w:val="auto"/>
        <w:rPr>
          <w:rFonts w:hint="eastAsia"/>
          <w:highlight w:val="none"/>
          <w:lang w:val="en-US" w:eastAsia="zh-CN"/>
        </w:rPr>
      </w:pPr>
      <w:r>
        <w:rPr>
          <w:rFonts w:hint="eastAsia"/>
          <w:highlight w:val="none"/>
          <w:lang w:val="en-US" w:eastAsia="zh-CN"/>
        </w:rPr>
        <w:t>新疆维吾尔自治区政府实施的减隔震技术强制政策，结合2024年施行的管理办法，针对高烈度设防地区和重点建筑进行规范。震后，采用减隔震技术的房屋和市政工程，能维持基本功能，保障居民的水电供应、交通通行等生活需求。</w:t>
      </w:r>
    </w:p>
    <w:p w14:paraId="177F39F2">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highlight w:val="none"/>
          <w:lang w:val="en-US" w:eastAsia="zh-CN"/>
        </w:rPr>
      </w:pPr>
      <w:r>
        <w:rPr>
          <w:highlight w:val="none"/>
        </w:rPr>
        <w:drawing>
          <wp:inline distT="0" distB="0" distL="114300" distR="114300">
            <wp:extent cx="3599815" cy="2520315"/>
            <wp:effectExtent l="0" t="0" r="6985" b="698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pic:cNvPicPr>
                  </pic:nvPicPr>
                  <pic:blipFill>
                    <a:blip r:embed="rId25"/>
                    <a:stretch>
                      <a:fillRect/>
                    </a:stretch>
                  </pic:blipFill>
                  <pic:spPr>
                    <a:xfrm>
                      <a:off x="0" y="0"/>
                      <a:ext cx="3599815" cy="2520315"/>
                    </a:xfrm>
                    <a:prstGeom prst="rect">
                      <a:avLst/>
                    </a:prstGeom>
                    <a:noFill/>
                    <a:ln>
                      <a:noFill/>
                    </a:ln>
                  </pic:spPr>
                </pic:pic>
              </a:graphicData>
            </a:graphic>
          </wp:inline>
        </w:drawing>
      </w:r>
    </w:p>
    <w:p w14:paraId="68DF9103">
      <w:pPr>
        <w:pStyle w:val="5"/>
        <w:bidi w:val="0"/>
        <w:spacing w:line="360" w:lineRule="auto"/>
        <w:rPr>
          <w:rFonts w:hint="default"/>
          <w:highlight w:val="none"/>
          <w:lang w:val="en-US" w:eastAsia="zh-CN"/>
        </w:rPr>
      </w:pPr>
      <w:r>
        <w:rPr>
          <w:rFonts w:hint="eastAsia"/>
          <w:highlight w:val="none"/>
          <w:lang w:val="en-US" w:eastAsia="zh-CN"/>
        </w:rPr>
        <w:t>图3-5 新疆实施《中国防震减灾法》办法</w:t>
      </w:r>
    </w:p>
    <w:p w14:paraId="7F3904D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highlight w:val="none"/>
          <w:lang w:val="en-US" w:eastAsia="zh-CN"/>
        </w:rPr>
      </w:pPr>
      <w:r>
        <w:rPr>
          <w:rFonts w:hint="eastAsia"/>
          <w:highlight w:val="none"/>
          <w:lang w:val="en-US" w:eastAsia="zh-CN"/>
        </w:rPr>
        <w:t>四川省政府鼓励学校、医院等建筑使用减隔震产品并给予财政补贴，在雅安芦山县人民医院改造项目中成效显著。震后，这些应用减隔震技术的建筑能够快速恢复使用功能，医院可以立即开展伤员救治工作，为抢救生命赢得宝贵时间。</w:t>
      </w:r>
    </w:p>
    <w:p w14:paraId="032D06A4">
      <w:pPr>
        <w:keepNext w:val="0"/>
        <w:keepLines w:val="0"/>
        <w:pageBreakBefore w:val="0"/>
        <w:widowControl w:val="0"/>
        <w:kinsoku/>
        <w:wordWrap/>
        <w:overflowPunct/>
        <w:topLinePunct w:val="0"/>
        <w:autoSpaceDE/>
        <w:autoSpaceDN/>
        <w:bidi w:val="0"/>
        <w:adjustRightInd/>
        <w:snapToGrid/>
        <w:spacing w:afterAutospacing="0" w:line="360" w:lineRule="auto"/>
        <w:ind w:firstLine="0" w:firstLineChars="0"/>
        <w:jc w:val="center"/>
        <w:textAlignment w:val="auto"/>
        <w:rPr>
          <w:rFonts w:hint="eastAsia"/>
          <w:highlight w:val="none"/>
          <w:lang w:val="en-US" w:eastAsia="zh-CN"/>
        </w:rPr>
      </w:pPr>
      <w:r>
        <w:rPr>
          <w:rFonts w:hint="eastAsia"/>
          <w:highlight w:val="none"/>
          <w:lang w:val="en-US" w:eastAsia="zh-CN"/>
        </w:rPr>
        <w:drawing>
          <wp:inline distT="0" distB="0" distL="114300" distR="114300">
            <wp:extent cx="3599815" cy="2520315"/>
            <wp:effectExtent l="0" t="0" r="6985" b="6985"/>
            <wp:docPr id="76" name="图片 76" descr="15bd169dca5c05580c9a184eb45e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15bd169dca5c05580c9a184eb45e635"/>
                    <pic:cNvPicPr>
                      <a:picLocks noChangeAspect="1"/>
                    </pic:cNvPicPr>
                  </pic:nvPicPr>
                  <pic:blipFill>
                    <a:blip r:embed="rId26"/>
                    <a:stretch>
                      <a:fillRect/>
                    </a:stretch>
                  </pic:blipFill>
                  <pic:spPr>
                    <a:xfrm>
                      <a:off x="0" y="0"/>
                      <a:ext cx="3599815" cy="2520315"/>
                    </a:xfrm>
                    <a:prstGeom prst="rect">
                      <a:avLst/>
                    </a:prstGeom>
                  </pic:spPr>
                </pic:pic>
              </a:graphicData>
            </a:graphic>
          </wp:inline>
        </w:drawing>
      </w:r>
    </w:p>
    <w:p w14:paraId="6AE36FE5">
      <w:pPr>
        <w:pStyle w:val="5"/>
        <w:bidi w:val="0"/>
        <w:spacing w:before="70" w:beforeLines="29" w:beforeAutospacing="0" w:after="70" w:afterLines="29" w:afterAutospacing="0" w:line="360" w:lineRule="auto"/>
        <w:rPr>
          <w:rFonts w:hint="eastAsia"/>
          <w:highlight w:val="none"/>
          <w:lang w:val="en-US" w:eastAsia="zh-CN"/>
        </w:rPr>
      </w:pPr>
      <w:r>
        <w:rPr>
          <w:rFonts w:hint="eastAsia"/>
          <w:highlight w:val="none"/>
          <w:lang w:val="en-US" w:eastAsia="zh-CN"/>
        </w:rPr>
        <w:t>图3-6 《汶川地震灾后重建技术导则》</w:t>
      </w:r>
    </w:p>
    <w:p w14:paraId="09DDA6B6">
      <w:pPr>
        <w:keepNext w:val="0"/>
        <w:keepLines w:val="0"/>
        <w:pageBreakBefore w:val="0"/>
        <w:widowControl w:val="0"/>
        <w:kinsoku/>
        <w:wordWrap/>
        <w:overflowPunct/>
        <w:topLinePunct w:val="0"/>
        <w:autoSpaceDE/>
        <w:autoSpaceDN/>
        <w:bidi w:val="0"/>
        <w:adjustRightInd/>
        <w:snapToGrid/>
        <w:spacing w:beforeAutospacing="0" w:line="360" w:lineRule="auto"/>
        <w:ind w:firstLine="560" w:firstLineChars="200"/>
        <w:textAlignment w:val="auto"/>
        <w:rPr>
          <w:rFonts w:hint="eastAsia"/>
          <w:highlight w:val="none"/>
          <w:lang w:val="en-US" w:eastAsia="zh-CN"/>
        </w:rPr>
      </w:pPr>
      <w:r>
        <w:rPr>
          <w:rFonts w:hint="eastAsia"/>
          <w:highlight w:val="none"/>
          <w:lang w:val="en-US" w:eastAsia="zh-CN"/>
        </w:rPr>
        <w:t>海南省等地区政府鼓励学校、医院等建筑优先使用减隔震产品，虽然当前政策力度相对柔性，但随着对建筑抗震安全重视程度的提升，未来将更好地满足震后社会需求。</w:t>
      </w:r>
    </w:p>
    <w:p w14:paraId="3DE4EAB1">
      <w:pPr>
        <w:keepNext w:val="0"/>
        <w:keepLines w:val="0"/>
        <w:pageBreakBefore w:val="0"/>
        <w:widowControl w:val="0"/>
        <w:kinsoku/>
        <w:wordWrap/>
        <w:overflowPunct/>
        <w:topLinePunct w:val="0"/>
        <w:autoSpaceDE/>
        <w:autoSpaceDN/>
        <w:bidi w:val="0"/>
        <w:adjustRightInd/>
        <w:snapToGrid/>
        <w:spacing w:afterAutospacing="0" w:line="360" w:lineRule="auto"/>
        <w:ind w:firstLine="0" w:firstLineChars="0"/>
        <w:jc w:val="center"/>
        <w:textAlignment w:val="auto"/>
        <w:rPr>
          <w:rFonts w:hint="eastAsia"/>
          <w:highlight w:val="none"/>
          <w:lang w:val="en-US" w:eastAsia="zh-CN"/>
        </w:rPr>
      </w:pPr>
      <w:r>
        <w:rPr>
          <w:highlight w:val="none"/>
        </w:rPr>
        <w:drawing>
          <wp:inline distT="0" distB="0" distL="114300" distR="114300">
            <wp:extent cx="3599815" cy="2520315"/>
            <wp:effectExtent l="0" t="0" r="6985" b="6985"/>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pic:cNvPicPr>
                  </pic:nvPicPr>
                  <pic:blipFill>
                    <a:blip r:embed="rId27"/>
                    <a:stretch>
                      <a:fillRect/>
                    </a:stretch>
                  </pic:blipFill>
                  <pic:spPr>
                    <a:xfrm>
                      <a:off x="0" y="0"/>
                      <a:ext cx="3599815" cy="2520315"/>
                    </a:xfrm>
                    <a:prstGeom prst="rect">
                      <a:avLst/>
                    </a:prstGeom>
                    <a:noFill/>
                    <a:ln>
                      <a:noFill/>
                    </a:ln>
                  </pic:spPr>
                </pic:pic>
              </a:graphicData>
            </a:graphic>
          </wp:inline>
        </w:drawing>
      </w:r>
    </w:p>
    <w:p w14:paraId="637DCF5D">
      <w:pPr>
        <w:pStyle w:val="5"/>
        <w:bidi w:val="0"/>
        <w:spacing w:before="70" w:beforeLines="29" w:beforeAutospacing="0" w:after="120" w:afterLines="50" w:afterAutospacing="0" w:line="360" w:lineRule="auto"/>
        <w:rPr>
          <w:rFonts w:hint="eastAsia"/>
          <w:highlight w:val="none"/>
          <w:lang w:val="en-US" w:eastAsia="zh-CN"/>
        </w:rPr>
      </w:pPr>
      <w:r>
        <w:rPr>
          <w:rFonts w:hint="eastAsia"/>
          <w:highlight w:val="none"/>
          <w:lang w:val="en-US" w:eastAsia="zh-CN"/>
        </w:rPr>
        <w:t>图3-7 海南省防震减灾规定</w:t>
      </w:r>
    </w:p>
    <w:p w14:paraId="3E274DC7">
      <w:pPr>
        <w:spacing w:line="360" w:lineRule="auto"/>
        <w:rPr>
          <w:rFonts w:hint="default"/>
          <w:highlight w:val="none"/>
          <w:lang w:val="en-US" w:eastAsia="zh-CN"/>
        </w:rPr>
      </w:pPr>
      <w:r>
        <w:rPr>
          <w:rFonts w:hint="default"/>
          <w:highlight w:val="none"/>
          <w:lang w:val="en-US" w:eastAsia="zh-CN"/>
        </w:rPr>
        <w:br w:type="page"/>
      </w:r>
    </w:p>
    <w:p w14:paraId="77D181DB">
      <w:pPr>
        <w:pStyle w:val="3"/>
        <w:keepNext/>
        <w:keepLines/>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bookmarkStart w:id="44" w:name="_Toc7988"/>
      <w:bookmarkStart w:id="45" w:name="_Toc28966"/>
      <w:r>
        <w:rPr>
          <w:rFonts w:hint="default"/>
          <w:highlight w:val="none"/>
          <w:lang w:val="en-US" w:eastAsia="zh-CN"/>
        </w:rPr>
        <w:t>3.</w:t>
      </w:r>
      <w:r>
        <w:rPr>
          <w:rFonts w:hint="eastAsia"/>
          <w:highlight w:val="none"/>
          <w:lang w:val="en-US" w:eastAsia="zh-CN"/>
        </w:rPr>
        <w:t>2市场隔震</w:t>
      </w:r>
      <w:r>
        <w:rPr>
          <w:rFonts w:hint="default"/>
          <w:highlight w:val="none"/>
          <w:lang w:val="en-US" w:eastAsia="zh-CN"/>
        </w:rPr>
        <w:t>需求规模</w:t>
      </w:r>
      <w:bookmarkEnd w:id="44"/>
      <w:bookmarkEnd w:id="45"/>
    </w:p>
    <w:p w14:paraId="5E100A63">
      <w:pPr>
        <w:pStyle w:val="4"/>
        <w:keepNext/>
        <w:keepLines/>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bookmarkStart w:id="46" w:name="_Toc21065"/>
      <w:bookmarkStart w:id="47" w:name="_Toc8713"/>
      <w:r>
        <w:rPr>
          <w:rFonts w:hint="eastAsia"/>
          <w:highlight w:val="none"/>
          <w:lang w:val="en-US" w:eastAsia="zh-CN"/>
        </w:rPr>
        <w:t>3.2.1村镇建筑隔震市场</w:t>
      </w:r>
      <w:bookmarkEnd w:id="46"/>
      <w:bookmarkEnd w:id="47"/>
    </w:p>
    <w:p w14:paraId="3E4C45B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我国地处环太平洋地震带与欧亚地震带交汇区，全国58%的国土面积、71%的县级行政区位于地震烈度7度及以上高风险区，其中川滇地震带、华北地震带及新疆地震带覆盖的农村地区，农居抗震改造需求最为迫切。据住建部数据，云南、四川、甘肃等地震多发省份农村自建房未达抗震设防标准的比例超过65%，形成隔震技术推广的核心市场；华北、西北等中强度风险区域覆盖9省份，涉及4200万农户，构成潜在增量市场。防震减灾</w:t>
      </w:r>
      <w:r>
        <w:rPr>
          <w:rFonts w:hint="eastAsia"/>
          <w:highlight w:val="none"/>
          <w:lang w:val="en-US" w:eastAsia="zh-CN"/>
        </w:rPr>
        <w:t>“</w:t>
      </w:r>
      <w:r>
        <w:rPr>
          <w:rFonts w:hint="default"/>
          <w:highlight w:val="none"/>
          <w:lang w:val="en-US" w:eastAsia="zh-CN"/>
        </w:rPr>
        <w:t>十三五</w:t>
      </w:r>
      <w:r>
        <w:rPr>
          <w:rFonts w:hint="eastAsia"/>
          <w:highlight w:val="none"/>
          <w:lang w:val="en-US" w:eastAsia="zh-CN"/>
        </w:rPr>
        <w:t>”</w:t>
      </w:r>
      <w:r>
        <w:rPr>
          <w:rFonts w:hint="default"/>
          <w:highlight w:val="none"/>
          <w:lang w:val="en-US" w:eastAsia="zh-CN"/>
        </w:rPr>
        <w:t>规划实施情况与全国人大常委会执法检查组的反馈表明，农村地区未达抗震设防标准的自建房屋仍占相当大比例，这一庞大群体的居住安全亟待重视。</w:t>
      </w:r>
    </w:p>
    <w:p w14:paraId="58E56317">
      <w:pPr>
        <w:keepNext w:val="0"/>
        <w:keepLines w:val="0"/>
        <w:pageBreakBefore w:val="0"/>
        <w:widowControl w:val="0"/>
        <w:kinsoku/>
        <w:wordWrap/>
        <w:overflowPunct/>
        <w:topLinePunct w:val="0"/>
        <w:autoSpaceDE/>
        <w:autoSpaceDN/>
        <w:bidi w:val="0"/>
        <w:adjustRightInd/>
        <w:snapToGrid/>
        <w:spacing w:afterAutospacing="0" w:line="360" w:lineRule="auto"/>
        <w:ind w:firstLine="0" w:firstLineChars="0"/>
        <w:jc w:val="center"/>
        <w:textAlignment w:val="auto"/>
        <w:rPr>
          <w:rFonts w:hint="default"/>
          <w:highlight w:val="none"/>
          <w:lang w:val="en-US" w:eastAsia="zh-CN"/>
        </w:rPr>
      </w:pPr>
      <w:r>
        <w:rPr>
          <w:rFonts w:hint="default"/>
          <w:highlight w:val="none"/>
          <w:lang w:val="en-US" w:eastAsia="zh-CN"/>
        </w:rPr>
        <w:drawing>
          <wp:inline distT="0" distB="0" distL="114300" distR="114300">
            <wp:extent cx="3599815" cy="2520315"/>
            <wp:effectExtent l="0" t="0" r="6985" b="6985"/>
            <wp:docPr id="132" name="图片 132" descr="c298738103f5db64842f2a5ffb4f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c298738103f5db64842f2a5ffb4f8d8"/>
                    <pic:cNvPicPr>
                      <a:picLocks noChangeAspect="1"/>
                    </pic:cNvPicPr>
                  </pic:nvPicPr>
                  <pic:blipFill>
                    <a:blip r:embed="rId28"/>
                    <a:stretch>
                      <a:fillRect/>
                    </a:stretch>
                  </pic:blipFill>
                  <pic:spPr>
                    <a:xfrm>
                      <a:off x="0" y="0"/>
                      <a:ext cx="3599815" cy="2520315"/>
                    </a:xfrm>
                    <a:prstGeom prst="rect">
                      <a:avLst/>
                    </a:prstGeom>
                  </pic:spPr>
                </pic:pic>
              </a:graphicData>
            </a:graphic>
          </wp:inline>
        </w:drawing>
      </w:r>
    </w:p>
    <w:p w14:paraId="727BFF5F">
      <w:pPr>
        <w:pStyle w:val="5"/>
        <w:bidi w:val="0"/>
        <w:spacing w:before="120" w:beforeLines="50" w:beforeAutospacing="0" w:after="67" w:afterLines="28" w:afterAutospacing="0" w:line="360" w:lineRule="auto"/>
        <w:rPr>
          <w:rFonts w:hint="default"/>
          <w:highlight w:val="none"/>
          <w:lang w:val="en-US" w:eastAsia="zh-CN"/>
        </w:rPr>
      </w:pPr>
      <w:r>
        <w:rPr>
          <w:rFonts w:hint="eastAsia"/>
          <w:highlight w:val="none"/>
          <w:lang w:val="en-US" w:eastAsia="zh-CN"/>
        </w:rPr>
        <w:t>图3-8 中国不同地区农居市场占比</w:t>
      </w:r>
    </w:p>
    <w:p w14:paraId="77C169D1">
      <w:pPr>
        <w:keepNext w:val="0"/>
        <w:keepLines w:val="0"/>
        <w:pageBreakBefore w:val="0"/>
        <w:widowControl w:val="0"/>
        <w:kinsoku/>
        <w:wordWrap/>
        <w:overflowPunct/>
        <w:topLinePunct w:val="0"/>
        <w:autoSpaceDE/>
        <w:autoSpaceDN/>
        <w:bidi w:val="0"/>
        <w:adjustRightInd/>
        <w:snapToGrid/>
        <w:spacing w:beforeAutospacing="0" w:line="360" w:lineRule="auto"/>
        <w:ind w:firstLine="560" w:firstLineChars="200"/>
        <w:textAlignment w:val="auto"/>
        <w:rPr>
          <w:rFonts w:hint="default"/>
          <w:highlight w:val="none"/>
          <w:lang w:val="en-US" w:eastAsia="zh-CN"/>
        </w:rPr>
      </w:pPr>
      <w:r>
        <w:rPr>
          <w:rFonts w:hint="default"/>
          <w:highlight w:val="none"/>
          <w:lang w:val="en-US" w:eastAsia="zh-CN"/>
        </w:rPr>
        <w:t>目前隔震技术主要应用于商业地产、公共设施等重点领域，尚未出现专门针对农村自建房单体规模小、利润空间低等特点的专项产品。调研团队对昆明市富民县赤鹫镇5个自然村进行实地勘察，发现所有农居建筑均无正规设计，由当地施工队依据传统工艺建造。受山区地形限制，部分房屋选址存在地质安全隐患。调查显示，村民普遍缺乏抗震技术常识，仅40%受访农户在初步了解隔震技术后表示安装意愿，其余农户主要因成本问题持观望态度。农村隔震市场虽潜力巨大，但目前受限于经济基础薄弱、成本敏感度高及盈利路径不明确等现实因素，仍处于待开发状态。</w:t>
      </w:r>
    </w:p>
    <w:p w14:paraId="0FB0A0C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按单户农居隔震改造成本1万元测算，全国16115万农户中，处于高烈度区的4834万户构成刚性需求市场，中低风险区农户按15%改造意愿测算，可形成2417万户弹性需求市场，叠加地方财政补贴撬动效应，市场规模可达100亿元级。面对如此庞大的市场空间与地域分布特征，传统单一企业运营模式和推广方式难以有效覆盖，必须因地制宜制定区域性解决方案。但需注意，青藏高原边缘地带受限于运输成本，隔震装置落地成本较平原地区高37%，而华北平原地区因规模化施工条件优越，可形成15%的成本优化空间，这要求产品研发需建立差异化区域适配体系。</w:t>
      </w:r>
    </w:p>
    <w:p w14:paraId="324DDFF1">
      <w:pPr>
        <w:pStyle w:val="4"/>
        <w:keepNext/>
        <w:keepLines/>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bookmarkStart w:id="48" w:name="_Toc2157"/>
      <w:bookmarkStart w:id="49" w:name="_Toc29285"/>
      <w:r>
        <w:rPr>
          <w:rFonts w:hint="eastAsia"/>
          <w:highlight w:val="none"/>
          <w:lang w:val="en-US" w:eastAsia="zh-CN"/>
        </w:rPr>
        <w:t>3.2.2需求增长预测</w:t>
      </w:r>
      <w:bookmarkEnd w:id="48"/>
      <w:bookmarkEnd w:id="49"/>
    </w:p>
    <w:p w14:paraId="7AA0063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本项目面向具有提升住房抗震需求的新型农业经营主体，覆盖灾后重建、易地搬迁、存量农房改造等多元场景。据行业测算，全国约5000万户乡村住宅的抗震能力亟待强化升级。核心隔震方案通过切断地震波能量向建筑本体的传输通道，系统性提升乡村建筑的抗震安全等级。得益于技术革新，经四省五市（州）实证测算，该技术应用的单方增量成本不超过50元/平方米。经济发达的中东部乡镇可自主实施，西部欠发达区域通过适度财政补贴亦可顺利推进。</w:t>
      </w:r>
    </w:p>
    <w:p w14:paraId="51F96BED">
      <w:pPr>
        <w:keepNext w:val="0"/>
        <w:keepLines w:val="0"/>
        <w:pageBreakBefore w:val="0"/>
        <w:widowControl w:val="0"/>
        <w:kinsoku/>
        <w:wordWrap/>
        <w:overflowPunct/>
        <w:topLinePunct w:val="0"/>
        <w:autoSpaceDE/>
        <w:autoSpaceDN/>
        <w:bidi w:val="0"/>
        <w:adjustRightInd/>
        <w:snapToGrid/>
        <w:spacing w:afterAutospacing="0" w:line="360" w:lineRule="auto"/>
        <w:ind w:firstLine="0" w:firstLineChars="0"/>
        <w:jc w:val="center"/>
        <w:textAlignment w:val="auto"/>
        <w:rPr>
          <w:rFonts w:hint="default"/>
          <w:highlight w:val="none"/>
          <w:lang w:val="en-US" w:eastAsia="zh-CN"/>
        </w:rPr>
      </w:pPr>
      <w:r>
        <w:rPr>
          <w:highlight w:val="none"/>
        </w:rPr>
        <w:drawing>
          <wp:inline distT="0" distB="0" distL="114300" distR="114300">
            <wp:extent cx="4166235" cy="2799715"/>
            <wp:effectExtent l="0" t="0" r="0" b="0"/>
            <wp:docPr id="139"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71E24AF6">
      <w:pPr>
        <w:pStyle w:val="5"/>
        <w:bidi w:val="0"/>
        <w:spacing w:before="82" w:beforeLines="34" w:beforeAutospacing="0" w:after="82" w:afterLines="34" w:afterAutospacing="0" w:line="360" w:lineRule="auto"/>
        <w:rPr>
          <w:rFonts w:hint="default"/>
          <w:highlight w:val="none"/>
          <w:lang w:val="en-US" w:eastAsia="zh-CN"/>
        </w:rPr>
      </w:pPr>
      <w:r>
        <w:rPr>
          <w:rFonts w:hint="eastAsia"/>
          <w:highlight w:val="none"/>
          <w:lang w:val="en-US" w:eastAsia="zh-CN"/>
        </w:rPr>
        <w:t>图3-9 2021-2026年中国减隔震行业市场规模及增速</w:t>
      </w:r>
    </w:p>
    <w:p w14:paraId="35EF6777">
      <w:pPr>
        <w:keepNext w:val="0"/>
        <w:keepLines w:val="0"/>
        <w:pageBreakBefore w:val="0"/>
        <w:widowControl w:val="0"/>
        <w:kinsoku/>
        <w:wordWrap/>
        <w:overflowPunct/>
        <w:topLinePunct w:val="0"/>
        <w:autoSpaceDE/>
        <w:autoSpaceDN/>
        <w:bidi w:val="0"/>
        <w:adjustRightInd/>
        <w:snapToGrid/>
        <w:spacing w:beforeAutospacing="0" w:line="360" w:lineRule="auto"/>
        <w:ind w:firstLine="560" w:firstLineChars="200"/>
        <w:textAlignment w:val="auto"/>
        <w:rPr>
          <w:rFonts w:hint="default"/>
          <w:highlight w:val="none"/>
          <w:lang w:val="en-US" w:eastAsia="zh-CN"/>
        </w:rPr>
      </w:pPr>
      <w:r>
        <w:rPr>
          <w:rFonts w:hint="default"/>
          <w:highlight w:val="none"/>
          <w:lang w:val="en-US" w:eastAsia="zh-CN"/>
        </w:rPr>
        <w:t>作为抗震领域的前沿科技，该技术目前在国内建筑工程领域的渗透率仅突破万座关口，现阶段主要集中于重点公共建筑、交通枢纽及商品住宅等场景，尚处于市场培育期。受信息传播和认知水平限制，农村地区对新技术的接纳周期普遍滞后于城市，这在项目推广实践中尤为明显。为此，项目团队联合应急管理、地震监测等职能部门，通过科普宣教活动破除民众的侥幸心理，建立科学防灾意识，进而推动隔震技术在农居建设领域的应用。项目实施前，农村建筑领域隔震技术应用处于空白状态，现已完成</w:t>
      </w:r>
      <w:r>
        <w:rPr>
          <w:rFonts w:hint="eastAsia"/>
          <w:highlight w:val="none"/>
          <w:lang w:val="en-US" w:eastAsia="zh-CN"/>
        </w:rPr>
        <w:t>195</w:t>
      </w:r>
      <w:r>
        <w:rPr>
          <w:rFonts w:hint="default"/>
          <w:highlight w:val="none"/>
          <w:lang w:val="en-US" w:eastAsia="zh-CN"/>
        </w:rPr>
        <w:t>栋农居隔震改造工程，惠及逾</w:t>
      </w:r>
      <w:r>
        <w:rPr>
          <w:rFonts w:hint="eastAsia"/>
          <w:highlight w:val="none"/>
          <w:lang w:val="en-US" w:eastAsia="zh-CN"/>
        </w:rPr>
        <w:t>780</w:t>
      </w:r>
      <w:r>
        <w:rPr>
          <w:rFonts w:hint="default"/>
          <w:highlight w:val="none"/>
          <w:lang w:val="en-US" w:eastAsia="zh-CN"/>
        </w:rPr>
        <w:t>名</w:t>
      </w:r>
      <w:r>
        <w:rPr>
          <w:rFonts w:hint="eastAsia"/>
          <w:highlight w:val="none"/>
          <w:lang w:val="en-US" w:eastAsia="zh-CN"/>
        </w:rPr>
        <w:t>村民</w:t>
      </w:r>
      <w:r>
        <w:rPr>
          <w:rFonts w:hint="default"/>
          <w:highlight w:val="none"/>
          <w:lang w:val="en-US" w:eastAsia="zh-CN"/>
        </w:rPr>
        <w:t>。随着</w:t>
      </w:r>
      <w:r>
        <w:rPr>
          <w:rFonts w:hint="eastAsia"/>
          <w:highlight w:val="none"/>
          <w:lang w:val="en-US" w:eastAsia="zh-CN"/>
        </w:rPr>
        <w:t>震安科技等</w:t>
      </w:r>
      <w:r>
        <w:rPr>
          <w:rFonts w:hint="default"/>
          <w:highlight w:val="none"/>
          <w:lang w:val="en-US" w:eastAsia="zh-CN"/>
        </w:rPr>
        <w:t>社会责任型企业持续加入，技术覆盖规模将迎来指数级增长。</w:t>
      </w:r>
    </w:p>
    <w:p w14:paraId="2435ECF1">
      <w:pPr>
        <w:spacing w:line="360" w:lineRule="auto"/>
        <w:rPr>
          <w:rFonts w:hint="default"/>
          <w:highlight w:val="none"/>
          <w:lang w:val="en-US" w:eastAsia="zh-CN"/>
        </w:rPr>
      </w:pPr>
      <w:r>
        <w:rPr>
          <w:rFonts w:hint="default"/>
          <w:highlight w:val="none"/>
          <w:lang w:val="en-US" w:eastAsia="zh-CN"/>
        </w:rPr>
        <w:br w:type="page"/>
      </w:r>
    </w:p>
    <w:p w14:paraId="61290E93">
      <w:pPr>
        <w:pStyle w:val="3"/>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bookmarkStart w:id="50" w:name="_Toc1014"/>
      <w:bookmarkStart w:id="51" w:name="_Toc30987"/>
      <w:r>
        <w:rPr>
          <w:rFonts w:hint="default"/>
          <w:highlight w:val="none"/>
          <w:lang w:val="en-US" w:eastAsia="zh-CN"/>
        </w:rPr>
        <w:t>3.3抗震产业链</w:t>
      </w:r>
      <w:bookmarkEnd w:id="50"/>
      <w:bookmarkEnd w:id="51"/>
    </w:p>
    <w:p w14:paraId="0085985E">
      <w:pPr>
        <w:pStyle w:val="4"/>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bookmarkStart w:id="52" w:name="_Toc10878"/>
      <w:bookmarkStart w:id="53" w:name="_Toc1099"/>
      <w:r>
        <w:rPr>
          <w:rFonts w:hint="eastAsia"/>
          <w:highlight w:val="none"/>
          <w:lang w:val="en-US" w:eastAsia="zh-CN"/>
        </w:rPr>
        <w:t>3.3.1上游端</w:t>
      </w:r>
      <w:bookmarkEnd w:id="52"/>
      <w:bookmarkEnd w:id="53"/>
    </w:p>
    <w:p w14:paraId="4678116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在抗震建筑产业链中，上游环节主要聚焦于材料研发和生产工艺的创新升级，近年来正朝着绿色、智能的方向转型发展。以往常用的天然橡胶支座等传统隔震材料存在明显缺陷，比如单个支座重量超过</w:t>
      </w:r>
      <w:r>
        <w:rPr>
          <w:rFonts w:hint="eastAsia"/>
          <w:highlight w:val="none"/>
          <w:lang w:val="en-US" w:eastAsia="zh-CN"/>
        </w:rPr>
        <w:t>1</w:t>
      </w:r>
      <w:r>
        <w:rPr>
          <w:rFonts w:hint="default"/>
          <w:highlight w:val="none"/>
          <w:lang w:val="en-US" w:eastAsia="zh-CN"/>
        </w:rPr>
        <w:t>00公斤，搬运安装十分不便；采用冷粘结工艺制作的产品，超过一半会出现脱层问题。这些特性导致传统材料难以满足村镇建筑对低成本、轻量化的需求。</w:t>
      </w:r>
    </w:p>
    <w:p w14:paraId="138F40B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为解决这些问题，技术团队研发出新型材料和工艺。他们用拉伸强度达350MPa、水平刚度0.403KN/mm的纤维增强工程塑料板，替代厚重的传统钢板，同时采用热硫化工艺，通过持续3小时保压处理。这两项创新让单个支座重量降至</w:t>
      </w:r>
      <w:r>
        <w:rPr>
          <w:rFonts w:hint="eastAsia"/>
          <w:highlight w:val="none"/>
          <w:lang w:val="en-US" w:eastAsia="zh-CN"/>
        </w:rPr>
        <w:t>18</w:t>
      </w:r>
      <w:r>
        <w:rPr>
          <w:rFonts w:hint="default"/>
          <w:highlight w:val="none"/>
          <w:lang w:val="en-US" w:eastAsia="zh-CN"/>
        </w:rPr>
        <w:t>公斤，减重幅度高达83%，同时界面粘接强度提高了40%，基本杜绝了脱层现象。</w:t>
      </w:r>
    </w:p>
    <w:p w14:paraId="73713C1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这些技术革新带来了明显的产业协同效应。在材料方面，高阻尼橡胶和铅芯橡胶等复合材料的市场份额，从2015年的22%提升到2023年的55%，更好地满足了下游建筑对轻质、耐用材料的需求。在生产工艺方面，热硫化工艺的广泛应用，使生产线效率提升了30%，年生产能力突破10万套。</w:t>
      </w:r>
    </w:p>
    <w:p w14:paraId="1D4E244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政策支持与技术创新的相互配合，推动产业发展取得显著成效。据中国建筑科学研究院统计，2023年抗震材料市场规模超过420亿元，隔震支座年产量达到150万套，是政策实施前的3倍。更重要的是，整个产业生态发生积极变化：在政策鼓励下，像震安科技这样的行业龙头加大研发投入，研发经费占比提高到7.2%，并成功开发出适用于地震高发地区的三维隔震装置；众多中小企业则在检测评估、智能维护等细分领域深耕，形成了各自的专业优势。随着市场竞争更加充分，行业集中度有所下降，排名前十企业的市场份额占比，从2018年的68%降至2023年的52%，整个行业呈现出健康有序的发展态势。</w:t>
      </w:r>
    </w:p>
    <w:p w14:paraId="46FDC8B8">
      <w:pPr>
        <w:keepNext w:val="0"/>
        <w:keepLines w:val="0"/>
        <w:pageBreakBefore w:val="0"/>
        <w:widowControl w:val="0"/>
        <w:kinsoku/>
        <w:wordWrap/>
        <w:overflowPunct/>
        <w:topLinePunct w:val="0"/>
        <w:autoSpaceDE/>
        <w:autoSpaceDN/>
        <w:bidi w:val="0"/>
        <w:adjustRightInd/>
        <w:snapToGrid/>
        <w:spacing w:afterAutospacing="0" w:line="360" w:lineRule="auto"/>
        <w:ind w:firstLine="0" w:firstLineChars="0"/>
        <w:jc w:val="center"/>
        <w:textAlignment w:val="auto"/>
        <w:rPr>
          <w:rFonts w:hint="default"/>
          <w:highlight w:val="none"/>
          <w:lang w:val="en-US" w:eastAsia="zh-CN"/>
        </w:rPr>
      </w:pPr>
      <w:r>
        <w:rPr>
          <w:highlight w:val="none"/>
        </w:rPr>
        <w:drawing>
          <wp:inline distT="0" distB="0" distL="114300" distR="114300">
            <wp:extent cx="4172585" cy="2811780"/>
            <wp:effectExtent l="0" t="0" r="0" b="0"/>
            <wp:docPr id="140"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6317FC8C">
      <w:pPr>
        <w:pStyle w:val="5"/>
        <w:bidi w:val="0"/>
        <w:spacing w:before="120" w:beforeLines="50" w:beforeAutospacing="0" w:after="240" w:afterLines="100" w:afterAutospacing="0" w:line="360" w:lineRule="auto"/>
        <w:rPr>
          <w:rFonts w:hint="default"/>
          <w:highlight w:val="none"/>
          <w:lang w:val="en-US" w:eastAsia="zh-CN"/>
        </w:rPr>
      </w:pPr>
      <w:r>
        <w:rPr>
          <w:rFonts w:hint="eastAsia"/>
          <w:highlight w:val="none"/>
          <w:lang w:val="en-US" w:eastAsia="zh-CN"/>
        </w:rPr>
        <w:t>图3-10 2017-2022年中国建筑减隔震产量及销量</w:t>
      </w:r>
    </w:p>
    <w:p w14:paraId="2DDB66EE">
      <w:pPr>
        <w:pStyle w:val="4"/>
        <w:pageBreakBefore w:val="0"/>
        <w:widowControl w:val="0"/>
        <w:kinsoku/>
        <w:wordWrap/>
        <w:overflowPunct/>
        <w:topLinePunct w:val="0"/>
        <w:autoSpaceDE/>
        <w:autoSpaceDN/>
        <w:bidi w:val="0"/>
        <w:adjustRightInd/>
        <w:snapToGrid/>
        <w:spacing w:before="0" w:beforeLines="0" w:beforeAutospacing="0" w:line="360" w:lineRule="auto"/>
        <w:textAlignment w:val="auto"/>
        <w:rPr>
          <w:rFonts w:hint="default"/>
          <w:highlight w:val="none"/>
          <w:lang w:val="en-US" w:eastAsia="zh-CN"/>
        </w:rPr>
      </w:pPr>
      <w:bookmarkStart w:id="54" w:name="_Toc47"/>
      <w:bookmarkStart w:id="55" w:name="_Toc1062"/>
      <w:r>
        <w:rPr>
          <w:rFonts w:hint="eastAsia"/>
          <w:highlight w:val="none"/>
          <w:lang w:val="en-US" w:eastAsia="zh-CN"/>
        </w:rPr>
        <w:t>3.3.2下游端</w:t>
      </w:r>
      <w:bookmarkEnd w:id="54"/>
      <w:bookmarkEnd w:id="55"/>
    </w:p>
    <w:p w14:paraId="1A228AF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highlight w:val="none"/>
          <w:lang w:val="en-US" w:eastAsia="zh-CN"/>
        </w:rPr>
      </w:pPr>
      <w:r>
        <w:rPr>
          <w:rFonts w:hint="default"/>
          <w:highlight w:val="none"/>
          <w:lang w:val="en-US" w:eastAsia="zh-CN"/>
        </w:rPr>
        <w:t>在抗震建筑产业链下游，价值释放主要依托</w:t>
      </w:r>
      <w:r>
        <w:rPr>
          <w:rFonts w:hint="eastAsia"/>
          <w:highlight w:val="none"/>
          <w:lang w:val="en-US" w:eastAsia="zh-CN"/>
        </w:rPr>
        <w:t>“</w:t>
      </w:r>
      <w:r>
        <w:rPr>
          <w:rFonts w:hint="default"/>
          <w:highlight w:val="none"/>
          <w:lang w:val="en-US" w:eastAsia="zh-CN"/>
        </w:rPr>
        <w:t>政策驱动</w:t>
      </w:r>
      <w:r>
        <w:rPr>
          <w:rFonts w:hint="eastAsia"/>
          <w:highlight w:val="none"/>
          <w:lang w:val="en-US" w:eastAsia="zh-CN"/>
        </w:rPr>
        <w:t>”</w:t>
      </w:r>
      <w:r>
        <w:rPr>
          <w:rFonts w:hint="default"/>
          <w:highlight w:val="none"/>
          <w:lang w:val="en-US" w:eastAsia="zh-CN"/>
        </w:rPr>
        <w:t>与</w:t>
      </w:r>
      <w:r>
        <w:rPr>
          <w:rFonts w:hint="eastAsia"/>
          <w:highlight w:val="none"/>
          <w:lang w:val="en-US" w:eastAsia="zh-CN"/>
        </w:rPr>
        <w:t>“</w:t>
      </w:r>
      <w:r>
        <w:rPr>
          <w:rFonts w:hint="default"/>
          <w:highlight w:val="none"/>
          <w:lang w:val="en-US" w:eastAsia="zh-CN"/>
        </w:rPr>
        <w:t>模式创新</w:t>
      </w:r>
      <w:r>
        <w:rPr>
          <w:rFonts w:hint="eastAsia"/>
          <w:highlight w:val="none"/>
          <w:lang w:val="en-US" w:eastAsia="zh-CN"/>
        </w:rPr>
        <w:t>”</w:t>
      </w:r>
      <w:r>
        <w:rPr>
          <w:rFonts w:hint="default"/>
          <w:highlight w:val="none"/>
          <w:lang w:val="en-US" w:eastAsia="zh-CN"/>
        </w:rPr>
        <w:t>协同发力。政府主导的EPC模式通过三级政策传导机制实现政策落地：国家以《建设工程抗震管理条例》为依据，强制要求学校、医院等民生工程采用隔震技术，住建部数据显示2022年全国新增抗震设防建筑达2.3亿平方米，政策效应快速显现；省级层面以云南省为代表，将公共建筑隔震补贴提升至工程造价的30%，这一财政杠杆直接带动省内抗震产业规模年均增长28%；县级政府则通过创新激励机制激活市场，如云南大理试点推出的积分政策，建设单位每平方米抗震达标可获0.5个碳积分，并能在县域基建项目招投标中折抵3%报价。这种从国家立法确立标准、省级补贴降低成本，到县级创新激励的政策组合拳，不仅将抗震投入转化为招投标优势等多重收益，还通过自上而下的政策传导与自下而上的实践反馈形成闭环，既筑牢了公共安全防线，又推动设计、施工等产业链环节升级，在保障民生与产业发展间构建起良性循环。</w:t>
      </w:r>
    </w:p>
    <w:p w14:paraId="539D3604">
      <w:pPr>
        <w:keepNext w:val="0"/>
        <w:keepLines w:val="0"/>
        <w:pageBreakBefore w:val="0"/>
        <w:widowControl w:val="0"/>
        <w:kinsoku/>
        <w:wordWrap/>
        <w:overflowPunct/>
        <w:topLinePunct w:val="0"/>
        <w:autoSpaceDE/>
        <w:autoSpaceDN/>
        <w:bidi w:val="0"/>
        <w:adjustRightInd/>
        <w:snapToGrid/>
        <w:spacing w:afterAutospacing="0" w:line="360" w:lineRule="auto"/>
        <w:ind w:firstLine="0" w:firstLineChars="0"/>
        <w:jc w:val="center"/>
        <w:textAlignment w:val="auto"/>
        <w:rPr>
          <w:rFonts w:hint="default"/>
          <w:highlight w:val="none"/>
          <w:lang w:val="en-US" w:eastAsia="zh-CN"/>
        </w:rPr>
      </w:pPr>
      <w:r>
        <w:rPr>
          <w:highlight w:val="none"/>
        </w:rPr>
        <w:drawing>
          <wp:inline distT="0" distB="0" distL="114300" distR="114300">
            <wp:extent cx="4139565" cy="2901950"/>
            <wp:effectExtent l="0" t="0" r="0" b="0"/>
            <wp:docPr id="141"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33C752F2">
      <w:pPr>
        <w:pStyle w:val="5"/>
        <w:bidi w:val="0"/>
        <w:spacing w:before="77" w:beforeLines="32" w:beforeAutospacing="0" w:line="360" w:lineRule="auto"/>
        <w:rPr>
          <w:rFonts w:hint="default"/>
          <w:highlight w:val="none"/>
          <w:lang w:val="en-US" w:eastAsia="zh-CN"/>
        </w:rPr>
      </w:pPr>
      <w:r>
        <w:rPr>
          <w:rFonts w:hint="eastAsia"/>
          <w:highlight w:val="none"/>
          <w:lang w:val="en-US" w:eastAsia="zh-CN"/>
        </w:rPr>
        <w:t>图3-11 中国减隔震产品下游市场需求分布情况</w:t>
      </w:r>
    </w:p>
    <w:p w14:paraId="47D2A95B">
      <w:pPr>
        <w:pStyle w:val="3"/>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bookmarkStart w:id="56" w:name="_Toc9515"/>
      <w:bookmarkStart w:id="57" w:name="_Toc25141"/>
      <w:r>
        <w:rPr>
          <w:rFonts w:hint="eastAsia"/>
          <w:highlight w:val="none"/>
          <w:lang w:val="en-US" w:eastAsia="zh-CN"/>
        </w:rPr>
        <w:t>3.4市场竞争分析</w:t>
      </w:r>
      <w:bookmarkEnd w:id="56"/>
      <w:bookmarkEnd w:id="57"/>
    </w:p>
    <w:p w14:paraId="305B138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尽管农居隔震领域存在广阔市场空间，吸引部分生产企业入局，但受制于农村市场推广复杂度高与利润空间有限的双重制约，实际投入该领域的企业数量仍将保持有限。相较之下，本团队通过构建技术研发、渠道网络、成本控制等维度的综合优势，配合完善的专利保护机制，已形成显著的竞争壁垒，有力保障项目核心竞争力。</w:t>
      </w:r>
    </w:p>
    <w:p w14:paraId="7CCA7F11">
      <w:pPr>
        <w:pStyle w:val="4"/>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bookmarkStart w:id="58" w:name="_Toc22396"/>
      <w:bookmarkStart w:id="59" w:name="_Toc20117"/>
      <w:r>
        <w:rPr>
          <w:rFonts w:hint="eastAsia"/>
          <w:highlight w:val="none"/>
          <w:lang w:val="en-US" w:eastAsia="zh-CN"/>
        </w:rPr>
        <w:t>3.4.1技术优势</w:t>
      </w:r>
      <w:bookmarkEnd w:id="58"/>
      <w:bookmarkEnd w:id="59"/>
    </w:p>
    <w:p w14:paraId="765C09E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项目技术研发由土木工程领域权威专家领衔指导，中国工程院周福霖院士与减震控制领域顶尖学者谭平研究员全程参与技术攻坚。历经</w:t>
      </w:r>
      <w:r>
        <w:rPr>
          <w:rFonts w:hint="eastAsia"/>
          <w:highlight w:val="none"/>
          <w:lang w:val="en-US" w:eastAsia="zh-CN"/>
        </w:rPr>
        <w:t>多</w:t>
      </w:r>
      <w:r>
        <w:rPr>
          <w:rFonts w:hint="default"/>
          <w:highlight w:val="none"/>
          <w:lang w:val="en-US" w:eastAsia="zh-CN"/>
        </w:rPr>
        <w:t>年技术沉淀，团队在产品设计、生产工艺等关键环节形成系统化的先进技术体系，目前已完成</w:t>
      </w:r>
      <w:r>
        <w:rPr>
          <w:rFonts w:hint="eastAsia"/>
          <w:highlight w:val="none"/>
          <w:lang w:val="en-US" w:eastAsia="zh-CN"/>
        </w:rPr>
        <w:t>5</w:t>
      </w:r>
      <w:r>
        <w:rPr>
          <w:rFonts w:hint="default"/>
          <w:highlight w:val="none"/>
          <w:lang w:val="en-US" w:eastAsia="zh-CN"/>
        </w:rPr>
        <w:t>项核心专利布局，构建起持续创新的技术护城河。该技术体系在国际学术界获得广泛认可，谭平研究员于全球学术论坛的专题报告引发欧美日等多国学者关注，日本免震协会会长和田章教授特别指出：</w:t>
      </w:r>
      <w:r>
        <w:rPr>
          <w:rFonts w:hint="eastAsia"/>
          <w:highlight w:val="none"/>
          <w:lang w:val="en-US" w:eastAsia="zh-CN"/>
        </w:rPr>
        <w:t>“</w:t>
      </w:r>
      <w:r>
        <w:rPr>
          <w:rFonts w:hint="default"/>
          <w:highlight w:val="none"/>
          <w:lang w:val="en-US" w:eastAsia="zh-CN"/>
        </w:rPr>
        <w:t>该技术为欠发达地区砌体建筑抗震提供了高性价比解决方案，将引领村镇建筑抗震技术革新</w:t>
      </w:r>
      <w:r>
        <w:rPr>
          <w:rFonts w:hint="eastAsia"/>
          <w:highlight w:val="none"/>
          <w:lang w:val="en-US" w:eastAsia="zh-CN"/>
        </w:rPr>
        <w:t>”</w:t>
      </w:r>
      <w:r>
        <w:rPr>
          <w:rFonts w:hint="default"/>
          <w:highlight w:val="none"/>
          <w:lang w:val="en-US" w:eastAsia="zh-CN"/>
        </w:rPr>
        <w:t>。</w:t>
      </w:r>
    </w:p>
    <w:p w14:paraId="1EFA4F18">
      <w:pPr>
        <w:pStyle w:val="4"/>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bookmarkStart w:id="60" w:name="_Toc25193"/>
      <w:bookmarkStart w:id="61" w:name="_Toc22400"/>
      <w:r>
        <w:rPr>
          <w:rFonts w:hint="eastAsia"/>
          <w:highlight w:val="none"/>
          <w:lang w:val="en-US" w:eastAsia="zh-CN"/>
        </w:rPr>
        <w:t>3.4.2渠道优势</w:t>
      </w:r>
      <w:bookmarkEnd w:id="60"/>
      <w:bookmarkEnd w:id="61"/>
    </w:p>
    <w:p w14:paraId="4CB7E5A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针对农村市场地域分散、文化差异显著的客观现实，项目创新采用政企协同推广模式。目前已与云南地震工程研究院等</w:t>
      </w:r>
      <w:r>
        <w:rPr>
          <w:rFonts w:hint="eastAsia"/>
          <w:highlight w:val="none"/>
          <w:lang w:val="en-US" w:eastAsia="zh-CN"/>
        </w:rPr>
        <w:t>多</w:t>
      </w:r>
      <w:r>
        <w:rPr>
          <w:rFonts w:hint="default"/>
          <w:highlight w:val="none"/>
          <w:lang w:val="en-US" w:eastAsia="zh-CN"/>
        </w:rPr>
        <w:t>个地方职能部门建立长效合作机制，并在</w:t>
      </w:r>
      <w:r>
        <w:rPr>
          <w:rFonts w:hint="eastAsia"/>
          <w:highlight w:val="none"/>
          <w:lang w:val="en-US" w:eastAsia="zh-CN"/>
        </w:rPr>
        <w:t>赤鹫</w:t>
      </w:r>
      <w:r>
        <w:rPr>
          <w:rFonts w:hint="default"/>
          <w:highlight w:val="none"/>
          <w:lang w:val="en-US" w:eastAsia="zh-CN"/>
        </w:rPr>
        <w:t>、</w:t>
      </w:r>
      <w:r>
        <w:rPr>
          <w:rFonts w:hint="eastAsia"/>
          <w:highlight w:val="none"/>
          <w:lang w:val="en-US" w:eastAsia="zh-CN"/>
        </w:rPr>
        <w:t>甘南</w:t>
      </w:r>
      <w:r>
        <w:rPr>
          <w:rFonts w:hint="default"/>
          <w:highlight w:val="none"/>
          <w:lang w:val="en-US" w:eastAsia="zh-CN"/>
        </w:rPr>
        <w:t>等地震多发区完成技术落地验证。在核心市场云南省，团队不仅获得地方政府专项支持，更与行业龙头震安科技达成战略合作：企业以成本价供应定制化隔震产品，针对贫困地区创新实施</w:t>
      </w:r>
      <w:r>
        <w:rPr>
          <w:rFonts w:hint="eastAsia"/>
          <w:highlight w:val="none"/>
          <w:lang w:val="en-US" w:eastAsia="zh-CN"/>
        </w:rPr>
        <w:t>“</w:t>
      </w:r>
      <w:r>
        <w:rPr>
          <w:rFonts w:hint="default"/>
          <w:highlight w:val="none"/>
          <w:lang w:val="en-US" w:eastAsia="zh-CN"/>
        </w:rPr>
        <w:t>橡胶置换</w:t>
      </w:r>
      <w:r>
        <w:rPr>
          <w:rFonts w:hint="eastAsia"/>
          <w:highlight w:val="none"/>
          <w:lang w:val="en-US" w:eastAsia="zh-CN"/>
        </w:rPr>
        <w:t>”</w:t>
      </w:r>
      <w:r>
        <w:rPr>
          <w:rFonts w:hint="default"/>
          <w:highlight w:val="none"/>
          <w:lang w:val="en-US" w:eastAsia="zh-CN"/>
        </w:rPr>
        <w:t>物资帮扶模式，形成可持续的精准扶贫技术推广体系。</w:t>
      </w:r>
    </w:p>
    <w:p w14:paraId="05D92C80">
      <w:pPr>
        <w:pStyle w:val="4"/>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bookmarkStart w:id="62" w:name="_Toc28048"/>
      <w:bookmarkStart w:id="63" w:name="_Toc2804"/>
      <w:r>
        <w:rPr>
          <w:rFonts w:hint="eastAsia"/>
          <w:highlight w:val="none"/>
          <w:lang w:val="en-US" w:eastAsia="zh-CN"/>
        </w:rPr>
        <w:t>3.4.3经济性优势</w:t>
      </w:r>
      <w:bookmarkEnd w:id="62"/>
      <w:bookmarkEnd w:id="63"/>
    </w:p>
    <w:p w14:paraId="490C5BC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通过材料创新与工艺优化实现显著成本优势，项目研发的隔震支座采用工程塑料替代传统钢板构件，在降低35%原材料成本的同时实现产品轻量化，施工环节可省去大型吊装设备。经标准化安装培训后，普通乡村施工队即可完成隔震层建设，综合施工成本较传统工艺下降83%。经多地实践测算，农居隔震技术综合增量成本控制在50元/m²以内，较常规方案节省5/6费用支出。这种革命性的成本控制能力有效破解农村技术推广的经济性难题，为市场快速渗透提供核心驱动力。</w:t>
      </w:r>
    </w:p>
    <w:p w14:paraId="2143A3A8">
      <w:pPr>
        <w:spacing w:line="360" w:lineRule="auto"/>
        <w:rPr>
          <w:rFonts w:hint="default"/>
          <w:highlight w:val="none"/>
          <w:lang w:val="en-US" w:eastAsia="zh-CN"/>
        </w:rPr>
      </w:pPr>
      <w:r>
        <w:rPr>
          <w:rFonts w:hint="default"/>
          <w:highlight w:val="none"/>
          <w:lang w:val="en-US" w:eastAsia="zh-CN"/>
        </w:rPr>
        <w:br w:type="page"/>
      </w:r>
    </w:p>
    <w:p w14:paraId="7F7B950F">
      <w:pPr>
        <w:pStyle w:val="3"/>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bookmarkStart w:id="64" w:name="_Toc26762"/>
      <w:bookmarkStart w:id="65" w:name="_Toc2072"/>
      <w:r>
        <w:rPr>
          <w:rFonts w:hint="default"/>
          <w:highlight w:val="none"/>
          <w:lang w:val="en-US" w:eastAsia="zh-CN"/>
        </w:rPr>
        <w:t>3.5抗震行业未来发展趋势分析</w:t>
      </w:r>
      <w:bookmarkEnd w:id="64"/>
      <w:bookmarkEnd w:id="65"/>
    </w:p>
    <w:p w14:paraId="64797257">
      <w:pPr>
        <w:pStyle w:val="4"/>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bookmarkStart w:id="66" w:name="_Toc28822"/>
      <w:bookmarkStart w:id="67" w:name="_Toc17065"/>
      <w:r>
        <w:rPr>
          <w:rFonts w:hint="default"/>
          <w:highlight w:val="none"/>
          <w:lang w:val="en-US" w:eastAsia="zh-CN"/>
        </w:rPr>
        <w:t>3.</w:t>
      </w:r>
      <w:r>
        <w:rPr>
          <w:rFonts w:hint="eastAsia"/>
          <w:highlight w:val="none"/>
          <w:lang w:val="en-US" w:eastAsia="zh-CN"/>
        </w:rPr>
        <w:t>5</w:t>
      </w:r>
      <w:r>
        <w:rPr>
          <w:rFonts w:hint="default"/>
          <w:highlight w:val="none"/>
          <w:lang w:val="en-US" w:eastAsia="zh-CN"/>
        </w:rPr>
        <w:t>.1需求侧应用不足，技术推广面临瓶颈</w:t>
      </w:r>
      <w:bookmarkEnd w:id="66"/>
      <w:bookmarkEnd w:id="67"/>
    </w:p>
    <w:p w14:paraId="3664C1B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我国村镇建筑隔震支座的普及率不足10%，这一数据不仅远低于城市重点工程的覆盖率，更暴露出城乡防灾能力建设的巨大差距。究其原因，村镇地区的抗震意识薄弱是首要问题。村镇居民抗震防灾意识薄弱，普遍存在</w:t>
      </w:r>
      <w:r>
        <w:rPr>
          <w:rFonts w:hint="eastAsia"/>
          <w:highlight w:val="none"/>
          <w:lang w:val="en-US" w:eastAsia="zh-CN"/>
        </w:rPr>
        <w:t>“</w:t>
      </w:r>
      <w:r>
        <w:rPr>
          <w:rFonts w:hint="default"/>
          <w:highlight w:val="none"/>
          <w:lang w:val="en-US" w:eastAsia="zh-CN"/>
        </w:rPr>
        <w:t>重灾后重建、轻灾前预防</w:t>
      </w:r>
      <w:r>
        <w:rPr>
          <w:rFonts w:hint="eastAsia"/>
          <w:highlight w:val="none"/>
          <w:lang w:val="en-US" w:eastAsia="zh-CN"/>
        </w:rPr>
        <w:t>”</w:t>
      </w:r>
      <w:r>
        <w:rPr>
          <w:rFonts w:hint="default"/>
          <w:highlight w:val="none"/>
          <w:lang w:val="en-US" w:eastAsia="zh-CN"/>
        </w:rPr>
        <w:t>的观念对地震风险的认知仍局限于传统经验层面。加之村镇建筑多以自建房为主，缺乏统一规划和专业设计，导致隔震技术的适配性面临挑战不同地域建筑结构类型差异显著，西南地区的传统木结构建筑与华北地区的砖混结构对隔震支座的技术参数要求截然不同，现有标准化产品难以满足多样化的工程需求。此外，村镇建设资金短缺，地方财政在抗震改造方面投入有限，部分经济欠发达地区甚至采用简易加固、结构捆绑等低成本非标准抗震措施，严重压缩了隔震支座的市场空间。</w:t>
      </w:r>
    </w:p>
    <w:p w14:paraId="40444DEB">
      <w:pPr>
        <w:keepNext w:val="0"/>
        <w:keepLines w:val="0"/>
        <w:pageBreakBefore w:val="0"/>
        <w:widowControl w:val="0"/>
        <w:kinsoku/>
        <w:wordWrap/>
        <w:overflowPunct/>
        <w:topLinePunct w:val="0"/>
        <w:autoSpaceDE/>
        <w:autoSpaceDN/>
        <w:bidi w:val="0"/>
        <w:adjustRightInd/>
        <w:snapToGrid/>
        <w:spacing w:afterAutospacing="0" w:line="360" w:lineRule="auto"/>
        <w:ind w:firstLine="0" w:firstLineChars="0"/>
        <w:jc w:val="center"/>
        <w:textAlignment w:val="auto"/>
        <w:rPr>
          <w:rFonts w:hint="default"/>
          <w:highlight w:val="none"/>
          <w:lang w:val="en-US" w:eastAsia="zh-CN"/>
        </w:rPr>
      </w:pPr>
      <w:r>
        <w:rPr>
          <w:highlight w:val="none"/>
        </w:rPr>
        <w:drawing>
          <wp:inline distT="0" distB="0" distL="114300" distR="114300">
            <wp:extent cx="3599815" cy="2520315"/>
            <wp:effectExtent l="0" t="0" r="0" b="0"/>
            <wp:docPr id="135"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05B21DE4">
      <w:pPr>
        <w:pStyle w:val="5"/>
        <w:bidi w:val="0"/>
        <w:spacing w:before="67" w:beforeLines="28" w:beforeAutospacing="0" w:after="67" w:afterLines="28" w:afterAutospacing="0" w:line="360" w:lineRule="auto"/>
        <w:rPr>
          <w:rFonts w:hint="default"/>
          <w:highlight w:val="none"/>
          <w:lang w:val="en-US" w:eastAsia="zh-CN"/>
        </w:rPr>
      </w:pPr>
      <w:r>
        <w:rPr>
          <w:rFonts w:hint="eastAsia"/>
          <w:highlight w:val="none"/>
          <w:lang w:val="en-US" w:eastAsia="zh-CN"/>
        </w:rPr>
        <w:t>图3-12 2017-2021年中国建筑减隔震产销量</w:t>
      </w:r>
    </w:p>
    <w:p w14:paraId="5BE790CF">
      <w:pPr>
        <w:keepNext w:val="0"/>
        <w:keepLines w:val="0"/>
        <w:pageBreakBefore w:val="0"/>
        <w:widowControl w:val="0"/>
        <w:kinsoku/>
        <w:wordWrap/>
        <w:overflowPunct/>
        <w:topLinePunct w:val="0"/>
        <w:autoSpaceDE/>
        <w:autoSpaceDN/>
        <w:bidi w:val="0"/>
        <w:adjustRightInd/>
        <w:snapToGrid/>
        <w:spacing w:beforeAutospacing="0" w:line="360" w:lineRule="auto"/>
        <w:ind w:firstLine="560" w:firstLineChars="200"/>
        <w:textAlignment w:val="auto"/>
        <w:rPr>
          <w:rFonts w:hint="default"/>
          <w:highlight w:val="none"/>
          <w:lang w:val="en-US" w:eastAsia="zh-CN"/>
        </w:rPr>
      </w:pPr>
      <w:r>
        <w:rPr>
          <w:rFonts w:hint="default"/>
          <w:highlight w:val="none"/>
          <w:lang w:val="en-US" w:eastAsia="zh-CN"/>
        </w:rPr>
        <w:t>从技术经济视角分析，传统隔震支座成本占建筑总投资的5%-8%，对预算紧张的村镇建设项目构成较大经济压力。同时，由于村镇建筑结构形式复杂多样，施工队伍技术水平参差不齐，导致隔震支座安装精度控制难度大，后期运维成本显著增加。以云南漾濞地震为例，因缺乏专业施工团队，隔震支座安装误差超出规范要求，致使建筑整体抗震性能未能达到预期目标。这种</w:t>
      </w:r>
      <w:r>
        <w:rPr>
          <w:rFonts w:hint="eastAsia"/>
          <w:highlight w:val="none"/>
          <w:lang w:val="en-US" w:eastAsia="zh-CN"/>
        </w:rPr>
        <w:t>“</w:t>
      </w:r>
      <w:r>
        <w:rPr>
          <w:rFonts w:hint="default"/>
          <w:highlight w:val="none"/>
          <w:lang w:val="en-US" w:eastAsia="zh-CN"/>
        </w:rPr>
        <w:t>技术适配性、成本经济性、施工专业性</w:t>
      </w:r>
      <w:r>
        <w:rPr>
          <w:rFonts w:hint="eastAsia"/>
          <w:highlight w:val="none"/>
          <w:lang w:val="en-US" w:eastAsia="zh-CN"/>
        </w:rPr>
        <w:t>”</w:t>
      </w:r>
      <w:r>
        <w:rPr>
          <w:rFonts w:hint="default"/>
          <w:highlight w:val="none"/>
          <w:lang w:val="en-US" w:eastAsia="zh-CN"/>
        </w:rPr>
        <w:t>的多重矛盾，是制约隔震支座在村镇市场推广的核心因素。</w:t>
      </w:r>
    </w:p>
    <w:p w14:paraId="368F89A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为突破这一困境，需从三方面着力：一是加快研发低成本、模块化隔震产品，探索采用新型复合材料替代传统橡胶-钢板叠层结构，力争实现成本降低30%以上；二是推动财政补贴政策落地，构建</w:t>
      </w:r>
      <w:r>
        <w:rPr>
          <w:rFonts w:hint="eastAsia"/>
          <w:highlight w:val="none"/>
          <w:lang w:val="en-US" w:eastAsia="zh-CN"/>
        </w:rPr>
        <w:t>“</w:t>
      </w:r>
      <w:r>
        <w:rPr>
          <w:rFonts w:hint="default"/>
          <w:highlight w:val="none"/>
          <w:lang w:val="en-US" w:eastAsia="zh-CN"/>
        </w:rPr>
        <w:t>中央财政引导、地方配套支持、农户合理分担</w:t>
      </w:r>
      <w:r>
        <w:rPr>
          <w:rFonts w:hint="eastAsia"/>
          <w:highlight w:val="none"/>
          <w:lang w:val="en-US" w:eastAsia="zh-CN"/>
        </w:rPr>
        <w:t>”</w:t>
      </w:r>
      <w:r>
        <w:rPr>
          <w:rFonts w:hint="default"/>
          <w:highlight w:val="none"/>
          <w:lang w:val="en-US" w:eastAsia="zh-CN"/>
        </w:rPr>
        <w:t>的资金筹措机制，将隔震技术纳入农房改造专项补贴范围；三是开展示范工程建设，在四川等地震高发区域打造隔震农房示范村，通过实测数据对比传统建筑与隔震建筑的抗震性能，以直观的技术经济指标提升居民认知度与接受度。唯有系统性解决需求侧的关键问题，才能有效释放村镇市场对隔震技术的潜在需求。</w:t>
      </w:r>
    </w:p>
    <w:p w14:paraId="599731F9">
      <w:pPr>
        <w:pStyle w:val="4"/>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bookmarkStart w:id="68" w:name="_Toc17086"/>
      <w:bookmarkStart w:id="69" w:name="_Toc17201"/>
      <w:r>
        <w:rPr>
          <w:rFonts w:hint="default"/>
          <w:highlight w:val="none"/>
          <w:lang w:val="en-US" w:eastAsia="zh-CN"/>
        </w:rPr>
        <w:t>3.</w:t>
      </w:r>
      <w:r>
        <w:rPr>
          <w:rFonts w:hint="eastAsia"/>
          <w:highlight w:val="none"/>
          <w:lang w:val="en-US" w:eastAsia="zh-CN"/>
        </w:rPr>
        <w:t>5</w:t>
      </w:r>
      <w:r>
        <w:rPr>
          <w:rFonts w:hint="default"/>
          <w:highlight w:val="none"/>
          <w:lang w:val="en-US" w:eastAsia="zh-CN"/>
        </w:rPr>
        <w:t>.2政策驱动与标准体系完善助推行业提速发展</w:t>
      </w:r>
      <w:bookmarkEnd w:id="68"/>
      <w:bookmarkEnd w:id="69"/>
    </w:p>
    <w:p w14:paraId="2B8CC9B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随着《农村住房抗震性能提升工程实施方案》的发布实施，村镇建筑抗震改造正式上升为国家战略层面的重点工作。该政策红利从三个维度深度重塑行业发展格局：其一，强制性技术规范加速落地实施，根据住建部最新发布的技术标准，处于地震烈度7度及以上区域的村镇公共建筑，须严格采用隔震技术进行设计与建造，这一举措有力推动了隔震技术向基层市场渗透；其二，财政资金配置持续向抗震改造领域倾斜，2023年中央财政专项划拨12亿元用于农房抗震加固工程，并明确要求其中30%的资金须专项用于隔震技术应用，为技术推广提供坚实的资金保障；其三，</w:t>
      </w:r>
      <w:r>
        <w:rPr>
          <w:rFonts w:hint="eastAsia"/>
          <w:highlight w:val="none"/>
          <w:lang w:val="en-US" w:eastAsia="zh-CN"/>
        </w:rPr>
        <w:t>“</w:t>
      </w:r>
      <w:r>
        <w:rPr>
          <w:rFonts w:hint="default"/>
          <w:highlight w:val="none"/>
          <w:lang w:val="en-US" w:eastAsia="zh-CN"/>
        </w:rPr>
        <w:t>双碳</w:t>
      </w:r>
      <w:r>
        <w:rPr>
          <w:rFonts w:hint="eastAsia"/>
          <w:highlight w:val="none"/>
          <w:lang w:val="en-US" w:eastAsia="zh-CN"/>
        </w:rPr>
        <w:t>”</w:t>
      </w:r>
      <w:r>
        <w:rPr>
          <w:rFonts w:hint="default"/>
          <w:highlight w:val="none"/>
          <w:lang w:val="en-US" w:eastAsia="zh-CN"/>
        </w:rPr>
        <w:t>战略目标驱动绿色隔震技术创新迭代，传统铅芯橡胶支座在全生命周期中的碳排放问题日益受到行业关注，促使再生橡胶基、生物基等新型环保材料的研发进程显著加快。以河北某企业研发的秸秆纤维增强隔震支座为例，该产品在保持成本与传统产品相当的前提下，碳足迹降低达45%，目前已在多个试点地区成功推广应用。​</w:t>
      </w:r>
    </w:p>
    <w:p w14:paraId="54B2942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标准体系建设滞后曾长期制约行业健康发展。现行《建筑隔震设计规范》主要针对城市高层建筑制定，其技术参数与设计方法难以直接适用于村镇低层建筑，导致设计院在方案设计、施工单位在工程实施过程中均面临技术依据缺失的困境。这一局面正迎来积极转变：中国工程建设标准化协会已启动《村镇建筑隔震技术规程》编制工作，重点针对砖木结构、夯土建筑等传统民居类型，提出差异化的技术设计参数。例如，针对云南地区典型的</w:t>
      </w:r>
      <w:r>
        <w:rPr>
          <w:rFonts w:hint="eastAsia"/>
          <w:highlight w:val="none"/>
          <w:lang w:val="en-US" w:eastAsia="zh-CN"/>
        </w:rPr>
        <w:t>“</w:t>
      </w:r>
      <w:r>
        <w:rPr>
          <w:rFonts w:hint="default"/>
          <w:highlight w:val="none"/>
          <w:lang w:val="en-US" w:eastAsia="zh-CN"/>
        </w:rPr>
        <w:t>一颗印</w:t>
      </w:r>
      <w:r>
        <w:rPr>
          <w:rFonts w:hint="eastAsia"/>
          <w:highlight w:val="none"/>
          <w:lang w:val="en-US" w:eastAsia="zh-CN"/>
        </w:rPr>
        <w:t>”</w:t>
      </w:r>
      <w:r>
        <w:rPr>
          <w:rFonts w:hint="default"/>
          <w:highlight w:val="none"/>
          <w:lang w:val="en-US" w:eastAsia="zh-CN"/>
        </w:rPr>
        <w:t>民居，规程建议采用基底隔震与墙体阻尼器相结合的混合抗震体系，在有效保护传统建筑风貌的同时，显著提升建筑抗震设防等级。与此同时，行业竞争格局加速演变，震安科技、时代新材等具备深厚技术储备的头部企业，通过深度参与标准制定工作，构建起显著的技术竞争壁垒；而部分中小厂商因难以满足新标准下的检测认证要求，正逐步退出市场。预计未来五年，在政策持续驱动下，行业整合趋势将愈发显著，具备绿色技术专利优势及完善地域服务网络的企业，将在市场竞争中占据主导地位。</w:t>
      </w:r>
    </w:p>
    <w:p w14:paraId="581AF08F">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drawing>
          <wp:inline distT="0" distB="0" distL="114300" distR="114300">
            <wp:extent cx="3599815" cy="2520315"/>
            <wp:effectExtent l="0" t="0" r="6985" b="6985"/>
            <wp:docPr id="83" name="图片 83" descr="9f4119cea43fb822184c99e223c80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9f4119cea43fb822184c99e223c801e"/>
                    <pic:cNvPicPr>
                      <a:picLocks noChangeAspect="1"/>
                    </pic:cNvPicPr>
                  </pic:nvPicPr>
                  <pic:blipFill>
                    <a:blip r:embed="rId33"/>
                    <a:stretch>
                      <a:fillRect/>
                    </a:stretch>
                  </pic:blipFill>
                  <pic:spPr>
                    <a:xfrm>
                      <a:off x="0" y="0"/>
                      <a:ext cx="3599815" cy="2520315"/>
                    </a:xfrm>
                    <a:prstGeom prst="rect">
                      <a:avLst/>
                    </a:prstGeom>
                  </pic:spPr>
                </pic:pic>
              </a:graphicData>
            </a:graphic>
          </wp:inline>
        </w:drawing>
      </w:r>
    </w:p>
    <w:p w14:paraId="7CE07F74">
      <w:pPr>
        <w:pStyle w:val="5"/>
        <w:bidi w:val="0"/>
        <w:spacing w:line="360" w:lineRule="auto"/>
        <w:rPr>
          <w:rFonts w:hint="default"/>
          <w:highlight w:val="none"/>
          <w:lang w:val="en-US" w:eastAsia="zh-CN"/>
        </w:rPr>
      </w:pPr>
      <w:r>
        <w:rPr>
          <w:rFonts w:hint="eastAsia"/>
          <w:highlight w:val="none"/>
          <w:lang w:val="en-US" w:eastAsia="zh-CN"/>
        </w:rPr>
        <w:t>图3-13 2024年建筑抗震设计标准</w:t>
      </w:r>
    </w:p>
    <w:p w14:paraId="3F385801">
      <w:pPr>
        <w:pStyle w:val="4"/>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bookmarkStart w:id="70" w:name="_Toc26443"/>
      <w:bookmarkStart w:id="71" w:name="_Toc20775"/>
      <w:r>
        <w:rPr>
          <w:rFonts w:hint="default"/>
          <w:highlight w:val="none"/>
          <w:lang w:val="en-US" w:eastAsia="zh-CN"/>
        </w:rPr>
        <w:t>3.</w:t>
      </w:r>
      <w:r>
        <w:rPr>
          <w:rFonts w:hint="eastAsia"/>
          <w:highlight w:val="none"/>
          <w:lang w:val="en-US" w:eastAsia="zh-CN"/>
        </w:rPr>
        <w:t>5</w:t>
      </w:r>
      <w:r>
        <w:rPr>
          <w:rFonts w:hint="default"/>
          <w:highlight w:val="none"/>
          <w:lang w:val="en-US" w:eastAsia="zh-CN"/>
        </w:rPr>
        <w:t>.3产业链协同创新与服务体系构建成破局关键</w:t>
      </w:r>
      <w:bookmarkEnd w:id="70"/>
      <w:bookmarkEnd w:id="71"/>
    </w:p>
    <w:p w14:paraId="530A092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村镇市场的独特属性，要求隔震支座产业必须从传统的单一产品供应模式，向全链条综合服务模式转型。在产品研发层面，需基于地域环境与建筑结构特征，构建差异化技术解决方案：针对西藏高寒地区冻融循环引发的土壤体积变化问题，需研发具备耐低温性能与自适应调平功能的隔震支座，确保极端气候条件下结构稳定性；而在南部潮湿地区，鉴于地下水位高、软土地基承载力不足等工程难题，则需开发表面经防潮防腐涂层处理的高阻尼隔震支座，并通过优化结构设计实现产品轻量化，有效降低地基承载压力。​</w:t>
      </w:r>
    </w:p>
    <w:p w14:paraId="2CD54D9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在成本管控领域，需依托技术创新与模式革新，突破</w:t>
      </w:r>
      <w:r>
        <w:rPr>
          <w:rFonts w:hint="eastAsia"/>
          <w:highlight w:val="none"/>
          <w:lang w:val="en-US" w:eastAsia="zh-CN"/>
        </w:rPr>
        <w:t>“</w:t>
      </w:r>
      <w:r>
        <w:rPr>
          <w:rFonts w:hint="default"/>
          <w:highlight w:val="none"/>
          <w:lang w:val="en-US" w:eastAsia="zh-CN"/>
        </w:rPr>
        <w:t>低价低质</w:t>
      </w:r>
      <w:r>
        <w:rPr>
          <w:rFonts w:hint="eastAsia"/>
          <w:highlight w:val="none"/>
          <w:lang w:val="en-US" w:eastAsia="zh-CN"/>
        </w:rPr>
        <w:t>”</w:t>
      </w:r>
      <w:r>
        <w:rPr>
          <w:rFonts w:hint="default"/>
          <w:highlight w:val="none"/>
          <w:lang w:val="en-US" w:eastAsia="zh-CN"/>
        </w:rPr>
        <w:t>的发展困局。以西藏地区为例，针对其地域辽阔、交通不便导致的运输成本高企问题，可推广模块化拼装式隔震支座，该产品适配牦牛驮运、小型车辆运输等特殊运输方式，显著降低物流成本；针对南部潮湿地区雨季长、现场施工效率低的特点，研发预制混凝土基座与隔震支座一体化集成产品，大幅减少现场湿作业时间，降低施工对人工的依赖程度。某企业研发的</w:t>
      </w:r>
      <w:r>
        <w:rPr>
          <w:rFonts w:hint="eastAsia"/>
          <w:highlight w:val="none"/>
          <w:lang w:val="en-US" w:eastAsia="zh-CN"/>
        </w:rPr>
        <w:t>“</w:t>
      </w:r>
      <w:r>
        <w:rPr>
          <w:rFonts w:hint="default"/>
          <w:highlight w:val="none"/>
          <w:lang w:val="en-US" w:eastAsia="zh-CN"/>
        </w:rPr>
        <w:t>即装即用式隔震基座</w:t>
      </w:r>
      <w:r>
        <w:rPr>
          <w:rFonts w:hint="eastAsia"/>
          <w:highlight w:val="none"/>
          <w:lang w:val="en-US" w:eastAsia="zh-CN"/>
        </w:rPr>
        <w:t>”</w:t>
      </w:r>
      <w:r>
        <w:rPr>
          <w:rFonts w:hint="default"/>
          <w:highlight w:val="none"/>
          <w:lang w:val="en-US" w:eastAsia="zh-CN"/>
        </w:rPr>
        <w:t>，通过标准化接口设计实现支座与地基的快速精准嵌合，经工程实践验证，该产品可使安装效率提升75%，人力成本降低80%，已在西南、西北地震高发区的农房抗震改造工程中得到广泛应用，成为破解村镇市场技术经济难题的典型范例。</w:t>
      </w:r>
    </w:p>
    <w:p w14:paraId="3080B262">
      <w:pPr>
        <w:pStyle w:val="4"/>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bookmarkStart w:id="72" w:name="_Toc11783"/>
      <w:bookmarkStart w:id="73" w:name="_Toc23232"/>
      <w:r>
        <w:rPr>
          <w:rFonts w:hint="default"/>
          <w:highlight w:val="none"/>
          <w:lang w:val="en-US" w:eastAsia="zh-CN"/>
        </w:rPr>
        <w:t>3.</w:t>
      </w:r>
      <w:r>
        <w:rPr>
          <w:rFonts w:hint="eastAsia"/>
          <w:highlight w:val="none"/>
          <w:lang w:val="en-US" w:eastAsia="zh-CN"/>
        </w:rPr>
        <w:t>5</w:t>
      </w:r>
      <w:r>
        <w:rPr>
          <w:rFonts w:hint="default"/>
          <w:highlight w:val="none"/>
          <w:lang w:val="en-US" w:eastAsia="zh-CN"/>
        </w:rPr>
        <w:t>.4挑战与机遇并存，行业进入结构化升级期</w:t>
      </w:r>
      <w:bookmarkEnd w:id="72"/>
      <w:bookmarkEnd w:id="73"/>
    </w:p>
    <w:p w14:paraId="60F7372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从短期市场特征来看，村镇建筑隔震支座市场存在显著的成本收益矛盾。工程经济测算数据显示，偏远山区项目的物流运输与技术服务成本占项目总成本比例高达25%，而项目利润率普遍低于8%。这种投入产出失衡的现状，致使企业更倾向于参与城市更新领域的市场竞争。但从长期发展趋势判断，三大驱动力将有效激活村镇市场的潜在价值，催生出规模超百亿的市场空间：其一，乡村振兴战略持续推进，2025年农村危房改造计划覆盖规模预计达1</w:t>
      </w:r>
      <w:r>
        <w:rPr>
          <w:rFonts w:hint="eastAsia"/>
          <w:highlight w:val="none"/>
          <w:lang w:val="en-US" w:eastAsia="zh-CN"/>
        </w:rPr>
        <w:t>91.2</w:t>
      </w:r>
      <w:r>
        <w:rPr>
          <w:rFonts w:hint="default"/>
          <w:highlight w:val="none"/>
          <w:lang w:val="en-US" w:eastAsia="zh-CN"/>
        </w:rPr>
        <w:t>万户，对应市场规模超100亿元；其二，极端自然灾害频发促使防灾减灾投入持续增加，以2023年云南德宏地震为契机，云南省内村镇建筑隔震改造预算同比增长200%；其三，新型城镇化进程加速县域基础设施建设升级，学校、卫生院等公共建筑对隔震技术的刚性需求持续释放。​</w:t>
      </w:r>
    </w:p>
    <w:p w14:paraId="597BDD2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在此市场变革背景下，行业竞争格局正从传统的价格竞争向价值竞争转型。具备技术定制化能力的企业，通过</w:t>
      </w:r>
      <w:r>
        <w:rPr>
          <w:rFonts w:hint="eastAsia"/>
          <w:highlight w:val="none"/>
          <w:lang w:val="en-US" w:eastAsia="zh-CN"/>
        </w:rPr>
        <w:t>“</w:t>
      </w:r>
      <w:r>
        <w:rPr>
          <w:rFonts w:hint="default"/>
          <w:highlight w:val="none"/>
          <w:lang w:val="en-US" w:eastAsia="zh-CN"/>
        </w:rPr>
        <w:t>产品+全生命周期服务</w:t>
      </w:r>
      <w:r>
        <w:rPr>
          <w:rFonts w:hint="eastAsia"/>
          <w:highlight w:val="none"/>
          <w:lang w:val="en-US" w:eastAsia="zh-CN"/>
        </w:rPr>
        <w:t>”</w:t>
      </w:r>
      <w:r>
        <w:rPr>
          <w:rFonts w:hint="default"/>
          <w:highlight w:val="none"/>
          <w:lang w:val="en-US" w:eastAsia="zh-CN"/>
        </w:rPr>
        <w:t>模式显著提升产品附加值。例如，震安科技推出的</w:t>
      </w:r>
      <w:r>
        <w:rPr>
          <w:rFonts w:hint="eastAsia"/>
          <w:highlight w:val="none"/>
          <w:lang w:val="en-US" w:eastAsia="zh-CN"/>
        </w:rPr>
        <w:t>“</w:t>
      </w:r>
      <w:r>
        <w:rPr>
          <w:rFonts w:hint="default"/>
          <w:highlight w:val="none"/>
          <w:lang w:val="en-US" w:eastAsia="zh-CN"/>
        </w:rPr>
        <w:t>隔震系统20年质保服务体系</w:t>
      </w:r>
      <w:r>
        <w:rPr>
          <w:rFonts w:hint="eastAsia"/>
          <w:highlight w:val="none"/>
          <w:lang w:val="en-US" w:eastAsia="zh-CN"/>
        </w:rPr>
        <w:t>”</w:t>
      </w:r>
      <w:r>
        <w:rPr>
          <w:rFonts w:hint="default"/>
          <w:highlight w:val="none"/>
          <w:lang w:val="en-US" w:eastAsia="zh-CN"/>
        </w:rPr>
        <w:t>，涵盖定期性能检测、结构健康监测数据分析及应急维修响应等服务内容，有效将客户留存率提升至75%。与之形成对比的是，依赖低价策略中标的中小企业，因难以维持合理利润空间将逐步退出市场。为推动行业高质量发展，行业自律与标准体系建设亟待加强。中国建筑科学研究院已启动</w:t>
      </w:r>
      <w:r>
        <w:rPr>
          <w:rFonts w:hint="eastAsia"/>
          <w:highlight w:val="none"/>
          <w:lang w:val="en-US" w:eastAsia="zh-CN"/>
        </w:rPr>
        <w:t>“</w:t>
      </w:r>
      <w:r>
        <w:rPr>
          <w:rFonts w:hint="default"/>
          <w:highlight w:val="none"/>
          <w:lang w:val="en-US" w:eastAsia="zh-CN"/>
        </w:rPr>
        <w:t>村镇隔震产品星级认证</w:t>
      </w:r>
      <w:r>
        <w:rPr>
          <w:rFonts w:hint="eastAsia"/>
          <w:highlight w:val="none"/>
          <w:lang w:val="en-US" w:eastAsia="zh-CN"/>
        </w:rPr>
        <w:t>”</w:t>
      </w:r>
      <w:r>
        <w:rPr>
          <w:rFonts w:hint="default"/>
          <w:highlight w:val="none"/>
          <w:lang w:val="en-US" w:eastAsia="zh-CN"/>
        </w:rPr>
        <w:t>工作，从产品耐久性、环保性能、施工易用性三个维度建立分级评价体系，通过市场引导与标准规范，助力行业实现从</w:t>
      </w:r>
      <w:r>
        <w:rPr>
          <w:rFonts w:hint="eastAsia"/>
          <w:highlight w:val="none"/>
          <w:lang w:val="en-US" w:eastAsia="zh-CN"/>
        </w:rPr>
        <w:t>“</w:t>
      </w:r>
      <w:r>
        <w:rPr>
          <w:rFonts w:hint="default"/>
          <w:highlight w:val="none"/>
          <w:lang w:val="en-US" w:eastAsia="zh-CN"/>
        </w:rPr>
        <w:t>政策驱动型</w:t>
      </w:r>
      <w:r>
        <w:rPr>
          <w:rFonts w:hint="eastAsia"/>
          <w:highlight w:val="none"/>
          <w:lang w:val="en-US" w:eastAsia="zh-CN"/>
        </w:rPr>
        <w:t>”</w:t>
      </w:r>
      <w:r>
        <w:rPr>
          <w:rFonts w:hint="default"/>
          <w:highlight w:val="none"/>
          <w:lang w:val="en-US" w:eastAsia="zh-CN"/>
        </w:rPr>
        <w:t>向</w:t>
      </w:r>
      <w:r>
        <w:rPr>
          <w:rFonts w:hint="eastAsia"/>
          <w:highlight w:val="none"/>
          <w:lang w:val="en-US" w:eastAsia="zh-CN"/>
        </w:rPr>
        <w:t>“</w:t>
      </w:r>
      <w:r>
        <w:rPr>
          <w:rFonts w:hint="default"/>
          <w:highlight w:val="none"/>
          <w:lang w:val="en-US" w:eastAsia="zh-CN"/>
        </w:rPr>
        <w:t>市场主导型</w:t>
      </w:r>
      <w:r>
        <w:rPr>
          <w:rFonts w:hint="eastAsia"/>
          <w:highlight w:val="none"/>
          <w:lang w:val="en-US" w:eastAsia="zh-CN"/>
        </w:rPr>
        <w:t>”</w:t>
      </w:r>
      <w:r>
        <w:rPr>
          <w:rFonts w:hint="default"/>
          <w:highlight w:val="none"/>
          <w:lang w:val="en-US" w:eastAsia="zh-CN"/>
        </w:rPr>
        <w:t>的发展模式转型。未来十年，村镇隔震支座行业有望成为防灾减灾产业新的增长引擎。</w:t>
      </w:r>
    </w:p>
    <w:p w14:paraId="73925A34">
      <w:pPr>
        <w:spacing w:line="360" w:lineRule="auto"/>
        <w:rPr>
          <w:rFonts w:hint="default"/>
          <w:highlight w:val="none"/>
          <w:lang w:val="en-US" w:eastAsia="zh-CN"/>
        </w:rPr>
      </w:pPr>
      <w:r>
        <w:rPr>
          <w:rFonts w:hint="default"/>
          <w:highlight w:val="none"/>
          <w:lang w:val="en-US" w:eastAsia="zh-CN"/>
        </w:rPr>
        <w:br w:type="page"/>
      </w:r>
    </w:p>
    <w:p w14:paraId="37030E36">
      <w:pPr>
        <w:pStyle w:val="2"/>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highlight w:val="none"/>
          <w:lang w:val="en-US" w:eastAsia="zh-CN"/>
        </w:rPr>
      </w:pPr>
      <w:bookmarkStart w:id="74" w:name="_Toc1663"/>
      <w:bookmarkStart w:id="75" w:name="_Toc8906"/>
      <w:r>
        <w:rPr>
          <w:rFonts w:hint="eastAsia"/>
          <w:highlight w:val="none"/>
          <w:lang w:val="en-US" w:eastAsia="zh-CN"/>
        </w:rPr>
        <w:t xml:space="preserve">第四章 </w:t>
      </w:r>
      <w:r>
        <w:rPr>
          <w:rFonts w:hint="default"/>
          <w:highlight w:val="none"/>
          <w:lang w:val="en-US" w:eastAsia="zh-CN"/>
        </w:rPr>
        <w:t>产品与服务</w:t>
      </w:r>
      <w:bookmarkEnd w:id="74"/>
      <w:bookmarkEnd w:id="75"/>
    </w:p>
    <w:p w14:paraId="313897C6">
      <w:pPr>
        <w:pStyle w:val="3"/>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bookmarkStart w:id="76" w:name="_Toc13466"/>
      <w:bookmarkStart w:id="77" w:name="_Toc839"/>
      <w:r>
        <w:rPr>
          <w:rFonts w:hint="default"/>
          <w:highlight w:val="none"/>
          <w:lang w:val="en-US" w:eastAsia="zh-CN"/>
        </w:rPr>
        <w:t>4.1技术</w:t>
      </w:r>
      <w:r>
        <w:rPr>
          <w:rFonts w:hint="eastAsia"/>
          <w:highlight w:val="none"/>
          <w:lang w:val="en-US" w:eastAsia="zh-CN"/>
        </w:rPr>
        <w:t>创新性与原理</w:t>
      </w:r>
      <w:bookmarkEnd w:id="76"/>
      <w:bookmarkEnd w:id="77"/>
    </w:p>
    <w:p w14:paraId="590197C0">
      <w:pPr>
        <w:pStyle w:val="4"/>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bookmarkStart w:id="78" w:name="_Toc17073"/>
      <w:bookmarkStart w:id="79" w:name="_Toc2864"/>
      <w:r>
        <w:rPr>
          <w:rFonts w:hint="eastAsia"/>
          <w:highlight w:val="none"/>
          <w:lang w:val="en-US" w:eastAsia="zh-CN"/>
        </w:rPr>
        <w:t>4.1.1创新性</w:t>
      </w:r>
      <w:bookmarkEnd w:id="78"/>
      <w:bookmarkEnd w:id="79"/>
    </w:p>
    <w:p w14:paraId="2C76510F">
      <w:pPr>
        <w:pageBreakBefore w:val="0"/>
        <w:widowControl w:val="0"/>
        <w:kinsoku/>
        <w:wordWrap/>
        <w:overflowPunct/>
        <w:topLinePunct w:val="0"/>
        <w:autoSpaceDE/>
        <w:autoSpaceDN/>
        <w:bidi w:val="0"/>
        <w:adjustRightInd/>
        <w:snapToGrid/>
        <w:spacing w:line="360" w:lineRule="auto"/>
        <w:ind w:firstLine="562" w:firstLineChars="200"/>
        <w:textAlignment w:val="auto"/>
        <w:rPr>
          <w:rFonts w:hint="eastAsia"/>
          <w:b/>
          <w:bCs/>
          <w:highlight w:val="none"/>
          <w:lang w:val="en-US" w:eastAsia="zh-CN"/>
        </w:rPr>
      </w:pPr>
      <w:r>
        <w:rPr>
          <w:rFonts w:hint="eastAsia"/>
          <w:b/>
          <w:bCs/>
          <w:highlight w:val="none"/>
          <w:lang w:val="en-US" w:eastAsia="zh-CN"/>
        </w:rPr>
        <w:t>（1）材料革新</w:t>
      </w:r>
      <w:r>
        <w:rPr>
          <w:rFonts w:hint="default"/>
          <w:b/>
          <w:bCs/>
          <w:highlight w:val="none"/>
          <w:lang w:val="en-US" w:eastAsia="zh-CN"/>
        </w:rPr>
        <w:t>——</w:t>
      </w:r>
      <w:r>
        <w:rPr>
          <w:rFonts w:hint="eastAsia"/>
          <w:b/>
          <w:bCs/>
          <w:highlight w:val="none"/>
          <w:lang w:val="en-US" w:eastAsia="zh-CN"/>
        </w:rPr>
        <w:t>首创短切玻璃纤维增强体系</w:t>
      </w:r>
    </w:p>
    <w:p w14:paraId="2ACF9BEA">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highlight w:val="none"/>
          <w:lang w:val="en-US" w:eastAsia="zh-CN"/>
        </w:rPr>
      </w:pPr>
      <w:r>
        <w:rPr>
          <w:rFonts w:hint="eastAsia"/>
          <w:highlight w:val="none"/>
          <w:lang w:val="en-US" w:eastAsia="zh-CN"/>
        </w:rPr>
        <w:t>在性能实验中团队发现，由于长切玻璃纤维在挤出成型中易受剪切力断裂，会出现取向排列导致各向异性、端部应力集中引发基体开裂等问题。通过DMA分析证实，在相同条件下，短切玻璃纤维更具优势，长度为3-5mm的短切纤维在聚丙烯酸酯基体中形成三维互穿网络结构，相较于长纤维体系更不易断裂，且表现出优异的各向同性，冲击强度提升27%。同时，通过超支化聚酯与癸二酸二辛酯协同增韧，使抗拉强度达350MPa。所以，最终我们选择短切玻璃纤维增强聚丙烯酸酯替代传统钢板，实现“轻量化、高强度”为一体的性能突破。</w:t>
      </w:r>
    </w:p>
    <w:p w14:paraId="630E6C1A">
      <w:pPr>
        <w:pageBreakBefore w:val="0"/>
        <w:widowControl w:val="0"/>
        <w:kinsoku/>
        <w:wordWrap/>
        <w:overflowPunct/>
        <w:topLinePunct w:val="0"/>
        <w:autoSpaceDE/>
        <w:autoSpaceDN/>
        <w:bidi w:val="0"/>
        <w:adjustRightInd/>
        <w:snapToGrid/>
        <w:spacing w:afterAutospacing="0" w:line="360" w:lineRule="auto"/>
        <w:ind w:firstLine="0" w:firstLineChars="0"/>
        <w:jc w:val="center"/>
        <w:textAlignment w:val="auto"/>
        <w:rPr>
          <w:rFonts w:hint="default"/>
          <w:highlight w:val="none"/>
          <w:lang w:val="en-US" w:eastAsia="zh-CN"/>
        </w:rPr>
      </w:pPr>
      <w:r>
        <w:rPr>
          <w:rFonts w:hint="default"/>
          <w:highlight w:val="none"/>
          <w:lang w:val="en-US" w:eastAsia="zh-CN"/>
        </w:rPr>
        <w:drawing>
          <wp:inline distT="0" distB="0" distL="114300" distR="114300">
            <wp:extent cx="3599815" cy="2520315"/>
            <wp:effectExtent l="0" t="0" r="6985" b="6985"/>
            <wp:docPr id="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2"/>
                    <pic:cNvPicPr>
                      <a:picLocks noChangeAspect="1"/>
                    </pic:cNvPicPr>
                  </pic:nvPicPr>
                  <pic:blipFill>
                    <a:blip r:embed="rId34" cstate="print"/>
                    <a:stretch>
                      <a:fillRect/>
                    </a:stretch>
                  </pic:blipFill>
                  <pic:spPr>
                    <a:xfrm>
                      <a:off x="3226435" y="4080510"/>
                      <a:ext cx="3599815" cy="2520315"/>
                    </a:xfrm>
                    <a:prstGeom prst="rect">
                      <a:avLst/>
                    </a:prstGeom>
                    <a:noFill/>
                    <a:ln>
                      <a:noFill/>
                    </a:ln>
                    <a:effectLst/>
                  </pic:spPr>
                </pic:pic>
              </a:graphicData>
            </a:graphic>
          </wp:inline>
        </w:drawing>
      </w:r>
    </w:p>
    <w:p w14:paraId="0B25F021">
      <w:pPr>
        <w:pStyle w:val="5"/>
        <w:bidi w:val="0"/>
        <w:spacing w:before="120" w:beforeLines="50" w:beforeAutospacing="0" w:after="82" w:afterLines="34" w:afterAutospacing="0" w:line="360" w:lineRule="auto"/>
        <w:rPr>
          <w:rFonts w:hint="default"/>
          <w:highlight w:val="none"/>
          <w:lang w:val="en-US" w:eastAsia="zh-CN"/>
        </w:rPr>
      </w:pPr>
      <w:r>
        <w:rPr>
          <w:rFonts w:hint="default"/>
          <w:highlight w:val="none"/>
          <w:lang w:val="en-US" w:eastAsia="zh-CN"/>
        </w:rPr>
        <w:t>图</w:t>
      </w:r>
      <w:r>
        <w:rPr>
          <w:rFonts w:hint="eastAsia"/>
          <w:highlight w:val="none"/>
          <w:lang w:val="en-US" w:eastAsia="zh-CN"/>
        </w:rPr>
        <w:t xml:space="preserve">4-1 </w:t>
      </w:r>
      <w:r>
        <w:rPr>
          <w:rFonts w:hint="default"/>
          <w:highlight w:val="none"/>
          <w:lang w:val="en-US" w:eastAsia="zh-CN"/>
        </w:rPr>
        <w:t>优化板材加工流程图</w:t>
      </w:r>
    </w:p>
    <w:p w14:paraId="621022EA">
      <w:pPr>
        <w:pageBreakBefore w:val="0"/>
        <w:widowControl w:val="0"/>
        <w:kinsoku/>
        <w:wordWrap/>
        <w:overflowPunct/>
        <w:topLinePunct w:val="0"/>
        <w:autoSpaceDE/>
        <w:autoSpaceDN/>
        <w:bidi w:val="0"/>
        <w:adjustRightInd/>
        <w:snapToGrid/>
        <w:spacing w:beforeAutospacing="0" w:line="360" w:lineRule="auto"/>
        <w:ind w:firstLine="562" w:firstLineChars="200"/>
        <w:textAlignment w:val="auto"/>
        <w:rPr>
          <w:rFonts w:hint="default"/>
          <w:b/>
          <w:bCs/>
          <w:highlight w:val="none"/>
          <w:lang w:val="en-US" w:eastAsia="zh-CN"/>
        </w:rPr>
      </w:pPr>
      <w:r>
        <w:rPr>
          <w:rFonts w:hint="eastAsia"/>
          <w:b/>
          <w:bCs/>
          <w:highlight w:val="none"/>
          <w:lang w:val="en-US" w:eastAsia="zh-CN"/>
        </w:rPr>
        <w:t>（2）</w:t>
      </w:r>
      <w:r>
        <w:rPr>
          <w:rFonts w:hint="default"/>
          <w:b/>
          <w:bCs/>
          <w:highlight w:val="none"/>
          <w:lang w:val="en-US" w:eastAsia="zh-CN"/>
        </w:rPr>
        <w:t>工艺突破——梯度振动硫化工艺重塑界面结合</w:t>
      </w:r>
    </w:p>
    <w:p w14:paraId="2027B943">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团队通过文献研究发现，传统热硫化工艺存在的温度波动大、界面孔隙率高、结合强度不足的问题。经过不断实验推理，最终创新性的提出了梯度控温耦合高频振动工艺，采用45℃→120℃±1.5℃阶梯升温策略，使橡胶预聚体与塑料基板达成分子链段渐进互穿，通过20kHz高频振动场，实现结合强度突破至8.5MPa。同时，团队采用配合纳米硅烷涂层工艺，大大提升了硫化均匀性，湿热老化1000h后强度衰减＜9%，较传统工艺寿命延长2.3倍。</w:t>
      </w:r>
    </w:p>
    <w:p w14:paraId="69661906">
      <w:pPr>
        <w:pageBreakBefore w:val="0"/>
        <w:widowControl w:val="0"/>
        <w:kinsoku/>
        <w:wordWrap/>
        <w:overflowPunct/>
        <w:topLinePunct w:val="0"/>
        <w:autoSpaceDE/>
        <w:autoSpaceDN/>
        <w:bidi w:val="0"/>
        <w:adjustRightInd/>
        <w:snapToGrid/>
        <w:spacing w:afterAutospacing="0" w:line="360" w:lineRule="auto"/>
        <w:ind w:firstLine="0" w:firstLineChars="0"/>
        <w:jc w:val="center"/>
        <w:textAlignment w:val="auto"/>
        <w:rPr>
          <w:rFonts w:hint="default"/>
          <w:highlight w:val="none"/>
          <w:lang w:val="en-US" w:eastAsia="zh-CN"/>
        </w:rPr>
      </w:pPr>
      <w:r>
        <w:rPr>
          <w:rFonts w:hint="default"/>
          <w:lang w:val="en-US" w:eastAsia="zh-CN"/>
        </w:rPr>
        <w:drawing>
          <wp:inline distT="0" distB="0" distL="114300" distR="114300">
            <wp:extent cx="3906520" cy="1080135"/>
            <wp:effectExtent l="0" t="0" r="508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35"/>
                    <a:stretch>
                      <a:fillRect/>
                    </a:stretch>
                  </pic:blipFill>
                  <pic:spPr>
                    <a:xfrm>
                      <a:off x="0" y="0"/>
                      <a:ext cx="3906520" cy="1080135"/>
                    </a:xfrm>
                    <a:prstGeom prst="rect">
                      <a:avLst/>
                    </a:prstGeom>
                    <a:noFill/>
                    <a:ln>
                      <a:noFill/>
                    </a:ln>
                  </pic:spPr>
                </pic:pic>
              </a:graphicData>
            </a:graphic>
          </wp:inline>
        </w:drawing>
      </w:r>
    </w:p>
    <w:p w14:paraId="7670A988">
      <w:pPr>
        <w:pStyle w:val="5"/>
        <w:bidi w:val="0"/>
        <w:spacing w:before="67" w:beforeLines="28" w:beforeAutospacing="0" w:after="178" w:afterLines="74" w:afterAutospacing="0" w:line="360" w:lineRule="auto"/>
        <w:rPr>
          <w:rFonts w:hint="default"/>
          <w:highlight w:val="none"/>
          <w:lang w:val="en-US" w:eastAsia="zh-CN"/>
        </w:rPr>
      </w:pPr>
      <w:r>
        <w:rPr>
          <w:rFonts w:hint="default"/>
          <w:highlight w:val="none"/>
          <w:lang w:val="en-US" w:eastAsia="zh-CN"/>
        </w:rPr>
        <w:t>图</w:t>
      </w:r>
      <w:r>
        <w:rPr>
          <w:rFonts w:hint="eastAsia"/>
          <w:highlight w:val="none"/>
          <w:lang w:val="en-US" w:eastAsia="zh-CN"/>
        </w:rPr>
        <w:t xml:space="preserve">4-2 </w:t>
      </w:r>
      <w:r>
        <w:rPr>
          <w:rFonts w:hint="default"/>
          <w:highlight w:val="none"/>
          <w:lang w:val="en-US" w:eastAsia="zh-CN"/>
        </w:rPr>
        <w:t>热硫化工艺示意图</w:t>
      </w:r>
    </w:p>
    <w:p w14:paraId="0B4DAF87">
      <w:pPr>
        <w:pageBreakBefore w:val="0"/>
        <w:widowControl w:val="0"/>
        <w:kinsoku/>
        <w:wordWrap/>
        <w:overflowPunct/>
        <w:topLinePunct w:val="0"/>
        <w:autoSpaceDE/>
        <w:autoSpaceDN/>
        <w:bidi w:val="0"/>
        <w:adjustRightInd/>
        <w:snapToGrid/>
        <w:spacing w:beforeAutospacing="0" w:line="360" w:lineRule="auto"/>
        <w:ind w:firstLine="562" w:firstLineChars="200"/>
        <w:textAlignment w:val="auto"/>
        <w:rPr>
          <w:rFonts w:hint="default" w:ascii="Times New Roman" w:hAnsi="Times New Roman"/>
          <w:b/>
          <w:bCs/>
          <w:highlight w:val="none"/>
          <w:lang w:val="en-US" w:eastAsia="zh-CN"/>
        </w:rPr>
      </w:pPr>
      <w:r>
        <w:rPr>
          <w:rFonts w:hint="eastAsia" w:ascii="Times New Roman" w:hAnsi="Times New Roman"/>
          <w:b/>
          <w:bCs/>
          <w:highlight w:val="none"/>
          <w:lang w:val="en-US" w:eastAsia="zh-CN"/>
        </w:rPr>
        <w:t>（3）</w:t>
      </w:r>
      <w:r>
        <w:rPr>
          <w:rFonts w:hint="default" w:ascii="Times New Roman" w:hAnsi="Times New Roman"/>
          <w:b/>
          <w:bCs/>
          <w:highlight w:val="none"/>
          <w:lang w:val="en-US" w:eastAsia="zh-CN"/>
        </w:rPr>
        <w:t>安装优化——模块化卡接结构重构支座力学体系</w:t>
      </w:r>
    </w:p>
    <w:p w14:paraId="1FA7B9F9">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highlight w:val="none"/>
          <w:lang w:val="en-US" w:eastAsia="zh-CN"/>
        </w:rPr>
      </w:pPr>
      <w:r>
        <w:rPr>
          <w:rFonts w:hint="default" w:ascii="Times New Roman" w:hAnsi="Times New Roman"/>
          <w:highlight w:val="none"/>
          <w:lang w:val="en-US" w:eastAsia="zh-CN"/>
        </w:rPr>
        <w:t>团队通过分析市面上其他隔震支座，发现传统隔震支座依赖焊接和植筋，且需要大型起重机和专业施工队，团队根据村镇经济性的需求，首创零机械凹槽卡接体系，通过有限元拓扑优化设计标准化凹槽，使基梁接触面积达98.7%，应力集中系数降至1.4，配合预制装配技术，实现1h快速安装。通过振动台试验证实，该结构在0.3g地震波下位移量＜2mm，且3000次循环荷载后咬合面间隙增长量＜0.02mm，完美适配砌体结构形变特性，彻底摆脱大型吊装设备依赖。</w:t>
      </w:r>
    </w:p>
    <w:p w14:paraId="042DE189">
      <w:pPr>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drawing>
          <wp:inline distT="0" distB="0" distL="114300" distR="114300">
            <wp:extent cx="1889760" cy="1259840"/>
            <wp:effectExtent l="0" t="0" r="2540" b="10160"/>
            <wp:docPr id="1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7"/>
                    <pic:cNvPicPr>
                      <a:picLocks noChangeAspect="1"/>
                    </pic:cNvPicPr>
                  </pic:nvPicPr>
                  <pic:blipFill>
                    <a:blip r:embed="rId36"/>
                    <a:stretch>
                      <a:fillRect/>
                    </a:stretch>
                  </pic:blipFill>
                  <pic:spPr>
                    <a:xfrm>
                      <a:off x="0" y="0"/>
                      <a:ext cx="1889760" cy="1259840"/>
                    </a:xfrm>
                    <a:prstGeom prst="rect">
                      <a:avLst/>
                    </a:prstGeom>
                    <a:noFill/>
                    <a:ln>
                      <a:noFill/>
                    </a:ln>
                  </pic:spPr>
                </pic:pic>
              </a:graphicData>
            </a:graphic>
          </wp:inline>
        </w:drawing>
      </w:r>
      <w:r>
        <w:rPr>
          <w:rFonts w:hint="default"/>
          <w:highlight w:val="none"/>
          <w:lang w:val="en-US" w:eastAsia="zh-CN"/>
        </w:rPr>
        <w:drawing>
          <wp:inline distT="0" distB="0" distL="114300" distR="114300">
            <wp:extent cx="1889760" cy="1259840"/>
            <wp:effectExtent l="0" t="0" r="2540" b="10160"/>
            <wp:docPr id="14" name="图片 21" descr="3b5fc1c216fc966c8292436d8f92d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1" descr="3b5fc1c216fc966c8292436d8f92d79"/>
                    <pic:cNvPicPr>
                      <a:picLocks noChangeAspect="1"/>
                    </pic:cNvPicPr>
                  </pic:nvPicPr>
                  <pic:blipFill>
                    <a:blip r:embed="rId37"/>
                    <a:stretch>
                      <a:fillRect/>
                    </a:stretch>
                  </pic:blipFill>
                  <pic:spPr>
                    <a:xfrm>
                      <a:off x="0" y="0"/>
                      <a:ext cx="1889760" cy="1259840"/>
                    </a:xfrm>
                    <a:prstGeom prst="rect">
                      <a:avLst/>
                    </a:prstGeom>
                    <a:noFill/>
                    <a:ln>
                      <a:noFill/>
                    </a:ln>
                  </pic:spPr>
                </pic:pic>
              </a:graphicData>
            </a:graphic>
          </wp:inline>
        </w:drawing>
      </w:r>
    </w:p>
    <w:p w14:paraId="03672ABE">
      <w:pPr>
        <w:pStyle w:val="5"/>
        <w:bidi w:val="0"/>
        <w:spacing w:line="360" w:lineRule="auto"/>
        <w:rPr>
          <w:rFonts w:hint="default"/>
          <w:highlight w:val="none"/>
          <w:lang w:val="en-US" w:eastAsia="zh-CN"/>
        </w:rPr>
      </w:pPr>
      <w:r>
        <w:rPr>
          <w:rFonts w:hint="default"/>
          <w:highlight w:val="none"/>
          <w:lang w:val="en-US" w:eastAsia="zh-CN"/>
        </w:rPr>
        <w:t>图</w:t>
      </w:r>
      <w:r>
        <w:rPr>
          <w:rFonts w:hint="eastAsia"/>
          <w:highlight w:val="none"/>
          <w:lang w:val="en-US" w:eastAsia="zh-CN"/>
        </w:rPr>
        <w:t xml:space="preserve">4-3 </w:t>
      </w:r>
      <w:r>
        <w:rPr>
          <w:rFonts w:hint="default"/>
          <w:highlight w:val="none"/>
          <w:lang w:val="en-US" w:eastAsia="zh-CN"/>
        </w:rPr>
        <w:t>标准化凹槽设计</w:t>
      </w:r>
      <w:r>
        <w:rPr>
          <w:rFonts w:hint="eastAsia"/>
          <w:highlight w:val="none"/>
          <w:lang w:val="en-US" w:eastAsia="zh-CN"/>
        </w:rPr>
        <w:t xml:space="preserve">     </w:t>
      </w:r>
      <w:r>
        <w:rPr>
          <w:rFonts w:hint="default"/>
          <w:highlight w:val="none"/>
          <w:lang w:val="en-US" w:eastAsia="zh-CN"/>
        </w:rPr>
        <w:t>图</w:t>
      </w:r>
      <w:r>
        <w:rPr>
          <w:rFonts w:hint="eastAsia"/>
          <w:highlight w:val="none"/>
          <w:lang w:val="en-US" w:eastAsia="zh-CN"/>
        </w:rPr>
        <w:t>4-4</w:t>
      </w:r>
      <w:r>
        <w:rPr>
          <w:rFonts w:hint="default"/>
          <w:highlight w:val="none"/>
          <w:lang w:val="en-US" w:eastAsia="zh-CN"/>
        </w:rPr>
        <w:t>自锁式结构设计</w:t>
      </w:r>
    </w:p>
    <w:p w14:paraId="72E29430">
      <w:pPr>
        <w:pStyle w:val="4"/>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bookmarkStart w:id="80" w:name="_Toc17900"/>
      <w:bookmarkStart w:id="81" w:name="_Toc19014"/>
      <w:r>
        <w:rPr>
          <w:rFonts w:hint="eastAsia"/>
          <w:highlight w:val="none"/>
          <w:lang w:val="en-US" w:eastAsia="zh-CN"/>
        </w:rPr>
        <w:t>4.1.2技术原理</w:t>
      </w:r>
      <w:bookmarkEnd w:id="80"/>
      <w:bookmarkEnd w:id="81"/>
    </w:p>
    <w:p w14:paraId="3B272EF9">
      <w:pPr>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b/>
          <w:bCs/>
          <w:highlight w:val="none"/>
          <w:lang w:val="en-US" w:eastAsia="zh-CN"/>
        </w:rPr>
      </w:pPr>
      <w:r>
        <w:rPr>
          <w:rFonts w:hint="eastAsia"/>
          <w:b/>
          <w:bCs/>
          <w:highlight w:val="none"/>
          <w:lang w:val="en-US" w:eastAsia="zh-CN"/>
        </w:rPr>
        <w:t>（</w:t>
      </w:r>
      <w:r>
        <w:rPr>
          <w:rFonts w:hint="default"/>
          <w:b/>
          <w:bCs/>
          <w:highlight w:val="none"/>
          <w:lang w:val="en-US" w:eastAsia="zh-CN"/>
        </w:rPr>
        <w:t>1</w:t>
      </w:r>
      <w:r>
        <w:rPr>
          <w:rFonts w:hint="eastAsia"/>
          <w:b/>
          <w:bCs/>
          <w:highlight w:val="none"/>
          <w:lang w:val="en-US" w:eastAsia="zh-CN"/>
        </w:rPr>
        <w:t>）</w:t>
      </w:r>
      <w:r>
        <w:rPr>
          <w:rFonts w:hint="default"/>
          <w:b/>
          <w:bCs/>
          <w:highlight w:val="none"/>
          <w:lang w:val="en-US" w:eastAsia="zh-CN"/>
        </w:rPr>
        <w:t>基础隔震技术基本原理</w:t>
      </w:r>
    </w:p>
    <w:p w14:paraId="4BAAF16A">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highlight w:val="none"/>
          <w:lang w:val="en-US" w:eastAsia="zh-CN"/>
        </w:rPr>
      </w:pPr>
      <w:r>
        <w:rPr>
          <w:rFonts w:hint="default"/>
          <w:highlight w:val="none"/>
          <w:lang w:val="en-US" w:eastAsia="zh-CN"/>
        </w:rPr>
        <w:t>该技术通过设置低刚度、高阻尼的隔震层于建筑基底，利用隔震装置的垂直承载特性与水平柔性变形能力，实现地震能量输入与上部结构的解耦。核心机理包含频率解谐效应及能量重分配机制。隔震层采用分层剪切变形模式，通过叠层橡胶支座的压缩刚度和剪切模量比控制结构平动响应</w:t>
      </w:r>
      <w:r>
        <w:rPr>
          <w:rFonts w:hint="eastAsia"/>
          <w:highlight w:val="none"/>
          <w:lang w:val="en-US" w:eastAsia="zh-CN"/>
        </w:rPr>
        <w:t>。</w:t>
      </w:r>
    </w:p>
    <w:p w14:paraId="1E035D15">
      <w:pPr>
        <w:pageBreakBefore w:val="0"/>
        <w:widowControl w:val="0"/>
        <w:kinsoku/>
        <w:wordWrap/>
        <w:overflowPunct/>
        <w:topLinePunct w:val="0"/>
        <w:autoSpaceDE/>
        <w:autoSpaceDN/>
        <w:bidi w:val="0"/>
        <w:adjustRightInd/>
        <w:snapToGrid/>
        <w:spacing w:afterAutospacing="0" w:line="360" w:lineRule="auto"/>
        <w:ind w:firstLine="0" w:firstLineChars="0"/>
        <w:jc w:val="center"/>
        <w:textAlignment w:val="auto"/>
        <w:rPr>
          <w:rFonts w:hint="default"/>
          <w:highlight w:val="none"/>
          <w:lang w:val="en-US" w:eastAsia="zh-CN"/>
        </w:rPr>
      </w:pPr>
      <w:r>
        <w:rPr>
          <w:rFonts w:hint="default"/>
          <w:highlight w:val="none"/>
          <w:lang w:val="en-US" w:eastAsia="zh-CN"/>
        </w:rPr>
        <w:drawing>
          <wp:inline distT="0" distB="0" distL="114300" distR="114300">
            <wp:extent cx="3599815" cy="1440180"/>
            <wp:effectExtent l="0" t="0" r="6985" b="7620"/>
            <wp:docPr id="20" name="图片 1" descr="97a6023218f621b92b258f8bb67bb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descr="97a6023218f621b92b258f8bb67bbc2"/>
                    <pic:cNvPicPr>
                      <a:picLocks noChangeAspect="1"/>
                    </pic:cNvPicPr>
                  </pic:nvPicPr>
                  <pic:blipFill>
                    <a:blip r:embed="rId38"/>
                    <a:srcRect l="2882" t="4739" r="3799" b="5719"/>
                    <a:stretch>
                      <a:fillRect/>
                    </a:stretch>
                  </pic:blipFill>
                  <pic:spPr>
                    <a:xfrm>
                      <a:off x="0" y="0"/>
                      <a:ext cx="3599815" cy="1440180"/>
                    </a:xfrm>
                    <a:prstGeom prst="rect">
                      <a:avLst/>
                    </a:prstGeom>
                    <a:noFill/>
                    <a:ln>
                      <a:noFill/>
                    </a:ln>
                  </pic:spPr>
                </pic:pic>
              </a:graphicData>
            </a:graphic>
          </wp:inline>
        </w:drawing>
      </w:r>
    </w:p>
    <w:p w14:paraId="6C30E538">
      <w:pPr>
        <w:pStyle w:val="5"/>
        <w:bidi w:val="0"/>
        <w:spacing w:before="53" w:beforeLines="22" w:beforeAutospacing="0" w:after="120" w:afterLines="50" w:afterAutospacing="0" w:line="360" w:lineRule="auto"/>
        <w:rPr>
          <w:rFonts w:hint="default"/>
          <w:highlight w:val="none"/>
          <w:lang w:val="en-US" w:eastAsia="zh-CN"/>
        </w:rPr>
      </w:pPr>
      <w:r>
        <w:rPr>
          <w:rFonts w:hint="default"/>
          <w:highlight w:val="none"/>
          <w:lang w:val="en-US" w:eastAsia="zh-CN"/>
        </w:rPr>
        <w:t>图</w:t>
      </w:r>
      <w:r>
        <w:rPr>
          <w:rFonts w:hint="eastAsia"/>
          <w:highlight w:val="none"/>
          <w:lang w:val="en-US" w:eastAsia="zh-CN"/>
        </w:rPr>
        <w:t xml:space="preserve">4-5 </w:t>
      </w:r>
      <w:r>
        <w:rPr>
          <w:rFonts w:hint="default"/>
          <w:highlight w:val="none"/>
          <w:lang w:val="en-US" w:eastAsia="zh-CN"/>
        </w:rPr>
        <w:t>基础隔震结构构造示意图</w:t>
      </w:r>
    </w:p>
    <w:p w14:paraId="4EEFC10A">
      <w:pPr>
        <w:pageBreakBefore w:val="0"/>
        <w:widowControl w:val="0"/>
        <w:kinsoku/>
        <w:wordWrap/>
        <w:overflowPunct/>
        <w:topLinePunct w:val="0"/>
        <w:autoSpaceDE/>
        <w:autoSpaceDN/>
        <w:bidi w:val="0"/>
        <w:adjustRightInd/>
        <w:snapToGrid/>
        <w:spacing w:beforeAutospacing="0" w:line="360" w:lineRule="auto"/>
        <w:ind w:firstLine="562" w:firstLineChars="200"/>
        <w:textAlignment w:val="auto"/>
        <w:rPr>
          <w:rFonts w:hint="default"/>
          <w:b/>
          <w:bCs/>
          <w:highlight w:val="none"/>
          <w:lang w:val="en-US" w:eastAsia="zh-CN"/>
        </w:rPr>
      </w:pPr>
      <w:r>
        <w:rPr>
          <w:rFonts w:hint="eastAsia"/>
          <w:b/>
          <w:bCs/>
          <w:highlight w:val="none"/>
          <w:lang w:val="en-US" w:eastAsia="zh-CN"/>
        </w:rPr>
        <w:t>（</w:t>
      </w:r>
      <w:r>
        <w:rPr>
          <w:rFonts w:hint="default"/>
          <w:b/>
          <w:bCs/>
          <w:highlight w:val="none"/>
          <w:lang w:val="en-US" w:eastAsia="zh-CN"/>
        </w:rPr>
        <w:t>2</w:t>
      </w:r>
      <w:r>
        <w:rPr>
          <w:rFonts w:hint="eastAsia"/>
          <w:b/>
          <w:bCs/>
          <w:highlight w:val="none"/>
          <w:lang w:val="en-US" w:eastAsia="zh-CN"/>
        </w:rPr>
        <w:t>）</w:t>
      </w:r>
      <w:r>
        <w:rPr>
          <w:rFonts w:hint="default"/>
          <w:b/>
          <w:bCs/>
          <w:highlight w:val="none"/>
          <w:lang w:val="en-US" w:eastAsia="zh-CN"/>
        </w:rPr>
        <w:t>短切纤维多向复合增强技术原理</w:t>
      </w:r>
    </w:p>
    <w:p w14:paraId="23BB0C6A">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采用短切玻璃纤维与聚丙烯酸酯基体通过双螺杆挤出实现纤维取向优化分布。纤维-基体界面通过硅烷偶联剂建立化学键合，形成应力传递网络。短纤维的随机分布产生多向约束效应，通过裂纹尖端纤维桥接机制抑制裂纹扩展</w:t>
      </w:r>
      <w:r>
        <w:rPr>
          <w:rFonts w:hint="eastAsia"/>
          <w:highlight w:val="none"/>
          <w:lang w:val="en-US" w:eastAsia="zh-CN"/>
        </w:rPr>
        <w:t>，</w:t>
      </w:r>
      <w:r>
        <w:rPr>
          <w:rFonts w:hint="default"/>
          <w:highlight w:val="none"/>
          <w:lang w:val="en-US" w:eastAsia="zh-CN"/>
        </w:rPr>
        <w:t>玻璃纤维体积分数控制在15-25%时，可兼顾复合材料的弹性模量和断裂韧性，实现准脆性破坏模式向韧性破坏转变。</w:t>
      </w:r>
    </w:p>
    <w:p w14:paraId="686DBA6F">
      <w:pPr>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drawing>
          <wp:inline distT="0" distB="0" distL="114300" distR="114300">
            <wp:extent cx="3599815" cy="1440180"/>
            <wp:effectExtent l="0" t="0" r="6985" b="762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39"/>
                    <a:srcRect l="1341" r="4413" b="13824"/>
                    <a:stretch>
                      <a:fillRect/>
                    </a:stretch>
                  </pic:blipFill>
                  <pic:spPr>
                    <a:xfrm>
                      <a:off x="0" y="0"/>
                      <a:ext cx="3599815" cy="1440180"/>
                    </a:xfrm>
                    <a:prstGeom prst="rect">
                      <a:avLst/>
                    </a:prstGeom>
                    <a:noFill/>
                    <a:ln>
                      <a:noFill/>
                    </a:ln>
                  </pic:spPr>
                </pic:pic>
              </a:graphicData>
            </a:graphic>
          </wp:inline>
        </w:drawing>
      </w:r>
    </w:p>
    <w:p w14:paraId="069F56E8">
      <w:pPr>
        <w:pStyle w:val="5"/>
        <w:bidi w:val="0"/>
        <w:spacing w:line="360" w:lineRule="auto"/>
        <w:rPr>
          <w:rFonts w:hint="default"/>
          <w:highlight w:val="none"/>
          <w:lang w:val="en-US" w:eastAsia="zh-CN"/>
        </w:rPr>
      </w:pPr>
      <w:r>
        <w:rPr>
          <w:rFonts w:hint="default"/>
          <w:highlight w:val="none"/>
          <w:lang w:val="en-US" w:eastAsia="zh-CN"/>
        </w:rPr>
        <w:t>图</w:t>
      </w:r>
      <w:r>
        <w:rPr>
          <w:rFonts w:hint="eastAsia"/>
          <w:highlight w:val="none"/>
          <w:lang w:val="en-US" w:eastAsia="zh-CN"/>
        </w:rPr>
        <w:t xml:space="preserve">4-6 </w:t>
      </w:r>
      <w:r>
        <w:rPr>
          <w:rFonts w:hint="default"/>
          <w:highlight w:val="none"/>
          <w:lang w:val="en-US" w:eastAsia="zh-CN"/>
        </w:rPr>
        <w:t>层合板结构示意图</w:t>
      </w:r>
    </w:p>
    <w:p w14:paraId="616F25A5">
      <w:pPr>
        <w:pageBreakBefore w:val="0"/>
        <w:widowControl w:val="0"/>
        <w:kinsoku/>
        <w:wordWrap/>
        <w:overflowPunct/>
        <w:topLinePunct w:val="0"/>
        <w:autoSpaceDE/>
        <w:autoSpaceDN/>
        <w:bidi w:val="0"/>
        <w:adjustRightInd/>
        <w:snapToGrid/>
        <w:spacing w:afterAutospacing="0" w:line="360" w:lineRule="auto"/>
        <w:ind w:firstLine="0" w:firstLineChars="0"/>
        <w:jc w:val="center"/>
        <w:textAlignment w:val="auto"/>
        <w:rPr>
          <w:rFonts w:hint="default"/>
          <w:highlight w:val="none"/>
          <w:lang w:val="en-US" w:eastAsia="zh-CN"/>
        </w:rPr>
      </w:pPr>
      <w:r>
        <w:rPr>
          <w:rFonts w:hint="default"/>
          <w:highlight w:val="none"/>
          <w:lang w:val="en-US" w:eastAsia="zh-CN"/>
        </w:rPr>
        <w:drawing>
          <wp:inline distT="0" distB="0" distL="114300" distR="114300">
            <wp:extent cx="3599815" cy="1440180"/>
            <wp:effectExtent l="0" t="0" r="6985" b="762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40"/>
                    <a:srcRect l="716" t="1079" r="3333" b="12347"/>
                    <a:stretch>
                      <a:fillRect/>
                    </a:stretch>
                  </pic:blipFill>
                  <pic:spPr>
                    <a:xfrm>
                      <a:off x="0" y="0"/>
                      <a:ext cx="3599815" cy="1440180"/>
                    </a:xfrm>
                    <a:prstGeom prst="rect">
                      <a:avLst/>
                    </a:prstGeom>
                    <a:noFill/>
                    <a:ln>
                      <a:noFill/>
                    </a:ln>
                  </pic:spPr>
                </pic:pic>
              </a:graphicData>
            </a:graphic>
          </wp:inline>
        </w:drawing>
      </w:r>
    </w:p>
    <w:p w14:paraId="34665E95">
      <w:pPr>
        <w:pStyle w:val="5"/>
        <w:bidi w:val="0"/>
        <w:spacing w:beforeAutospacing="0" w:after="163" w:afterLines="68" w:afterAutospacing="0" w:line="360" w:lineRule="auto"/>
        <w:rPr>
          <w:rFonts w:hint="default"/>
          <w:highlight w:val="none"/>
          <w:lang w:val="en-US" w:eastAsia="zh-CN"/>
        </w:rPr>
      </w:pPr>
      <w:r>
        <w:rPr>
          <w:rFonts w:hint="default"/>
          <w:highlight w:val="none"/>
          <w:lang w:val="en-US" w:eastAsia="zh-CN"/>
        </w:rPr>
        <w:t>图</w:t>
      </w:r>
      <w:r>
        <w:rPr>
          <w:rFonts w:hint="eastAsia"/>
          <w:highlight w:val="none"/>
          <w:lang w:val="en-US" w:eastAsia="zh-CN"/>
        </w:rPr>
        <w:t xml:space="preserve">4-7 </w:t>
      </w:r>
      <w:r>
        <w:rPr>
          <w:rFonts w:hint="default"/>
          <w:highlight w:val="none"/>
          <w:lang w:val="en-US" w:eastAsia="zh-CN"/>
        </w:rPr>
        <w:t>纤维增强工程塑料板选材</w:t>
      </w:r>
    </w:p>
    <w:p w14:paraId="439086CE">
      <w:pPr>
        <w:pageBreakBefore w:val="0"/>
        <w:widowControl w:val="0"/>
        <w:kinsoku/>
        <w:wordWrap/>
        <w:overflowPunct/>
        <w:topLinePunct w:val="0"/>
        <w:autoSpaceDE/>
        <w:autoSpaceDN/>
        <w:bidi w:val="0"/>
        <w:adjustRightInd/>
        <w:snapToGrid/>
        <w:spacing w:beforeAutospacing="0" w:line="360" w:lineRule="auto"/>
        <w:ind w:firstLine="562" w:firstLineChars="200"/>
        <w:textAlignment w:val="auto"/>
        <w:rPr>
          <w:rFonts w:hint="default"/>
          <w:b/>
          <w:bCs/>
          <w:highlight w:val="none"/>
          <w:lang w:val="en-US" w:eastAsia="zh-CN"/>
        </w:rPr>
      </w:pPr>
      <w:r>
        <w:rPr>
          <w:rFonts w:hint="eastAsia"/>
          <w:b/>
          <w:bCs/>
          <w:highlight w:val="none"/>
          <w:lang w:val="en-US" w:eastAsia="zh-CN"/>
        </w:rPr>
        <w:t>（</w:t>
      </w:r>
      <w:r>
        <w:rPr>
          <w:rFonts w:hint="default"/>
          <w:b/>
          <w:bCs/>
          <w:highlight w:val="none"/>
          <w:lang w:val="en-US" w:eastAsia="zh-CN"/>
        </w:rPr>
        <w:t>3</w:t>
      </w:r>
      <w:r>
        <w:rPr>
          <w:rFonts w:hint="eastAsia"/>
          <w:b/>
          <w:bCs/>
          <w:highlight w:val="none"/>
          <w:lang w:val="en-US" w:eastAsia="zh-CN"/>
        </w:rPr>
        <w:t>）</w:t>
      </w:r>
      <w:r>
        <w:rPr>
          <w:rFonts w:hint="default"/>
          <w:b/>
          <w:bCs/>
          <w:highlight w:val="none"/>
          <w:lang w:val="en-US" w:eastAsia="zh-CN"/>
        </w:rPr>
        <w:t>界面共价键热硫化改性技术原理</w:t>
      </w:r>
    </w:p>
    <w:p w14:paraId="2E073EBC">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针对工程塑料板替代钢板的界面特性，热硫化工艺实施三项关键改进：首先对塑料表面进行等离子体处理或化学蚀刻，生成活性羧基/羟基基团，与硫磺硫化体系形成C-S-C共价键；其次引入马来酸酐接枝型相容剂，通过酯化反应增强分子链缠结；同步优化硫化参数至120-135℃、30-40分钟，避免塑料热变形并确保交联密度达标；最后在塑料表面预制微孔结构，利用橡胶熔融渗透形成机械互锁，补偿界面热膨胀差异。</w:t>
      </w:r>
    </w:p>
    <w:p w14:paraId="30425A04">
      <w:pPr>
        <w:pageBreakBefore w:val="0"/>
        <w:widowControl w:val="0"/>
        <w:kinsoku/>
        <w:wordWrap/>
        <w:overflowPunct/>
        <w:topLinePunct w:val="0"/>
        <w:autoSpaceDE/>
        <w:autoSpaceDN/>
        <w:bidi w:val="0"/>
        <w:adjustRightInd/>
        <w:snapToGrid/>
        <w:spacing w:afterAutospacing="0" w:line="360" w:lineRule="auto"/>
        <w:ind w:firstLine="0" w:firstLineChars="0"/>
        <w:jc w:val="center"/>
        <w:textAlignment w:val="auto"/>
        <w:rPr>
          <w:rFonts w:hint="default"/>
          <w:highlight w:val="none"/>
          <w:lang w:val="en-US" w:eastAsia="zh-CN"/>
        </w:rPr>
      </w:pPr>
      <w:r>
        <w:rPr>
          <w:rFonts w:hint="default"/>
          <w:highlight w:val="none"/>
          <w:lang w:val="en-US" w:eastAsia="zh-CN"/>
        </w:rPr>
        <w:drawing>
          <wp:inline distT="0" distB="0" distL="114300" distR="114300">
            <wp:extent cx="3599815" cy="2520315"/>
            <wp:effectExtent l="0" t="0" r="6985" b="6985"/>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41"/>
                    <a:srcRect b="5547"/>
                    <a:stretch>
                      <a:fillRect/>
                    </a:stretch>
                  </pic:blipFill>
                  <pic:spPr>
                    <a:xfrm>
                      <a:off x="0" y="0"/>
                      <a:ext cx="3599815" cy="2520315"/>
                    </a:xfrm>
                    <a:prstGeom prst="rect">
                      <a:avLst/>
                    </a:prstGeom>
                    <a:noFill/>
                    <a:ln>
                      <a:noFill/>
                    </a:ln>
                  </pic:spPr>
                </pic:pic>
              </a:graphicData>
            </a:graphic>
          </wp:inline>
        </w:drawing>
      </w:r>
    </w:p>
    <w:p w14:paraId="5BBB82A9">
      <w:pPr>
        <w:pStyle w:val="5"/>
        <w:bidi w:val="0"/>
        <w:spacing w:before="77" w:beforeLines="32" w:beforeAutospacing="0" w:after="79" w:afterLines="33" w:afterAutospacing="0" w:line="360" w:lineRule="auto"/>
        <w:rPr>
          <w:rFonts w:hint="eastAsia"/>
          <w:b/>
          <w:bCs/>
          <w:highlight w:val="none"/>
          <w:lang w:val="en-US" w:eastAsia="zh-CN"/>
        </w:rPr>
      </w:pPr>
      <w:r>
        <w:rPr>
          <w:rFonts w:hint="default"/>
          <w:highlight w:val="none"/>
          <w:lang w:val="en-US" w:eastAsia="zh-CN"/>
        </w:rPr>
        <w:t>图</w:t>
      </w:r>
      <w:r>
        <w:rPr>
          <w:rFonts w:hint="eastAsia"/>
          <w:highlight w:val="none"/>
          <w:lang w:val="en-US" w:eastAsia="zh-CN"/>
        </w:rPr>
        <w:t xml:space="preserve">4-8 </w:t>
      </w:r>
      <w:r>
        <w:rPr>
          <w:rFonts w:hint="default"/>
          <w:highlight w:val="none"/>
          <w:lang w:val="en-US" w:eastAsia="zh-CN"/>
        </w:rPr>
        <w:t>热硫化工艺流程图</w:t>
      </w:r>
    </w:p>
    <w:p w14:paraId="74CC1F92">
      <w:pPr>
        <w:pageBreakBefore w:val="0"/>
        <w:widowControl w:val="0"/>
        <w:kinsoku/>
        <w:wordWrap/>
        <w:overflowPunct/>
        <w:topLinePunct w:val="0"/>
        <w:autoSpaceDE/>
        <w:autoSpaceDN/>
        <w:bidi w:val="0"/>
        <w:adjustRightInd/>
        <w:snapToGrid/>
        <w:spacing w:beforeAutospacing="0" w:line="360" w:lineRule="auto"/>
        <w:ind w:firstLine="562" w:firstLineChars="200"/>
        <w:textAlignment w:val="auto"/>
        <w:rPr>
          <w:rFonts w:hint="default"/>
          <w:b/>
          <w:bCs/>
          <w:highlight w:val="none"/>
          <w:lang w:val="en-US" w:eastAsia="zh-CN"/>
        </w:rPr>
      </w:pPr>
      <w:r>
        <w:rPr>
          <w:rFonts w:hint="eastAsia"/>
          <w:b/>
          <w:bCs/>
          <w:highlight w:val="none"/>
          <w:lang w:val="en-US" w:eastAsia="zh-CN"/>
        </w:rPr>
        <w:t>（</w:t>
      </w:r>
      <w:r>
        <w:rPr>
          <w:rFonts w:hint="default"/>
          <w:b/>
          <w:bCs/>
          <w:highlight w:val="none"/>
          <w:lang w:val="en-US" w:eastAsia="zh-CN"/>
        </w:rPr>
        <w:t>4</w:t>
      </w:r>
      <w:r>
        <w:rPr>
          <w:rFonts w:hint="eastAsia"/>
          <w:b/>
          <w:bCs/>
          <w:highlight w:val="none"/>
          <w:lang w:val="en-US" w:eastAsia="zh-CN"/>
        </w:rPr>
        <w:t>）</w:t>
      </w:r>
      <w:r>
        <w:rPr>
          <w:rFonts w:hint="default"/>
          <w:b/>
          <w:bCs/>
          <w:highlight w:val="none"/>
          <w:lang w:val="en-US" w:eastAsia="zh-CN"/>
        </w:rPr>
        <w:t>模数化榫卯自锁安装技术原理</w:t>
      </w:r>
    </w:p>
    <w:p w14:paraId="7FD977DF">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基于砌体结构模数化特征，设计带燕尾槽的标准化预制混凝土基座。隔震支座底面预铸凸榫，通过榫卯几何约束实现水平限位，凸榫与基座采用H7/g6公差配合。竖向荷载由接触面摩擦系数不低于0.4提供抗滑移能力，替代传统锚筋固定。界面填充膨胀珍珠岩灌浆料，利用其260毫米以上的流动度渗透微孔隙，通过0.02%至0.05%的微膨胀特性建立三维压应力场，形成自锁效应。</w:t>
      </w:r>
    </w:p>
    <w:p w14:paraId="15F46B69">
      <w:pPr>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drawing>
          <wp:inline distT="0" distB="0" distL="114300" distR="114300">
            <wp:extent cx="3599815" cy="1440180"/>
            <wp:effectExtent l="0" t="0" r="6985" b="7620"/>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42"/>
                    <a:srcRect r="565"/>
                    <a:stretch>
                      <a:fillRect/>
                    </a:stretch>
                  </pic:blipFill>
                  <pic:spPr>
                    <a:xfrm>
                      <a:off x="0" y="0"/>
                      <a:ext cx="3599815" cy="1440180"/>
                    </a:xfrm>
                    <a:prstGeom prst="rect">
                      <a:avLst/>
                    </a:prstGeom>
                    <a:noFill/>
                    <a:ln>
                      <a:noFill/>
                    </a:ln>
                  </pic:spPr>
                </pic:pic>
              </a:graphicData>
            </a:graphic>
          </wp:inline>
        </w:drawing>
      </w:r>
    </w:p>
    <w:p w14:paraId="00DF7E03">
      <w:pPr>
        <w:pStyle w:val="5"/>
        <w:bidi w:val="0"/>
        <w:spacing w:line="360" w:lineRule="auto"/>
        <w:rPr>
          <w:rFonts w:hint="default"/>
          <w:highlight w:val="none"/>
          <w:lang w:val="en-US" w:eastAsia="zh-CN"/>
        </w:rPr>
      </w:pPr>
      <w:r>
        <w:rPr>
          <w:rFonts w:hint="default"/>
          <w:highlight w:val="none"/>
          <w:lang w:val="en-US" w:eastAsia="zh-CN"/>
        </w:rPr>
        <w:t>图</w:t>
      </w:r>
      <w:r>
        <w:rPr>
          <w:rFonts w:hint="eastAsia"/>
          <w:highlight w:val="none"/>
          <w:lang w:val="en-US" w:eastAsia="zh-CN"/>
        </w:rPr>
        <w:t xml:space="preserve">4-9 </w:t>
      </w:r>
      <w:r>
        <w:rPr>
          <w:rFonts w:hint="default"/>
          <w:highlight w:val="none"/>
          <w:lang w:val="en-US" w:eastAsia="zh-CN"/>
        </w:rPr>
        <w:t>内外墙位置隔震层构造示意图</w:t>
      </w:r>
    </w:p>
    <w:p w14:paraId="2A7E7884">
      <w:pPr>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drawing>
          <wp:inline distT="0" distB="0" distL="114300" distR="114300">
            <wp:extent cx="3599815" cy="1440180"/>
            <wp:effectExtent l="0" t="0" r="6985" b="7620"/>
            <wp:docPr id="2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3"/>
                    <pic:cNvPicPr>
                      <a:picLocks noChangeAspect="1"/>
                    </pic:cNvPicPr>
                  </pic:nvPicPr>
                  <pic:blipFill>
                    <a:blip r:embed="rId43"/>
                    <a:srcRect b="11623"/>
                    <a:stretch>
                      <a:fillRect/>
                    </a:stretch>
                  </pic:blipFill>
                  <pic:spPr>
                    <a:xfrm>
                      <a:off x="0" y="0"/>
                      <a:ext cx="3599815" cy="1440180"/>
                    </a:xfrm>
                    <a:prstGeom prst="rect">
                      <a:avLst/>
                    </a:prstGeom>
                    <a:noFill/>
                    <a:ln>
                      <a:noFill/>
                    </a:ln>
                  </pic:spPr>
                </pic:pic>
              </a:graphicData>
            </a:graphic>
          </wp:inline>
        </w:drawing>
      </w:r>
    </w:p>
    <w:p w14:paraId="7F46212F">
      <w:pPr>
        <w:pStyle w:val="5"/>
        <w:bidi w:val="0"/>
        <w:spacing w:line="360" w:lineRule="auto"/>
        <w:rPr>
          <w:rFonts w:hint="default"/>
          <w:highlight w:val="none"/>
          <w:lang w:val="en-US" w:eastAsia="zh-CN"/>
        </w:rPr>
      </w:pPr>
      <w:r>
        <w:rPr>
          <w:rFonts w:hint="default"/>
          <w:highlight w:val="none"/>
          <w:lang w:val="en-US" w:eastAsia="zh-CN"/>
        </w:rPr>
        <w:t>图</w:t>
      </w:r>
      <w:r>
        <w:rPr>
          <w:rFonts w:hint="eastAsia"/>
          <w:highlight w:val="none"/>
          <w:lang w:val="en-US" w:eastAsia="zh-CN"/>
        </w:rPr>
        <w:t xml:space="preserve">4-10 </w:t>
      </w:r>
      <w:r>
        <w:rPr>
          <w:rFonts w:hint="default"/>
          <w:highlight w:val="none"/>
          <w:lang w:val="en-US" w:eastAsia="zh-CN"/>
        </w:rPr>
        <w:t>门口位置隔震层构造</w:t>
      </w:r>
    </w:p>
    <w:p w14:paraId="0EC0466C">
      <w:pPr>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drawing>
          <wp:inline distT="0" distB="0" distL="114300" distR="114300">
            <wp:extent cx="3599815" cy="1440180"/>
            <wp:effectExtent l="0" t="0" r="6985" b="762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44"/>
                    <a:srcRect b="11560"/>
                    <a:stretch>
                      <a:fillRect/>
                    </a:stretch>
                  </pic:blipFill>
                  <pic:spPr>
                    <a:xfrm>
                      <a:off x="0" y="0"/>
                      <a:ext cx="3599815" cy="1440180"/>
                    </a:xfrm>
                    <a:prstGeom prst="rect">
                      <a:avLst/>
                    </a:prstGeom>
                    <a:noFill/>
                    <a:ln>
                      <a:noFill/>
                    </a:ln>
                  </pic:spPr>
                </pic:pic>
              </a:graphicData>
            </a:graphic>
          </wp:inline>
        </w:drawing>
      </w:r>
    </w:p>
    <w:p w14:paraId="20786F26">
      <w:pPr>
        <w:pStyle w:val="5"/>
        <w:bidi w:val="0"/>
        <w:spacing w:line="360" w:lineRule="auto"/>
        <w:rPr>
          <w:rFonts w:hint="default"/>
          <w:highlight w:val="none"/>
          <w:lang w:val="en-US" w:eastAsia="zh-CN"/>
        </w:rPr>
      </w:pPr>
      <w:r>
        <w:rPr>
          <w:rFonts w:hint="default"/>
          <w:highlight w:val="none"/>
          <w:lang w:val="en-US" w:eastAsia="zh-CN"/>
        </w:rPr>
        <w:t>图</w:t>
      </w:r>
      <w:r>
        <w:rPr>
          <w:rFonts w:hint="eastAsia"/>
          <w:highlight w:val="none"/>
          <w:lang w:val="en-US" w:eastAsia="zh-CN"/>
        </w:rPr>
        <w:t xml:space="preserve">4-11 </w:t>
      </w:r>
      <w:r>
        <w:rPr>
          <w:rFonts w:hint="default"/>
          <w:highlight w:val="none"/>
          <w:lang w:val="en-US" w:eastAsia="zh-CN"/>
        </w:rPr>
        <w:t>卫生间位置隔震层构造</w:t>
      </w:r>
    </w:p>
    <w:p w14:paraId="64215EE1">
      <w:pPr>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drawing>
          <wp:inline distT="0" distB="0" distL="114300" distR="114300">
            <wp:extent cx="3599815" cy="1440180"/>
            <wp:effectExtent l="0" t="0" r="6985" b="7620"/>
            <wp:docPr id="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pic:cNvPicPr>
                      <a:picLocks noChangeAspect="1"/>
                    </pic:cNvPicPr>
                  </pic:nvPicPr>
                  <pic:blipFill>
                    <a:blip r:embed="rId45"/>
                    <a:srcRect b="14487"/>
                    <a:stretch>
                      <a:fillRect/>
                    </a:stretch>
                  </pic:blipFill>
                  <pic:spPr>
                    <a:xfrm>
                      <a:off x="0" y="0"/>
                      <a:ext cx="3599815" cy="1440180"/>
                    </a:xfrm>
                    <a:prstGeom prst="rect">
                      <a:avLst/>
                    </a:prstGeom>
                    <a:noFill/>
                    <a:ln>
                      <a:noFill/>
                    </a:ln>
                  </pic:spPr>
                </pic:pic>
              </a:graphicData>
            </a:graphic>
          </wp:inline>
        </w:drawing>
      </w:r>
    </w:p>
    <w:p w14:paraId="65F5A0D5">
      <w:pPr>
        <w:pStyle w:val="5"/>
        <w:bidi w:val="0"/>
        <w:spacing w:line="360" w:lineRule="auto"/>
        <w:rPr>
          <w:rFonts w:hint="default"/>
          <w:highlight w:val="none"/>
          <w:lang w:val="en-US" w:eastAsia="zh-CN"/>
        </w:rPr>
      </w:pPr>
      <w:r>
        <w:rPr>
          <w:rFonts w:hint="default"/>
          <w:highlight w:val="none"/>
          <w:lang w:val="en-US" w:eastAsia="zh-CN"/>
        </w:rPr>
        <w:t>图</w:t>
      </w:r>
      <w:r>
        <w:rPr>
          <w:rFonts w:hint="eastAsia"/>
          <w:highlight w:val="none"/>
          <w:lang w:val="en-US" w:eastAsia="zh-CN"/>
        </w:rPr>
        <w:t xml:space="preserve">4-12 </w:t>
      </w:r>
      <w:r>
        <w:rPr>
          <w:rFonts w:hint="default"/>
          <w:highlight w:val="none"/>
          <w:lang w:val="en-US" w:eastAsia="zh-CN"/>
        </w:rPr>
        <w:t>上下圈梁间隙的处理</w:t>
      </w:r>
    </w:p>
    <w:p w14:paraId="4ACD4CA1">
      <w:pPr>
        <w:pStyle w:val="3"/>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r>
        <w:rPr>
          <w:rFonts w:hint="default"/>
          <w:highlight w:val="none"/>
          <w:lang w:val="en-US" w:eastAsia="zh-CN"/>
        </w:rPr>
        <w:br w:type="page"/>
      </w:r>
      <w:bookmarkStart w:id="82" w:name="_Toc30386"/>
      <w:bookmarkStart w:id="83" w:name="_Toc26816"/>
      <w:r>
        <w:rPr>
          <w:rFonts w:hint="eastAsia"/>
          <w:highlight w:val="none"/>
          <w:lang w:val="en-US" w:eastAsia="zh-CN"/>
        </w:rPr>
        <w:t>4.2研究历程</w:t>
      </w:r>
      <w:bookmarkEnd w:id="82"/>
      <w:bookmarkEnd w:id="83"/>
    </w:p>
    <w:p w14:paraId="3F7C38F5">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202</w:t>
      </w:r>
      <w:r>
        <w:rPr>
          <w:rFonts w:hint="eastAsia"/>
          <w:highlight w:val="none"/>
          <w:lang w:val="en-US" w:eastAsia="zh-CN"/>
        </w:rPr>
        <w:t>3</w:t>
      </w:r>
      <w:r>
        <w:rPr>
          <w:rFonts w:hint="default"/>
          <w:highlight w:val="none"/>
          <w:lang w:val="en-US" w:eastAsia="zh-CN"/>
        </w:rPr>
        <w:t>年</w:t>
      </w:r>
      <w:r>
        <w:rPr>
          <w:rFonts w:hint="eastAsia"/>
          <w:highlight w:val="none"/>
          <w:lang w:val="en-US" w:eastAsia="zh-CN"/>
        </w:rPr>
        <w:t>8</w:t>
      </w:r>
      <w:r>
        <w:rPr>
          <w:rFonts w:hint="default"/>
          <w:highlight w:val="none"/>
          <w:lang w:val="en-US" w:eastAsia="zh-CN"/>
        </w:rPr>
        <w:t>月</w:t>
      </w:r>
      <w:r>
        <w:rPr>
          <w:rFonts w:hint="eastAsia"/>
          <w:highlight w:val="none"/>
          <w:lang w:val="en-US" w:eastAsia="zh-CN"/>
        </w:rPr>
        <w:t>，团队</w:t>
      </w:r>
      <w:r>
        <w:rPr>
          <w:rFonts w:hint="default"/>
          <w:highlight w:val="none"/>
          <w:lang w:val="en-US" w:eastAsia="zh-CN"/>
        </w:rPr>
        <w:t>依托校实验室成立专项研究小组，正式启动新型简易隔震支座的研发工作。聚焦于基础材料与结构创新，提出了</w:t>
      </w:r>
      <w:r>
        <w:rPr>
          <w:rFonts w:hint="eastAsia"/>
          <w:highlight w:val="none"/>
          <w:lang w:val="en-US" w:eastAsia="zh-CN"/>
        </w:rPr>
        <w:t>“工程塑料板代替</w:t>
      </w:r>
      <w:r>
        <w:rPr>
          <w:rFonts w:hint="default"/>
          <w:highlight w:val="none"/>
          <w:lang w:val="en-US" w:eastAsia="zh-CN"/>
        </w:rPr>
        <w:t>钢板</w:t>
      </w:r>
      <w:r>
        <w:rPr>
          <w:rFonts w:hint="eastAsia"/>
          <w:highlight w:val="none"/>
          <w:lang w:val="en-US" w:eastAsia="zh-CN"/>
        </w:rPr>
        <w:t>叠层橡胶</w:t>
      </w:r>
      <w:r>
        <w:rPr>
          <w:rFonts w:hint="default"/>
          <w:highlight w:val="none"/>
          <w:lang w:val="en-US" w:eastAsia="zh-CN"/>
        </w:rPr>
        <w:t>技术</w:t>
      </w:r>
      <w:r>
        <w:rPr>
          <w:rFonts w:hint="eastAsia"/>
          <w:highlight w:val="none"/>
          <w:lang w:val="en-US" w:eastAsia="zh-CN"/>
        </w:rPr>
        <w:t>”</w:t>
      </w:r>
      <w:r>
        <w:rPr>
          <w:rFonts w:hint="default"/>
          <w:highlight w:val="none"/>
          <w:lang w:val="en-US" w:eastAsia="zh-CN"/>
        </w:rPr>
        <w:t>的核心方案。</w:t>
      </w:r>
    </w:p>
    <w:p w14:paraId="0CA29EBC">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eastAsia"/>
          <w:highlight w:val="none"/>
          <w:lang w:val="en-US" w:eastAsia="zh-CN"/>
        </w:rPr>
        <w:t>2023年9月-10月，</w:t>
      </w:r>
      <w:r>
        <w:rPr>
          <w:rFonts w:hint="default"/>
          <w:highlight w:val="none"/>
          <w:lang w:val="en-US" w:eastAsia="zh-CN"/>
        </w:rPr>
        <w:t>团队在实验室中进行了上百次材料配比与力学性能测试，最终攻克了胶层与</w:t>
      </w:r>
      <w:r>
        <w:rPr>
          <w:rFonts w:hint="eastAsia"/>
          <w:highlight w:val="none"/>
          <w:lang w:val="en-US" w:eastAsia="zh-CN"/>
        </w:rPr>
        <w:t>工程塑料板</w:t>
      </w:r>
      <w:r>
        <w:rPr>
          <w:rFonts w:hint="default"/>
          <w:highlight w:val="none"/>
          <w:lang w:val="en-US" w:eastAsia="zh-CN"/>
        </w:rPr>
        <w:t>粘接强度的技术瓶颈，解决了传统支座因重量过大导致的运输成本高昂问题。</w:t>
      </w:r>
    </w:p>
    <w:p w14:paraId="6CF3B000">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rPr>
      </w:pPr>
      <w:r>
        <w:rPr>
          <w:rFonts w:hint="default"/>
          <w:highlight w:val="none"/>
          <w:lang w:val="en-US" w:eastAsia="zh-CN"/>
        </w:rPr>
        <w:t>2023年</w:t>
      </w:r>
      <w:r>
        <w:rPr>
          <w:rFonts w:hint="eastAsia"/>
          <w:highlight w:val="none"/>
          <w:lang w:val="en-US" w:eastAsia="zh-CN"/>
        </w:rPr>
        <w:t>12</w:t>
      </w:r>
      <w:r>
        <w:rPr>
          <w:rFonts w:hint="default"/>
          <w:highlight w:val="none"/>
          <w:lang w:val="en-US" w:eastAsia="zh-CN"/>
        </w:rPr>
        <w:t>月，产品完成原型试制，并在校内建筑模型中完成首次应用测试，验证了其基础隔震效能。这一阶段的研究不仅奠定了技术框架，更通过校内外专家论证明确了后续迭代方向——轻量化、耐</w:t>
      </w:r>
      <w:r>
        <w:rPr>
          <w:rFonts w:hint="eastAsia"/>
          <w:highlight w:val="none"/>
          <w:lang w:val="en-US" w:eastAsia="zh-CN"/>
        </w:rPr>
        <w:t>久</w:t>
      </w:r>
      <w:r>
        <w:rPr>
          <w:rFonts w:hint="default"/>
          <w:highlight w:val="none"/>
          <w:lang w:val="en-US" w:eastAsia="zh-CN"/>
        </w:rPr>
        <w:t>性与安装便捷性。</w:t>
      </w:r>
    </w:p>
    <w:p w14:paraId="4536528B">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eastAsia"/>
          <w:highlight w:val="none"/>
          <w:lang w:val="en-US" w:eastAsia="zh-CN"/>
        </w:rPr>
        <w:t>2024年1月，</w:t>
      </w:r>
      <w:r>
        <w:rPr>
          <w:rFonts w:hint="default"/>
          <w:highlight w:val="none"/>
          <w:lang w:val="en-US" w:eastAsia="zh-CN"/>
        </w:rPr>
        <w:t>基于产品的实测数据与用户反馈，团队启动</w:t>
      </w:r>
      <w:r>
        <w:rPr>
          <w:rFonts w:hint="eastAsia"/>
          <w:highlight w:val="none"/>
          <w:lang w:val="en-US" w:eastAsia="zh-CN"/>
        </w:rPr>
        <w:t>第二次</w:t>
      </w:r>
      <w:r>
        <w:rPr>
          <w:rFonts w:hint="default"/>
          <w:highlight w:val="none"/>
          <w:lang w:val="en-US" w:eastAsia="zh-CN"/>
        </w:rPr>
        <w:t>技术攻关，围绕三大核心优化展开深度研究。</w:t>
      </w:r>
    </w:p>
    <w:p w14:paraId="67602D75">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eastAsia"/>
          <w:highlight w:val="none"/>
          <w:lang w:val="en-US" w:eastAsia="zh-CN"/>
        </w:rPr>
        <w:t>直至2024年6月，</w:t>
      </w:r>
      <w:r>
        <w:rPr>
          <w:rFonts w:hint="default"/>
          <w:highlight w:val="none"/>
          <w:lang w:val="en-US" w:eastAsia="zh-CN"/>
        </w:rPr>
        <w:t>团队累计完成</w:t>
      </w:r>
      <w:r>
        <w:rPr>
          <w:rFonts w:hint="eastAsia"/>
          <w:highlight w:val="none"/>
          <w:lang w:val="en-US" w:eastAsia="zh-CN"/>
        </w:rPr>
        <w:t>10</w:t>
      </w:r>
      <w:r>
        <w:rPr>
          <w:rFonts w:hint="default"/>
          <w:highlight w:val="none"/>
          <w:lang w:val="en-US" w:eastAsia="zh-CN"/>
        </w:rPr>
        <w:t>0余次工艺验证与</w:t>
      </w:r>
      <w:r>
        <w:rPr>
          <w:rFonts w:hint="eastAsia"/>
          <w:highlight w:val="none"/>
          <w:lang w:val="en-US" w:eastAsia="zh-CN"/>
        </w:rPr>
        <w:t>12</w:t>
      </w:r>
      <w:r>
        <w:rPr>
          <w:rFonts w:hint="default"/>
          <w:highlight w:val="none"/>
          <w:lang w:val="en-US" w:eastAsia="zh-CN"/>
        </w:rPr>
        <w:t>轮破坏性试验，最终于2024年7月通过</w:t>
      </w:r>
      <w:r>
        <w:rPr>
          <w:rFonts w:hint="eastAsia"/>
          <w:highlight w:val="none"/>
          <w:lang w:val="en-US" w:eastAsia="zh-CN"/>
        </w:rPr>
        <w:t>国家抗震研究中心</w:t>
      </w:r>
      <w:r>
        <w:rPr>
          <w:rFonts w:hint="default"/>
          <w:highlight w:val="none"/>
          <w:lang w:val="en-US" w:eastAsia="zh-CN"/>
        </w:rPr>
        <w:t>的权威认证。</w:t>
      </w:r>
    </w:p>
    <w:p w14:paraId="5AC3B2F9">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2024年</w:t>
      </w:r>
      <w:r>
        <w:rPr>
          <w:rFonts w:hint="eastAsia"/>
          <w:highlight w:val="none"/>
          <w:lang w:val="en-US" w:eastAsia="zh-CN"/>
        </w:rPr>
        <w:t>12</w:t>
      </w:r>
      <w:r>
        <w:rPr>
          <w:rFonts w:hint="default"/>
          <w:highlight w:val="none"/>
          <w:lang w:val="en-US" w:eastAsia="zh-CN"/>
        </w:rPr>
        <w:t>月</w:t>
      </w:r>
      <w:r>
        <w:rPr>
          <w:rFonts w:hint="eastAsia"/>
          <w:highlight w:val="none"/>
          <w:lang w:val="en-US" w:eastAsia="zh-CN"/>
        </w:rPr>
        <w:t>，</w:t>
      </w:r>
      <w:r>
        <w:rPr>
          <w:rFonts w:hint="default"/>
          <w:highlight w:val="none"/>
          <w:lang w:val="en-US" w:eastAsia="zh-CN"/>
        </w:rPr>
        <w:t>随着产品技术成熟，团队启动规模化应用实践。</w:t>
      </w:r>
    </w:p>
    <w:p w14:paraId="1E41BF12">
      <w:pPr>
        <w:pStyle w:val="3"/>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bookmarkStart w:id="84" w:name="_Toc6546"/>
      <w:bookmarkStart w:id="85" w:name="_Toc11295"/>
      <w:r>
        <w:rPr>
          <w:rFonts w:hint="default"/>
          <w:highlight w:val="none"/>
          <w:lang w:val="en-US" w:eastAsia="zh-CN"/>
        </w:rPr>
        <w:t>4.</w:t>
      </w:r>
      <w:r>
        <w:rPr>
          <w:rFonts w:hint="eastAsia"/>
          <w:highlight w:val="none"/>
          <w:lang w:val="en-US" w:eastAsia="zh-CN"/>
        </w:rPr>
        <w:t>3</w:t>
      </w:r>
      <w:r>
        <w:rPr>
          <w:rFonts w:hint="default"/>
          <w:highlight w:val="none"/>
          <w:lang w:val="en-US" w:eastAsia="zh-CN"/>
        </w:rPr>
        <w:t>可视化成果</w:t>
      </w:r>
      <w:bookmarkEnd w:id="84"/>
      <w:bookmarkEnd w:id="85"/>
    </w:p>
    <w:p w14:paraId="17F92C7F">
      <w:pPr>
        <w:pStyle w:val="4"/>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bookmarkStart w:id="86" w:name="_Toc7818"/>
      <w:bookmarkStart w:id="87" w:name="_Toc13450"/>
      <w:r>
        <w:rPr>
          <w:rFonts w:hint="eastAsia"/>
          <w:highlight w:val="none"/>
          <w:lang w:val="en-US" w:eastAsia="zh-CN"/>
        </w:rPr>
        <w:t>4.3.1产品实物</w:t>
      </w:r>
      <w:bookmarkEnd w:id="86"/>
      <w:bookmarkEnd w:id="87"/>
    </w:p>
    <w:p w14:paraId="6A712DB2">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新型简易隔震支座（240mm×240mm×1</w:t>
      </w:r>
      <w:r>
        <w:rPr>
          <w:rFonts w:hint="eastAsia"/>
          <w:highlight w:val="none"/>
          <w:lang w:val="en-US" w:eastAsia="zh-CN"/>
        </w:rPr>
        <w:t>20</w:t>
      </w:r>
      <w:r>
        <w:rPr>
          <w:rFonts w:hint="default"/>
          <w:highlight w:val="none"/>
          <w:lang w:val="en-US" w:eastAsia="zh-CN"/>
        </w:rPr>
        <w:t>mm，自重</w:t>
      </w:r>
      <w:r>
        <w:rPr>
          <w:rFonts w:hint="eastAsia"/>
          <w:highlight w:val="none"/>
          <w:lang w:val="en-US" w:eastAsia="zh-CN"/>
        </w:rPr>
        <w:t>18</w:t>
      </w:r>
      <w:r>
        <w:rPr>
          <w:rFonts w:hint="default"/>
          <w:highlight w:val="none"/>
          <w:lang w:val="en-US" w:eastAsia="zh-CN"/>
        </w:rPr>
        <w:t>kg）采用12层</w:t>
      </w:r>
      <w:r>
        <w:rPr>
          <w:rFonts w:hint="eastAsia"/>
          <w:highlight w:val="none"/>
          <w:lang w:val="en-US" w:eastAsia="zh-CN"/>
        </w:rPr>
        <w:t>5</w:t>
      </w:r>
      <w:r>
        <w:rPr>
          <w:rFonts w:hint="default"/>
          <w:highlight w:val="none"/>
          <w:lang w:val="en-US" w:eastAsia="zh-CN"/>
        </w:rPr>
        <w:t>mm橡胶（总厚</w:t>
      </w:r>
      <w:r>
        <w:rPr>
          <w:rFonts w:hint="eastAsia"/>
          <w:highlight w:val="none"/>
          <w:lang w:val="en-US" w:eastAsia="zh-CN"/>
        </w:rPr>
        <w:t>60</w:t>
      </w:r>
      <w:r>
        <w:rPr>
          <w:rFonts w:hint="default"/>
          <w:highlight w:val="none"/>
          <w:lang w:val="en-US" w:eastAsia="zh-CN"/>
        </w:rPr>
        <w:t>mm）与11层</w:t>
      </w:r>
      <w:r>
        <w:rPr>
          <w:rFonts w:hint="eastAsia"/>
          <w:highlight w:val="none"/>
          <w:lang w:val="en-US" w:eastAsia="zh-CN"/>
        </w:rPr>
        <w:t>4</w:t>
      </w:r>
      <w:r>
        <w:rPr>
          <w:rFonts w:hint="default"/>
          <w:highlight w:val="none"/>
          <w:lang w:val="en-US" w:eastAsia="zh-CN"/>
        </w:rPr>
        <w:t>mm加劲板叠层设计，上下及四周</w:t>
      </w:r>
      <w:r>
        <w:rPr>
          <w:rFonts w:hint="eastAsia"/>
          <w:highlight w:val="none"/>
          <w:lang w:val="en-US" w:eastAsia="zh-CN"/>
        </w:rPr>
        <w:t>8</w:t>
      </w:r>
      <w:r>
        <w:rPr>
          <w:rFonts w:hint="default"/>
          <w:highlight w:val="none"/>
          <w:lang w:val="en-US" w:eastAsia="zh-CN"/>
        </w:rPr>
        <w:t>mm保护层，适配-</w:t>
      </w:r>
      <w:r>
        <w:rPr>
          <w:rFonts w:hint="eastAsia"/>
          <w:highlight w:val="none"/>
          <w:lang w:val="en-US" w:eastAsia="zh-CN"/>
        </w:rPr>
        <w:t>5</w:t>
      </w:r>
      <w:r>
        <w:rPr>
          <w:rFonts w:hint="default"/>
          <w:highlight w:val="none"/>
          <w:lang w:val="en-US" w:eastAsia="zh-CN"/>
        </w:rPr>
        <w:t>0℃~</w:t>
      </w:r>
      <w:r>
        <w:rPr>
          <w:rFonts w:hint="eastAsia"/>
          <w:highlight w:val="none"/>
          <w:lang w:val="en-US" w:eastAsia="zh-CN"/>
        </w:rPr>
        <w:t>50</w:t>
      </w:r>
      <w:r>
        <w:rPr>
          <w:rFonts w:hint="default"/>
          <w:highlight w:val="none"/>
          <w:lang w:val="en-US" w:eastAsia="zh-CN"/>
        </w:rPr>
        <w:t>℃极端环境，抗8级及以上地震。轻量化结构满足村镇自建房、高层建筑的纵向逃生通道50年使用需求。</w:t>
      </w:r>
    </w:p>
    <w:p w14:paraId="281F7782">
      <w:pPr>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drawing>
          <wp:inline distT="0" distB="0" distL="114300" distR="114300">
            <wp:extent cx="4319905" cy="2520315"/>
            <wp:effectExtent l="0" t="0" r="10795" b="6985"/>
            <wp:docPr id="95" name="图片 95" descr="{1F70E80D-30D9-477F-9128-FD1DD1FA0E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1F70E80D-30D9-477F-9128-FD1DD1FA0EDD}"/>
                    <pic:cNvPicPr>
                      <a:picLocks noChangeAspect="1"/>
                    </pic:cNvPicPr>
                  </pic:nvPicPr>
                  <pic:blipFill>
                    <a:blip r:embed="rId46"/>
                    <a:stretch>
                      <a:fillRect/>
                    </a:stretch>
                  </pic:blipFill>
                  <pic:spPr>
                    <a:xfrm>
                      <a:off x="0" y="0"/>
                      <a:ext cx="4319905" cy="2520315"/>
                    </a:xfrm>
                    <a:prstGeom prst="rect">
                      <a:avLst/>
                    </a:prstGeom>
                  </pic:spPr>
                </pic:pic>
              </a:graphicData>
            </a:graphic>
          </wp:inline>
        </w:drawing>
      </w:r>
    </w:p>
    <w:p w14:paraId="02FC3225">
      <w:pPr>
        <w:pStyle w:val="5"/>
        <w:bidi w:val="0"/>
        <w:spacing w:line="360" w:lineRule="auto"/>
        <w:rPr>
          <w:rFonts w:hint="eastAsia"/>
          <w:highlight w:val="none"/>
          <w:lang w:val="en-US" w:eastAsia="zh-CN"/>
        </w:rPr>
      </w:pPr>
      <w:r>
        <w:rPr>
          <w:rFonts w:hint="eastAsia"/>
          <w:highlight w:val="none"/>
          <w:lang w:val="en-US" w:eastAsia="zh-CN"/>
        </w:rPr>
        <w:t>图4-13 实物类比说明图</w:t>
      </w:r>
    </w:p>
    <w:p w14:paraId="7BF0C0D9">
      <w:pPr>
        <w:pageBreakBefore w:val="0"/>
        <w:widowControl w:val="0"/>
        <w:kinsoku/>
        <w:wordWrap/>
        <w:overflowPunct/>
        <w:topLinePunct w:val="0"/>
        <w:autoSpaceDE/>
        <w:autoSpaceDN/>
        <w:bidi w:val="0"/>
        <w:adjustRightInd/>
        <w:snapToGrid/>
        <w:spacing w:line="360" w:lineRule="auto"/>
        <w:jc w:val="center"/>
        <w:textAlignment w:val="auto"/>
        <w:rPr>
          <w:rFonts w:hint="eastAsia"/>
          <w:highlight w:val="none"/>
          <w:lang w:val="en-US" w:eastAsia="zh-CN"/>
        </w:rPr>
      </w:pPr>
    </w:p>
    <w:p w14:paraId="215BDF9E">
      <w:pPr>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drawing>
          <wp:inline distT="0" distB="0" distL="114300" distR="114300">
            <wp:extent cx="1440180" cy="1800225"/>
            <wp:effectExtent l="0" t="0" r="7620" b="3175"/>
            <wp:docPr id="3" name="图片 3" descr="449996ca89c1cda7208f1645bf70e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49996ca89c1cda7208f1645bf70e5b"/>
                    <pic:cNvPicPr>
                      <a:picLocks noChangeAspect="1"/>
                    </pic:cNvPicPr>
                  </pic:nvPicPr>
                  <pic:blipFill>
                    <a:blip r:embed="rId47"/>
                    <a:stretch>
                      <a:fillRect/>
                    </a:stretch>
                  </pic:blipFill>
                  <pic:spPr>
                    <a:xfrm>
                      <a:off x="0" y="0"/>
                      <a:ext cx="1440180" cy="1800225"/>
                    </a:xfrm>
                    <a:prstGeom prst="rect">
                      <a:avLst/>
                    </a:prstGeom>
                  </pic:spPr>
                </pic:pic>
              </a:graphicData>
            </a:graphic>
          </wp:inline>
        </w:drawing>
      </w:r>
      <w:r>
        <w:rPr>
          <w:rFonts w:hint="eastAsia"/>
          <w:highlight w:val="none"/>
          <w:lang w:val="en-US" w:eastAsia="zh-CN"/>
        </w:rPr>
        <w:t xml:space="preserve">   </w:t>
      </w:r>
      <w:r>
        <w:rPr>
          <w:rFonts w:hint="eastAsia"/>
          <w:b/>
          <w:bCs/>
          <w:highlight w:val="none"/>
          <w:lang w:val="en-US" w:eastAsia="zh-CN"/>
        </w:rPr>
        <w:t xml:space="preserve">VS   </w:t>
      </w:r>
      <w:r>
        <w:rPr>
          <w:rFonts w:hint="default"/>
          <w:highlight w:val="none"/>
          <w:lang w:val="en-US" w:eastAsia="zh-CN"/>
        </w:rPr>
        <w:drawing>
          <wp:inline distT="0" distB="0" distL="114300" distR="114300">
            <wp:extent cx="1440180" cy="1800225"/>
            <wp:effectExtent l="0" t="0" r="7620" b="3175"/>
            <wp:docPr id="2" name="图片 2" descr="d87b2cb37c3b3e61be5d305227fe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87b2cb37c3b3e61be5d305227fe129"/>
                    <pic:cNvPicPr>
                      <a:picLocks noChangeAspect="1"/>
                    </pic:cNvPicPr>
                  </pic:nvPicPr>
                  <pic:blipFill>
                    <a:blip r:embed="rId48"/>
                    <a:stretch>
                      <a:fillRect/>
                    </a:stretch>
                  </pic:blipFill>
                  <pic:spPr>
                    <a:xfrm>
                      <a:off x="0" y="0"/>
                      <a:ext cx="1440180" cy="1800225"/>
                    </a:xfrm>
                    <a:prstGeom prst="rect">
                      <a:avLst/>
                    </a:prstGeom>
                  </pic:spPr>
                </pic:pic>
              </a:graphicData>
            </a:graphic>
          </wp:inline>
        </w:drawing>
      </w:r>
    </w:p>
    <w:p w14:paraId="03817C70">
      <w:pPr>
        <w:pStyle w:val="5"/>
        <w:bidi w:val="0"/>
        <w:spacing w:after="401" w:afterLines="167" w:afterAutospacing="0" w:line="360" w:lineRule="auto"/>
        <w:rPr>
          <w:rFonts w:hint="default"/>
          <w:highlight w:val="none"/>
          <w:lang w:val="en-US" w:eastAsia="zh-CN"/>
        </w:rPr>
      </w:pPr>
      <w:r>
        <w:rPr>
          <w:rFonts w:hint="eastAsia"/>
          <w:highlight w:val="none"/>
          <w:lang w:val="en-US" w:eastAsia="zh-CN"/>
        </w:rPr>
        <w:t>图4-14 振动台试验对比图（右设隔震支座）</w:t>
      </w:r>
    </w:p>
    <w:p w14:paraId="44F6F0A0">
      <w:pPr>
        <w:pStyle w:val="4"/>
        <w:pageBreakBefore w:val="0"/>
        <w:widowControl w:val="0"/>
        <w:kinsoku/>
        <w:wordWrap/>
        <w:overflowPunct/>
        <w:topLinePunct w:val="0"/>
        <w:autoSpaceDE/>
        <w:autoSpaceDN/>
        <w:bidi w:val="0"/>
        <w:adjustRightInd/>
        <w:snapToGrid/>
        <w:spacing w:before="0" w:beforeLines="0" w:beforeAutospacing="0" w:line="360" w:lineRule="auto"/>
        <w:textAlignment w:val="auto"/>
        <w:rPr>
          <w:rFonts w:hint="eastAsia"/>
          <w:highlight w:val="none"/>
          <w:lang w:val="en-US" w:eastAsia="zh-CN"/>
        </w:rPr>
      </w:pPr>
      <w:bookmarkStart w:id="88" w:name="_Toc21709"/>
      <w:bookmarkStart w:id="89" w:name="_Toc24930"/>
      <w:r>
        <w:rPr>
          <w:rFonts w:hint="eastAsia"/>
          <w:highlight w:val="none"/>
          <w:lang w:val="en-US" w:eastAsia="zh-CN"/>
        </w:rPr>
        <w:t>4.3.2操作流程</w:t>
      </w:r>
      <w:bookmarkEnd w:id="88"/>
      <w:bookmarkEnd w:id="89"/>
    </w:p>
    <w:p w14:paraId="5991846D">
      <w:pPr>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highlight w:val="none"/>
          <w:lang w:val="en-US" w:eastAsia="zh-CN"/>
        </w:rPr>
      </w:pPr>
      <w:r>
        <w:rPr>
          <w:rFonts w:hint="eastAsia"/>
          <w:b/>
          <w:bCs/>
          <w:highlight w:val="none"/>
          <w:lang w:val="en-US" w:eastAsia="zh-CN"/>
        </w:rPr>
        <w:t>（1）</w:t>
      </w:r>
      <w:r>
        <w:rPr>
          <w:rFonts w:hint="default"/>
          <w:b/>
          <w:bCs/>
          <w:highlight w:val="none"/>
          <w:lang w:val="en-US" w:eastAsia="zh-CN"/>
        </w:rPr>
        <w:t>下部圈梁施工：</w:t>
      </w:r>
      <w:r>
        <w:rPr>
          <w:rFonts w:hint="default"/>
          <w:highlight w:val="none"/>
          <w:lang w:val="en-US" w:eastAsia="zh-CN"/>
        </w:rPr>
        <w:t>绑扎下圈梁钢筋并浇筑混凝土，初凝前完成表面整平，确保安装面平整度达标；</w:t>
      </w:r>
    </w:p>
    <w:p w14:paraId="51A2D29F">
      <w:pPr>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drawing>
          <wp:inline distT="0" distB="0" distL="114300" distR="114300">
            <wp:extent cx="1889760" cy="1259840"/>
            <wp:effectExtent l="0" t="0" r="2540" b="10160"/>
            <wp:docPr id="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
                    <pic:cNvPicPr>
                      <a:picLocks noChangeAspect="1"/>
                    </pic:cNvPicPr>
                  </pic:nvPicPr>
                  <pic:blipFill>
                    <a:blip r:embed="rId49"/>
                    <a:stretch>
                      <a:fillRect/>
                    </a:stretch>
                  </pic:blipFill>
                  <pic:spPr>
                    <a:xfrm>
                      <a:off x="0" y="0"/>
                      <a:ext cx="1889760" cy="1259840"/>
                    </a:xfrm>
                    <a:prstGeom prst="rect">
                      <a:avLst/>
                    </a:prstGeom>
                    <a:noFill/>
                    <a:ln>
                      <a:noFill/>
                    </a:ln>
                  </pic:spPr>
                </pic:pic>
              </a:graphicData>
            </a:graphic>
          </wp:inline>
        </w:drawing>
      </w:r>
      <w:r>
        <w:rPr>
          <w:rFonts w:hint="default"/>
          <w:highlight w:val="none"/>
          <w:lang w:val="en-US" w:eastAsia="zh-CN"/>
        </w:rPr>
        <w:drawing>
          <wp:inline distT="0" distB="0" distL="114300" distR="114300">
            <wp:extent cx="1889760" cy="1259840"/>
            <wp:effectExtent l="0" t="0" r="2540" b="10160"/>
            <wp:docPr id="25" name="IM 2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 2480"/>
                    <pic:cNvPicPr>
                      <a:picLocks noChangeAspect="1"/>
                    </pic:cNvPicPr>
                  </pic:nvPicPr>
                  <pic:blipFill>
                    <a:blip r:embed="rId50"/>
                    <a:stretch>
                      <a:fillRect/>
                    </a:stretch>
                  </pic:blipFill>
                  <pic:spPr>
                    <a:xfrm>
                      <a:off x="1473835" y="1333500"/>
                      <a:ext cx="1889760" cy="1259840"/>
                    </a:xfrm>
                    <a:prstGeom prst="rect">
                      <a:avLst/>
                    </a:prstGeom>
                    <a:noFill/>
                    <a:ln>
                      <a:noFill/>
                    </a:ln>
                  </pic:spPr>
                </pic:pic>
              </a:graphicData>
            </a:graphic>
          </wp:inline>
        </w:drawing>
      </w:r>
    </w:p>
    <w:p w14:paraId="1E1B48EA">
      <w:pPr>
        <w:pStyle w:val="5"/>
        <w:bidi w:val="0"/>
        <w:spacing w:line="360" w:lineRule="auto"/>
        <w:rPr>
          <w:rFonts w:hint="default"/>
          <w:highlight w:val="none"/>
          <w:lang w:val="en-US" w:eastAsia="zh-CN"/>
        </w:rPr>
      </w:pPr>
      <w:r>
        <w:rPr>
          <w:rFonts w:hint="default"/>
          <w:highlight w:val="none"/>
          <w:lang w:val="en-US" w:eastAsia="zh-CN"/>
        </w:rPr>
        <w:t>图</w:t>
      </w:r>
      <w:r>
        <w:rPr>
          <w:rFonts w:hint="eastAsia"/>
          <w:highlight w:val="none"/>
          <w:lang w:val="en-US" w:eastAsia="zh-CN"/>
        </w:rPr>
        <w:t xml:space="preserve">4-15 </w:t>
      </w:r>
      <w:r>
        <w:rPr>
          <w:rFonts w:hint="default"/>
          <w:highlight w:val="none"/>
          <w:lang w:val="en-US" w:eastAsia="zh-CN"/>
        </w:rPr>
        <w:t>浇筑下圈梁图</w:t>
      </w:r>
    </w:p>
    <w:p w14:paraId="295A6316">
      <w:pPr>
        <w:spacing w:line="360" w:lineRule="auto"/>
        <w:rPr>
          <w:rFonts w:hint="default"/>
          <w:highlight w:val="none"/>
          <w:lang w:val="en-US" w:eastAsia="zh-CN"/>
        </w:rPr>
      </w:pPr>
      <w:r>
        <w:rPr>
          <w:rFonts w:hint="default"/>
          <w:highlight w:val="none"/>
          <w:lang w:val="en-US" w:eastAsia="zh-CN"/>
        </w:rPr>
        <w:br w:type="page"/>
      </w:r>
    </w:p>
    <w:p w14:paraId="385AF368">
      <w:pPr>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highlight w:val="none"/>
          <w:lang w:val="en-US" w:eastAsia="zh-CN"/>
        </w:rPr>
      </w:pPr>
      <w:r>
        <w:rPr>
          <w:rFonts w:hint="eastAsia"/>
          <w:b/>
          <w:bCs/>
          <w:highlight w:val="none"/>
          <w:lang w:val="en-US" w:eastAsia="zh-CN"/>
        </w:rPr>
        <w:t>（2）</w:t>
      </w:r>
      <w:r>
        <w:rPr>
          <w:rFonts w:hint="default"/>
          <w:b/>
          <w:bCs/>
          <w:highlight w:val="none"/>
          <w:lang w:val="en-US" w:eastAsia="zh-CN"/>
        </w:rPr>
        <w:t>支座定位安装：</w:t>
      </w:r>
      <w:r>
        <w:rPr>
          <w:rFonts w:hint="default"/>
          <w:highlight w:val="none"/>
          <w:lang w:val="en-US" w:eastAsia="zh-CN"/>
        </w:rPr>
        <w:t>按图纸将支座精准定位至下圈梁设计位置，使用橡皮锤调整位置，水平仪监测垂直度；</w:t>
      </w:r>
    </w:p>
    <w:p w14:paraId="78B97CBC">
      <w:pPr>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drawing>
          <wp:inline distT="0" distB="0" distL="114300" distR="114300">
            <wp:extent cx="1889760" cy="1259840"/>
            <wp:effectExtent l="0" t="0" r="2540" b="10160"/>
            <wp:docPr id="26" name="图片 26" descr="50400715b26a35fb2481d02b5caf3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50400715b26a35fb2481d02b5caf3d0"/>
                    <pic:cNvPicPr>
                      <a:picLocks noChangeAspect="1"/>
                    </pic:cNvPicPr>
                  </pic:nvPicPr>
                  <pic:blipFill>
                    <a:blip r:embed="rId51"/>
                    <a:srcRect t="3527"/>
                    <a:stretch>
                      <a:fillRect/>
                    </a:stretch>
                  </pic:blipFill>
                  <pic:spPr>
                    <a:xfrm>
                      <a:off x="0" y="0"/>
                      <a:ext cx="1889760" cy="1259840"/>
                    </a:xfrm>
                    <a:prstGeom prst="rect">
                      <a:avLst/>
                    </a:prstGeom>
                  </pic:spPr>
                </pic:pic>
              </a:graphicData>
            </a:graphic>
          </wp:inline>
        </w:drawing>
      </w:r>
      <w:r>
        <w:rPr>
          <w:rFonts w:hint="default"/>
          <w:highlight w:val="none"/>
          <w:lang w:val="en-US" w:eastAsia="zh-CN"/>
        </w:rPr>
        <w:drawing>
          <wp:inline distT="0" distB="0" distL="114300" distR="114300">
            <wp:extent cx="1889760" cy="1259840"/>
            <wp:effectExtent l="0" t="0" r="2540" b="10160"/>
            <wp:docPr id="5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
                    <pic:cNvPicPr>
                      <a:picLocks noChangeAspect="1"/>
                    </pic:cNvPicPr>
                  </pic:nvPicPr>
                  <pic:blipFill>
                    <a:blip r:embed="rId52"/>
                    <a:srcRect r="54560"/>
                    <a:stretch>
                      <a:fillRect/>
                    </a:stretch>
                  </pic:blipFill>
                  <pic:spPr>
                    <a:xfrm>
                      <a:off x="1473835" y="6740525"/>
                      <a:ext cx="1889760" cy="1259840"/>
                    </a:xfrm>
                    <a:prstGeom prst="rect">
                      <a:avLst/>
                    </a:prstGeom>
                    <a:noFill/>
                    <a:ln>
                      <a:noFill/>
                    </a:ln>
                  </pic:spPr>
                </pic:pic>
              </a:graphicData>
            </a:graphic>
          </wp:inline>
        </w:drawing>
      </w:r>
    </w:p>
    <w:p w14:paraId="3AA2BC13">
      <w:pPr>
        <w:pStyle w:val="5"/>
        <w:bidi w:val="0"/>
        <w:spacing w:line="360" w:lineRule="auto"/>
        <w:rPr>
          <w:rFonts w:hint="default"/>
          <w:highlight w:val="none"/>
          <w:lang w:val="en-US" w:eastAsia="zh-CN"/>
        </w:rPr>
      </w:pPr>
      <w:r>
        <w:rPr>
          <w:rFonts w:hint="default"/>
          <w:highlight w:val="none"/>
          <w:lang w:val="en-US" w:eastAsia="zh-CN"/>
        </w:rPr>
        <w:t>图</w:t>
      </w:r>
      <w:r>
        <w:rPr>
          <w:rFonts w:hint="eastAsia"/>
          <w:highlight w:val="none"/>
          <w:lang w:val="en-US" w:eastAsia="zh-CN"/>
        </w:rPr>
        <w:t xml:space="preserve">4-16 </w:t>
      </w:r>
      <w:r>
        <w:rPr>
          <w:rFonts w:hint="default"/>
          <w:highlight w:val="none"/>
          <w:lang w:val="en-US" w:eastAsia="zh-CN"/>
        </w:rPr>
        <w:t>支座的安装</w:t>
      </w:r>
    </w:p>
    <w:p w14:paraId="0ECE39E2">
      <w:pPr>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highlight w:val="none"/>
          <w:lang w:val="en-US" w:eastAsia="zh-CN"/>
        </w:rPr>
      </w:pPr>
      <w:r>
        <w:rPr>
          <w:rFonts w:hint="eastAsia"/>
          <w:b/>
          <w:bCs/>
          <w:highlight w:val="none"/>
          <w:lang w:val="en-US" w:eastAsia="zh-CN"/>
        </w:rPr>
        <w:t>（3）</w:t>
      </w:r>
      <w:r>
        <w:rPr>
          <w:rFonts w:hint="default"/>
          <w:b/>
          <w:bCs/>
          <w:highlight w:val="none"/>
          <w:lang w:val="en-US" w:eastAsia="zh-CN"/>
        </w:rPr>
        <w:t>支撑体系构建：</w:t>
      </w:r>
      <w:r>
        <w:rPr>
          <w:rFonts w:hint="default"/>
          <w:highlight w:val="none"/>
          <w:lang w:val="en-US" w:eastAsia="zh-CN"/>
        </w:rPr>
        <w:t>砌筑分隔墙并预留≥150mm抗震缝，顶部铺设泡沫板支撑层，标高与支座上表面平齐；</w:t>
      </w:r>
    </w:p>
    <w:p w14:paraId="639C8A45">
      <w:pPr>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highlight w:val="none"/>
        </w:rPr>
      </w:pPr>
      <w:r>
        <w:rPr>
          <w:rFonts w:hint="default"/>
          <w:highlight w:val="none"/>
        </w:rPr>
        <w:drawing>
          <wp:inline distT="0" distB="0" distL="114300" distR="114300">
            <wp:extent cx="1889760" cy="1259840"/>
            <wp:effectExtent l="0" t="0" r="2540" b="10160"/>
            <wp:docPr id="28" name="图片 28" descr="0290a01f928c64ce88fc59b3fed3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0290a01f928c64ce88fc59b3fed3de1"/>
                    <pic:cNvPicPr>
                      <a:picLocks noChangeAspect="1"/>
                    </pic:cNvPicPr>
                  </pic:nvPicPr>
                  <pic:blipFill>
                    <a:blip r:embed="rId53"/>
                    <a:stretch>
                      <a:fillRect/>
                    </a:stretch>
                  </pic:blipFill>
                  <pic:spPr>
                    <a:xfrm>
                      <a:off x="0" y="0"/>
                      <a:ext cx="1889760" cy="1259840"/>
                    </a:xfrm>
                    <a:prstGeom prst="rect">
                      <a:avLst/>
                    </a:prstGeom>
                  </pic:spPr>
                </pic:pic>
              </a:graphicData>
            </a:graphic>
          </wp:inline>
        </w:drawing>
      </w:r>
      <w:r>
        <w:rPr>
          <w:rFonts w:hint="default"/>
          <w:highlight w:val="none"/>
        </w:rPr>
        <w:drawing>
          <wp:inline distT="0" distB="0" distL="114300" distR="114300">
            <wp:extent cx="1889760" cy="1259840"/>
            <wp:effectExtent l="0" t="0" r="2540" b="10160"/>
            <wp:docPr id="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pic:cNvPicPr>
                      <a:picLocks noChangeAspect="1"/>
                    </pic:cNvPicPr>
                  </pic:nvPicPr>
                  <pic:blipFill>
                    <a:blip r:embed="rId54"/>
                    <a:stretch>
                      <a:fillRect/>
                    </a:stretch>
                  </pic:blipFill>
                  <pic:spPr>
                    <a:xfrm>
                      <a:off x="1454785" y="1028065"/>
                      <a:ext cx="1889760" cy="1259840"/>
                    </a:xfrm>
                    <a:prstGeom prst="rect">
                      <a:avLst/>
                    </a:prstGeom>
                    <a:noFill/>
                    <a:ln>
                      <a:noFill/>
                    </a:ln>
                  </pic:spPr>
                </pic:pic>
              </a:graphicData>
            </a:graphic>
          </wp:inline>
        </w:drawing>
      </w:r>
    </w:p>
    <w:p w14:paraId="4FA022DE">
      <w:pPr>
        <w:pStyle w:val="5"/>
        <w:bidi w:val="0"/>
        <w:spacing w:line="360" w:lineRule="auto"/>
        <w:rPr>
          <w:rFonts w:hint="default"/>
          <w:highlight w:val="none"/>
          <w:lang w:val="en-US" w:eastAsia="zh-CN"/>
        </w:rPr>
      </w:pPr>
      <w:r>
        <w:rPr>
          <w:rFonts w:hint="default"/>
          <w:highlight w:val="none"/>
          <w:lang w:val="en-US" w:eastAsia="zh-CN"/>
        </w:rPr>
        <w:t>图</w:t>
      </w:r>
      <w:r>
        <w:rPr>
          <w:rFonts w:hint="eastAsia"/>
          <w:highlight w:val="none"/>
          <w:lang w:val="en-US" w:eastAsia="zh-CN"/>
        </w:rPr>
        <w:t xml:space="preserve">4-17 </w:t>
      </w:r>
      <w:r>
        <w:rPr>
          <w:rFonts w:hint="default"/>
          <w:highlight w:val="none"/>
          <w:lang w:val="en-US" w:eastAsia="zh-CN"/>
        </w:rPr>
        <w:t>浇筑上圈梁的准备</w:t>
      </w:r>
    </w:p>
    <w:p w14:paraId="11A0654C">
      <w:pPr>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highlight w:val="none"/>
          <w:lang w:val="en-US" w:eastAsia="zh-CN"/>
        </w:rPr>
      </w:pPr>
      <w:r>
        <w:rPr>
          <w:rFonts w:hint="eastAsia"/>
          <w:b/>
          <w:bCs/>
          <w:highlight w:val="none"/>
          <w:lang w:val="en-US" w:eastAsia="zh-CN"/>
        </w:rPr>
        <w:t>（4）</w:t>
      </w:r>
      <w:r>
        <w:rPr>
          <w:rFonts w:hint="default"/>
          <w:b/>
          <w:bCs/>
          <w:highlight w:val="none"/>
          <w:lang w:val="en-US" w:eastAsia="zh-CN"/>
        </w:rPr>
        <w:t>上部圈梁施工：</w:t>
      </w:r>
      <w:r>
        <w:rPr>
          <w:rFonts w:hint="default"/>
          <w:highlight w:val="none"/>
          <w:lang w:val="en-US" w:eastAsia="zh-CN"/>
        </w:rPr>
        <w:t>填充抗震缝后绑扎上圈梁钢筋，浇筑混凝土确保浆体填满支座嵌固槽，形成刚性连接；</w:t>
      </w:r>
    </w:p>
    <w:p w14:paraId="09E50B5F">
      <w:pPr>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highlight w:val="none"/>
        </w:rPr>
      </w:pPr>
      <w:r>
        <w:rPr>
          <w:rFonts w:hint="default"/>
          <w:highlight w:val="none"/>
        </w:rPr>
        <w:drawing>
          <wp:inline distT="0" distB="0" distL="114300" distR="114300">
            <wp:extent cx="1889760" cy="1259840"/>
            <wp:effectExtent l="0" t="0" r="2540" b="10160"/>
            <wp:docPr id="5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7"/>
                    <pic:cNvPicPr>
                      <a:picLocks noChangeAspect="1"/>
                    </pic:cNvPicPr>
                  </pic:nvPicPr>
                  <pic:blipFill>
                    <a:blip r:embed="rId55"/>
                    <a:stretch>
                      <a:fillRect/>
                    </a:stretch>
                  </pic:blipFill>
                  <pic:spPr>
                    <a:xfrm>
                      <a:off x="1711960" y="3702050"/>
                      <a:ext cx="1889760" cy="1259840"/>
                    </a:xfrm>
                    <a:prstGeom prst="rect">
                      <a:avLst/>
                    </a:prstGeom>
                    <a:noFill/>
                    <a:ln>
                      <a:noFill/>
                    </a:ln>
                  </pic:spPr>
                </pic:pic>
              </a:graphicData>
            </a:graphic>
          </wp:inline>
        </w:drawing>
      </w:r>
      <w:r>
        <w:rPr>
          <w:rFonts w:hint="default"/>
          <w:highlight w:val="none"/>
        </w:rPr>
        <w:drawing>
          <wp:inline distT="0" distB="0" distL="114300" distR="114300">
            <wp:extent cx="1889760" cy="1259840"/>
            <wp:effectExtent l="0" t="0" r="2540" b="10160"/>
            <wp:docPr id="57" name="IM 2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 2490"/>
                    <pic:cNvPicPr>
                      <a:picLocks noChangeAspect="1"/>
                    </pic:cNvPicPr>
                  </pic:nvPicPr>
                  <pic:blipFill>
                    <a:blip r:embed="rId56"/>
                    <a:stretch>
                      <a:fillRect/>
                    </a:stretch>
                  </pic:blipFill>
                  <pic:spPr>
                    <a:xfrm>
                      <a:off x="4231005" y="3688715"/>
                      <a:ext cx="1889760" cy="1259840"/>
                    </a:xfrm>
                    <a:prstGeom prst="rect">
                      <a:avLst/>
                    </a:prstGeom>
                    <a:noFill/>
                    <a:ln>
                      <a:noFill/>
                    </a:ln>
                  </pic:spPr>
                </pic:pic>
              </a:graphicData>
            </a:graphic>
          </wp:inline>
        </w:drawing>
      </w:r>
    </w:p>
    <w:p w14:paraId="110027F1">
      <w:pPr>
        <w:pStyle w:val="5"/>
        <w:bidi w:val="0"/>
        <w:spacing w:line="360" w:lineRule="auto"/>
        <w:rPr>
          <w:rFonts w:hint="default"/>
          <w:highlight w:val="none"/>
          <w:lang w:val="en-US" w:eastAsia="zh-CN"/>
        </w:rPr>
      </w:pPr>
      <w:r>
        <w:rPr>
          <w:rFonts w:hint="default"/>
          <w:highlight w:val="none"/>
          <w:lang w:val="en-US" w:eastAsia="zh-CN"/>
        </w:rPr>
        <w:t>图</w:t>
      </w:r>
      <w:r>
        <w:rPr>
          <w:rFonts w:hint="eastAsia"/>
          <w:highlight w:val="none"/>
          <w:lang w:val="en-US" w:eastAsia="zh-CN"/>
        </w:rPr>
        <w:t xml:space="preserve">4-18 </w:t>
      </w:r>
      <w:r>
        <w:rPr>
          <w:rFonts w:hint="default"/>
          <w:highlight w:val="none"/>
          <w:lang w:val="en-US" w:eastAsia="zh-CN"/>
        </w:rPr>
        <w:t>上圈梁浇筑后隔震支座的状态</w:t>
      </w:r>
    </w:p>
    <w:p w14:paraId="2282E52C">
      <w:pPr>
        <w:spacing w:line="360" w:lineRule="auto"/>
        <w:rPr>
          <w:rFonts w:hint="default"/>
          <w:highlight w:val="none"/>
          <w:lang w:val="en-US" w:eastAsia="zh-CN"/>
        </w:rPr>
      </w:pPr>
      <w:r>
        <w:rPr>
          <w:rFonts w:hint="default"/>
          <w:highlight w:val="none"/>
          <w:lang w:val="en-US" w:eastAsia="zh-CN"/>
        </w:rPr>
        <w:br w:type="page"/>
      </w:r>
    </w:p>
    <w:p w14:paraId="5E8E5602">
      <w:pPr>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highlight w:val="none"/>
          <w:lang w:val="en-US" w:eastAsia="zh-CN"/>
        </w:rPr>
      </w:pPr>
      <w:r>
        <w:rPr>
          <w:rFonts w:hint="eastAsia"/>
          <w:b/>
          <w:bCs/>
          <w:highlight w:val="none"/>
          <w:lang w:val="en-US" w:eastAsia="zh-CN"/>
        </w:rPr>
        <w:t>（5）</w:t>
      </w:r>
      <w:r>
        <w:rPr>
          <w:rFonts w:hint="default"/>
          <w:b/>
          <w:bCs/>
          <w:highlight w:val="none"/>
          <w:lang w:val="en-US" w:eastAsia="zh-CN"/>
        </w:rPr>
        <w:t>基础隔震处理：</w:t>
      </w:r>
      <w:r>
        <w:rPr>
          <w:rFonts w:hint="default"/>
          <w:highlight w:val="none"/>
          <w:lang w:val="en-US" w:eastAsia="zh-CN"/>
        </w:rPr>
        <w:t>圈梁两侧设弹性缓冲层，压实素土地基并铺设50mm砂垫层，覆盖油毡防渗漏，锚固外露钢筋防沉降；</w:t>
      </w:r>
    </w:p>
    <w:p w14:paraId="5826AA78">
      <w:pPr>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drawing>
          <wp:inline distT="0" distB="0" distL="114300" distR="114300">
            <wp:extent cx="1889760" cy="1259840"/>
            <wp:effectExtent l="0" t="0" r="2540" b="10160"/>
            <wp:docPr id="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8"/>
                    <pic:cNvPicPr>
                      <a:picLocks noChangeAspect="1"/>
                    </pic:cNvPicPr>
                  </pic:nvPicPr>
                  <pic:blipFill>
                    <a:blip r:embed="rId57"/>
                    <a:stretch>
                      <a:fillRect/>
                    </a:stretch>
                  </pic:blipFill>
                  <pic:spPr>
                    <a:xfrm>
                      <a:off x="1454785" y="6293485"/>
                      <a:ext cx="1889760" cy="1259840"/>
                    </a:xfrm>
                    <a:prstGeom prst="rect">
                      <a:avLst/>
                    </a:prstGeom>
                    <a:noFill/>
                    <a:ln>
                      <a:noFill/>
                    </a:ln>
                  </pic:spPr>
                </pic:pic>
              </a:graphicData>
            </a:graphic>
          </wp:inline>
        </w:drawing>
      </w:r>
      <w:r>
        <w:rPr>
          <w:rFonts w:hint="default"/>
          <w:highlight w:val="none"/>
          <w:lang w:val="en-US" w:eastAsia="zh-CN"/>
        </w:rPr>
        <w:drawing>
          <wp:inline distT="0" distB="0" distL="114300" distR="114300">
            <wp:extent cx="1889760" cy="1259840"/>
            <wp:effectExtent l="0" t="0" r="2540" b="10160"/>
            <wp:docPr id="30" name="IM 2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 2494"/>
                    <pic:cNvPicPr>
                      <a:picLocks noChangeAspect="1"/>
                    </pic:cNvPicPr>
                  </pic:nvPicPr>
                  <pic:blipFill>
                    <a:blip r:embed="rId58"/>
                    <a:stretch>
                      <a:fillRect/>
                    </a:stretch>
                  </pic:blipFill>
                  <pic:spPr>
                    <a:xfrm>
                      <a:off x="3973830" y="6318885"/>
                      <a:ext cx="1889760" cy="1259840"/>
                    </a:xfrm>
                    <a:prstGeom prst="rect">
                      <a:avLst/>
                    </a:prstGeom>
                    <a:noFill/>
                    <a:ln>
                      <a:noFill/>
                    </a:ln>
                  </pic:spPr>
                </pic:pic>
              </a:graphicData>
            </a:graphic>
          </wp:inline>
        </w:drawing>
      </w:r>
    </w:p>
    <w:p w14:paraId="032C40AD">
      <w:pPr>
        <w:pStyle w:val="5"/>
        <w:bidi w:val="0"/>
        <w:spacing w:line="360" w:lineRule="auto"/>
        <w:rPr>
          <w:rFonts w:hint="default"/>
          <w:highlight w:val="none"/>
          <w:lang w:val="en-US" w:eastAsia="zh-CN"/>
        </w:rPr>
      </w:pPr>
      <w:r>
        <w:rPr>
          <w:rFonts w:hint="default"/>
          <w:highlight w:val="none"/>
          <w:lang w:val="en-US" w:eastAsia="zh-CN"/>
        </w:rPr>
        <w:t>图</w:t>
      </w:r>
      <w:r>
        <w:rPr>
          <w:rFonts w:hint="eastAsia"/>
          <w:highlight w:val="none"/>
          <w:lang w:val="en-US" w:eastAsia="zh-CN"/>
        </w:rPr>
        <w:t xml:space="preserve">4-19 </w:t>
      </w:r>
      <w:r>
        <w:rPr>
          <w:rFonts w:hint="default"/>
          <w:highlight w:val="none"/>
          <w:lang w:val="en-US" w:eastAsia="zh-CN"/>
        </w:rPr>
        <w:t>浇筑地面前的准备</w:t>
      </w:r>
    </w:p>
    <w:p w14:paraId="45FDBB59">
      <w:pPr>
        <w:pageBreakBefore w:val="0"/>
        <w:widowControl w:val="0"/>
        <w:numPr>
          <w:ilvl w:val="0"/>
          <w:numId w:val="0"/>
        </w:numPr>
        <w:kinsoku/>
        <w:wordWrap/>
        <w:overflowPunct/>
        <w:topLinePunct w:val="0"/>
        <w:autoSpaceDE/>
        <w:autoSpaceDN/>
        <w:bidi w:val="0"/>
        <w:adjustRightInd/>
        <w:snapToGrid/>
        <w:spacing w:line="360" w:lineRule="auto"/>
        <w:ind w:firstLine="562" w:firstLineChars="200"/>
        <w:textAlignment w:val="auto"/>
        <w:rPr>
          <w:rFonts w:hint="default"/>
          <w:highlight w:val="none"/>
          <w:lang w:val="en-US" w:eastAsia="zh-CN"/>
        </w:rPr>
      </w:pPr>
      <w:r>
        <w:rPr>
          <w:rFonts w:hint="default" w:ascii="Times New Roman" w:hAnsi="Times New Roman" w:eastAsia="楷体" w:cs="宋体"/>
          <w:b/>
          <w:bCs/>
          <w:kern w:val="2"/>
          <w:sz w:val="28"/>
          <w:szCs w:val="22"/>
          <w:highlight w:val="none"/>
          <w:lang w:val="en-US" w:eastAsia="zh-CN" w:bidi="ar-SA"/>
        </w:rPr>
        <w:t>（6）</w:t>
      </w:r>
      <w:r>
        <w:rPr>
          <w:rFonts w:hint="default"/>
          <w:b/>
          <w:bCs/>
          <w:highlight w:val="none"/>
          <w:lang w:val="en-US" w:eastAsia="zh-CN"/>
        </w:rPr>
        <w:t>地面层收尾：</w:t>
      </w:r>
      <w:r>
        <w:rPr>
          <w:rFonts w:hint="default"/>
          <w:highlight w:val="none"/>
          <w:lang w:val="en-US" w:eastAsia="zh-CN"/>
        </w:rPr>
        <w:t>浇筑首层地面混凝土，完成隔震层体系，为上部结构提供隔震条件。</w:t>
      </w:r>
    </w:p>
    <w:p w14:paraId="4F3D3CD7">
      <w:pPr>
        <w:pStyle w:val="3"/>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bookmarkStart w:id="90" w:name="_Toc2047"/>
      <w:bookmarkStart w:id="91" w:name="_Toc48"/>
      <w:r>
        <w:rPr>
          <w:rFonts w:hint="default"/>
          <w:highlight w:val="none"/>
          <w:lang w:val="en-US" w:eastAsia="zh-CN"/>
        </w:rPr>
        <w:t>4.</w:t>
      </w:r>
      <w:r>
        <w:rPr>
          <w:rFonts w:hint="eastAsia"/>
          <w:highlight w:val="none"/>
          <w:lang w:val="en-US" w:eastAsia="zh-CN"/>
        </w:rPr>
        <w:t>4</w:t>
      </w:r>
      <w:r>
        <w:rPr>
          <w:rFonts w:hint="default"/>
          <w:highlight w:val="none"/>
          <w:lang w:val="en-US" w:eastAsia="zh-CN"/>
        </w:rPr>
        <w:t>低成本可推广性</w:t>
      </w:r>
      <w:bookmarkEnd w:id="90"/>
      <w:bookmarkEnd w:id="91"/>
    </w:p>
    <w:p w14:paraId="7EC39384">
      <w:pPr>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b/>
          <w:bCs/>
          <w:highlight w:val="none"/>
          <w:lang w:val="en-US" w:eastAsia="zh-CN"/>
        </w:rPr>
      </w:pPr>
      <w:r>
        <w:rPr>
          <w:rFonts w:hint="eastAsia"/>
          <w:b/>
          <w:bCs/>
          <w:highlight w:val="none"/>
          <w:lang w:val="en-US" w:eastAsia="zh-CN"/>
        </w:rPr>
        <w:t>（</w:t>
      </w:r>
      <w:r>
        <w:rPr>
          <w:rFonts w:hint="default"/>
          <w:b/>
          <w:bCs/>
          <w:highlight w:val="none"/>
          <w:lang w:val="en-US" w:eastAsia="zh-CN"/>
        </w:rPr>
        <w:t>1</w:t>
      </w:r>
      <w:r>
        <w:rPr>
          <w:rFonts w:hint="eastAsia"/>
          <w:b/>
          <w:bCs/>
          <w:highlight w:val="none"/>
          <w:lang w:val="en-US" w:eastAsia="zh-CN"/>
        </w:rPr>
        <w:t>）</w:t>
      </w:r>
      <w:r>
        <w:rPr>
          <w:rFonts w:hint="default"/>
          <w:b/>
          <w:bCs/>
          <w:highlight w:val="none"/>
          <w:lang w:val="en-US" w:eastAsia="zh-CN"/>
        </w:rPr>
        <w:t>国产材料替代与本地化供应链降本</w:t>
      </w:r>
    </w:p>
    <w:p w14:paraId="4FF147E5">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通过采用短切玻璃纤维增强聚丙烯酸酯基体，以国产工程塑料替代传统钢板与进口橡胶，材料成本降低38%。聚丙烯酸酯依托国内成熟的塑料产业链实现本地化采购（运输半径≤500公里），物流成本减少25%，同时规避进口关税与汇率波动风险。结合双螺杆挤出工艺，纤维与基体复合过程中实现边角料损耗率＜5%，较传统长纤维注塑工艺原料浪费减少40%。此外，与区域性塑料原料供应商建立</w:t>
      </w:r>
      <w:r>
        <w:rPr>
          <w:rFonts w:hint="eastAsia"/>
          <w:highlight w:val="none"/>
          <w:lang w:val="en-US" w:eastAsia="zh-CN"/>
        </w:rPr>
        <w:t>“</w:t>
      </w:r>
      <w:r>
        <w:rPr>
          <w:rFonts w:hint="default"/>
          <w:highlight w:val="none"/>
          <w:lang w:val="en-US" w:eastAsia="zh-CN"/>
        </w:rPr>
        <w:t>按需生产、零库存</w:t>
      </w:r>
      <w:r>
        <w:rPr>
          <w:rFonts w:hint="eastAsia"/>
          <w:highlight w:val="none"/>
          <w:lang w:val="en-US" w:eastAsia="zh-CN"/>
        </w:rPr>
        <w:t>”</w:t>
      </w:r>
      <w:r>
        <w:rPr>
          <w:rFonts w:hint="default"/>
          <w:highlight w:val="none"/>
          <w:lang w:val="en-US" w:eastAsia="zh-CN"/>
        </w:rPr>
        <w:t>协同模式，仓储成本降低30%，形成从原料采购到生产的全链路降本体系。</w:t>
      </w:r>
    </w:p>
    <w:p w14:paraId="2A2C0D66">
      <w:pPr>
        <w:pageBreakBefore w:val="0"/>
        <w:widowControl w:val="0"/>
        <w:kinsoku/>
        <w:wordWrap/>
        <w:overflowPunct/>
        <w:topLinePunct w:val="0"/>
        <w:autoSpaceDE/>
        <w:autoSpaceDN/>
        <w:bidi w:val="0"/>
        <w:adjustRightInd/>
        <w:snapToGrid/>
        <w:spacing w:line="360" w:lineRule="auto"/>
        <w:ind w:firstLine="562" w:firstLineChars="200"/>
        <w:textAlignment w:val="auto"/>
        <w:rPr>
          <w:rFonts w:hint="eastAsia"/>
          <w:b/>
          <w:bCs/>
          <w:highlight w:val="none"/>
          <w:lang w:val="en-US" w:eastAsia="zh-CN"/>
        </w:rPr>
      </w:pPr>
      <w:r>
        <w:rPr>
          <w:rFonts w:hint="eastAsia"/>
          <w:b/>
          <w:bCs/>
          <w:highlight w:val="none"/>
          <w:lang w:val="en-US" w:eastAsia="zh-CN"/>
        </w:rPr>
        <w:t>（</w:t>
      </w:r>
      <w:r>
        <w:rPr>
          <w:rFonts w:hint="default"/>
          <w:b/>
          <w:bCs/>
          <w:highlight w:val="none"/>
          <w:lang w:val="en-US" w:eastAsia="zh-CN"/>
        </w:rPr>
        <w:t>2</w:t>
      </w:r>
      <w:r>
        <w:rPr>
          <w:rFonts w:hint="eastAsia"/>
          <w:b/>
          <w:bCs/>
          <w:highlight w:val="none"/>
          <w:lang w:val="en-US" w:eastAsia="zh-CN"/>
        </w:rPr>
        <w:t>）</w:t>
      </w:r>
      <w:r>
        <w:rPr>
          <w:rFonts w:hint="default"/>
          <w:b/>
          <w:bCs/>
          <w:highlight w:val="none"/>
          <w:lang w:val="en-US" w:eastAsia="zh-CN"/>
        </w:rPr>
        <w:t>高效生产工艺与轻量化设备适配</w:t>
      </w:r>
    </w:p>
    <w:p w14:paraId="0B61F8FD">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通过梯度控温与20kHz高频振动协同作用，将硫化周期从传统60分钟压缩至30分钟，单位能耗降低22%，生产效率提升100%。工艺革新后取消定制化模具需求，采用通用型硫化设备（兼容多规格产品），设备投资成本减少50%，适配乡镇中小型工厂的轻资产生产模式。同时，聚丙烯酸酯基体低温成型技术（200-220℃）较传统橡胶硫化温度（160-180℃）降低热能消耗18%，并减少冷却系统负荷，进一步压缩生产能耗成本。</w:t>
      </w:r>
    </w:p>
    <w:p w14:paraId="10F37F42">
      <w:pPr>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b/>
          <w:bCs/>
          <w:highlight w:val="none"/>
          <w:lang w:val="en-US" w:eastAsia="zh-CN"/>
        </w:rPr>
      </w:pPr>
      <w:r>
        <w:rPr>
          <w:rFonts w:hint="eastAsia"/>
          <w:b/>
          <w:bCs/>
          <w:highlight w:val="none"/>
          <w:lang w:val="en-US" w:eastAsia="zh-CN"/>
        </w:rPr>
        <w:t>（</w:t>
      </w:r>
      <w:r>
        <w:rPr>
          <w:rFonts w:hint="default"/>
          <w:b/>
          <w:bCs/>
          <w:highlight w:val="none"/>
          <w:lang w:val="en-US" w:eastAsia="zh-CN"/>
        </w:rPr>
        <w:t>3</w:t>
      </w:r>
      <w:r>
        <w:rPr>
          <w:rFonts w:hint="eastAsia"/>
          <w:b/>
          <w:bCs/>
          <w:highlight w:val="none"/>
          <w:lang w:val="en-US" w:eastAsia="zh-CN"/>
        </w:rPr>
        <w:t>）</w:t>
      </w:r>
      <w:r>
        <w:rPr>
          <w:rFonts w:hint="default"/>
          <w:b/>
          <w:bCs/>
          <w:highlight w:val="none"/>
          <w:lang w:val="en-US" w:eastAsia="zh-CN"/>
        </w:rPr>
        <w:t>模块化设计与施工效率突破</w:t>
      </w:r>
    </w:p>
    <w:p w14:paraId="78FF301C">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基于有限元拓扑优化的标准化凹槽卡接结构，实现支座与基梁的100%预制化匹配，现场安装无需焊接或植筋，仅需1名普通工人使用橡皮锤完成定位，人工成本降低80%。模块化体系彻底摆脱起重机等大型设备依赖，单项目施工设备租赁费用节省＞5000</w:t>
      </w:r>
      <w:r>
        <w:rPr>
          <w:rFonts w:hint="eastAsia"/>
          <w:highlight w:val="none"/>
          <w:lang w:val="en-US" w:eastAsia="zh-CN"/>
        </w:rPr>
        <w:t>元</w:t>
      </w:r>
      <w:r>
        <w:rPr>
          <w:rFonts w:hint="default"/>
          <w:highlight w:val="none"/>
          <w:lang w:val="en-US" w:eastAsia="zh-CN"/>
        </w:rPr>
        <w:t>，安装效率提升至1小时/个（传统工艺需</w:t>
      </w:r>
      <w:r>
        <w:rPr>
          <w:rFonts w:hint="eastAsia"/>
          <w:highlight w:val="none"/>
          <w:lang w:val="en-US" w:eastAsia="zh-CN"/>
        </w:rPr>
        <w:t>8</w:t>
      </w:r>
      <w:r>
        <w:rPr>
          <w:rFonts w:hint="default"/>
          <w:highlight w:val="none"/>
          <w:lang w:val="en-US" w:eastAsia="zh-CN"/>
        </w:rPr>
        <w:t>小时）。自锁式榫卯结构</w:t>
      </w:r>
      <w:r>
        <w:rPr>
          <w:rFonts w:hint="eastAsia"/>
          <w:highlight w:val="none"/>
          <w:lang w:val="en-US" w:eastAsia="zh-CN"/>
        </w:rPr>
        <w:t>，</w:t>
      </w:r>
      <w:r>
        <w:rPr>
          <w:rFonts w:hint="default"/>
          <w:highlight w:val="none"/>
          <w:lang w:val="en-US" w:eastAsia="zh-CN"/>
        </w:rPr>
        <w:t>通过H7/g6公差配合与微膨胀灌浆料填充技术，支持局部损坏部件快速更换，维修成本仅为传统支座的30%，且维修时间缩短至</w:t>
      </w:r>
      <w:r>
        <w:rPr>
          <w:rFonts w:hint="eastAsia"/>
          <w:highlight w:val="none"/>
          <w:lang w:val="en-US" w:eastAsia="zh-CN"/>
        </w:rPr>
        <w:t>30分钟</w:t>
      </w:r>
      <w:r>
        <w:rPr>
          <w:rFonts w:hint="default"/>
          <w:highlight w:val="none"/>
          <w:lang w:val="en-US" w:eastAsia="zh-CN"/>
        </w:rPr>
        <w:t>，避免因停工导致的间接经济损失，全寿命周期成本降低60%。</w:t>
      </w:r>
    </w:p>
    <w:p w14:paraId="7DEA3CD3">
      <w:pPr>
        <w:spacing w:line="360" w:lineRule="auto"/>
        <w:rPr>
          <w:rFonts w:hint="default"/>
          <w:highlight w:val="none"/>
          <w:lang w:val="en-US" w:eastAsia="zh-CN"/>
        </w:rPr>
      </w:pPr>
      <w:r>
        <w:rPr>
          <w:rFonts w:hint="default"/>
          <w:highlight w:val="none"/>
          <w:lang w:val="en-US" w:eastAsia="zh-CN"/>
        </w:rPr>
        <w:br w:type="page"/>
      </w:r>
    </w:p>
    <w:p w14:paraId="60114D99">
      <w:pPr>
        <w:pStyle w:val="2"/>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highlight w:val="none"/>
        </w:rPr>
      </w:pPr>
      <w:bookmarkStart w:id="92" w:name="_Toc31344"/>
      <w:bookmarkStart w:id="93" w:name="_Toc20073"/>
      <w:r>
        <w:fldChar w:fldCharType="begin"/>
      </w:r>
      <w:r>
        <w:instrText xml:space="preserve"> HYPERLINK \l "_Toc11565" </w:instrText>
      </w:r>
      <w:r>
        <w:fldChar w:fldCharType="separate"/>
      </w:r>
      <w:r>
        <w:rPr>
          <w:rFonts w:hint="eastAsia"/>
          <w:highlight w:val="none"/>
          <w:lang w:val="en-US" w:eastAsia="zh-CN"/>
        </w:rPr>
        <w:t xml:space="preserve">第五章 </w:t>
      </w:r>
      <w:r>
        <w:rPr>
          <w:rFonts w:hint="default"/>
          <w:highlight w:val="none"/>
          <w:lang w:val="en-US" w:eastAsia="zh-CN"/>
        </w:rPr>
        <w:t>商业模式</w:t>
      </w:r>
      <w:r>
        <w:rPr>
          <w:rFonts w:hint="default"/>
          <w:highlight w:val="none"/>
          <w:lang w:val="en-US" w:eastAsia="zh-CN"/>
        </w:rPr>
        <w:fldChar w:fldCharType="end"/>
      </w:r>
      <w:bookmarkEnd w:id="92"/>
      <w:bookmarkEnd w:id="93"/>
    </w:p>
    <w:p w14:paraId="0F384F21">
      <w:pPr>
        <w:pStyle w:val="3"/>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bookmarkStart w:id="94" w:name="_Toc18261"/>
      <w:bookmarkStart w:id="95" w:name="_Toc8613"/>
      <w:r>
        <w:fldChar w:fldCharType="begin"/>
      </w:r>
      <w:r>
        <w:instrText xml:space="preserve"> HYPERLINK \l "_Toc7974" </w:instrText>
      </w:r>
      <w:r>
        <w:fldChar w:fldCharType="separate"/>
      </w:r>
      <w:r>
        <w:rPr>
          <w:rFonts w:hint="eastAsia"/>
          <w:highlight w:val="none"/>
          <w:lang w:val="en-US" w:eastAsia="zh-CN"/>
        </w:rPr>
        <w:t>5</w:t>
      </w:r>
      <w:r>
        <w:rPr>
          <w:rFonts w:hint="default"/>
          <w:highlight w:val="none"/>
          <w:lang w:val="en-US" w:eastAsia="zh-CN"/>
        </w:rPr>
        <w:t>.1商业模式介绍</w:t>
      </w:r>
      <w:r>
        <w:rPr>
          <w:rFonts w:hint="default"/>
          <w:highlight w:val="none"/>
          <w:lang w:val="en-US" w:eastAsia="zh-CN"/>
        </w:rPr>
        <w:fldChar w:fldCharType="end"/>
      </w:r>
      <w:bookmarkEnd w:id="94"/>
      <w:bookmarkEnd w:id="95"/>
    </w:p>
    <w:p w14:paraId="33B0131F">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本项目聚焦地震带村镇建筑安全领域，以</w:t>
      </w:r>
      <w:r>
        <w:rPr>
          <w:rFonts w:hint="eastAsia"/>
          <w:highlight w:val="none"/>
          <w:lang w:val="en-US" w:eastAsia="zh-CN"/>
        </w:rPr>
        <w:t>“</w:t>
      </w:r>
      <w:r>
        <w:rPr>
          <w:rFonts w:hint="default"/>
          <w:highlight w:val="none"/>
          <w:lang w:val="en-US" w:eastAsia="zh-CN"/>
        </w:rPr>
        <w:t>轻量化、高性价比</w:t>
      </w:r>
      <w:r>
        <w:rPr>
          <w:rFonts w:hint="eastAsia"/>
          <w:highlight w:val="none"/>
          <w:lang w:val="en-US" w:eastAsia="zh-CN"/>
        </w:rPr>
        <w:t>”</w:t>
      </w:r>
      <w:r>
        <w:rPr>
          <w:rFonts w:hint="default"/>
          <w:highlight w:val="none"/>
          <w:lang w:val="en-US" w:eastAsia="zh-CN"/>
        </w:rPr>
        <w:t>为核心定位，通过整合上下游资源构建</w:t>
      </w:r>
      <w:r>
        <w:rPr>
          <w:rFonts w:hint="eastAsia"/>
          <w:highlight w:val="none"/>
          <w:lang w:val="en-US" w:eastAsia="zh-CN"/>
        </w:rPr>
        <w:t>“安装</w:t>
      </w:r>
      <w:r>
        <w:rPr>
          <w:rFonts w:hint="default"/>
          <w:highlight w:val="none"/>
          <w:lang w:val="en-US" w:eastAsia="zh-CN"/>
        </w:rPr>
        <w:t>技术赋能+</w:t>
      </w:r>
      <w:r>
        <w:rPr>
          <w:rFonts w:hint="eastAsia"/>
          <w:highlight w:val="none"/>
          <w:lang w:val="en-US" w:eastAsia="zh-CN"/>
        </w:rPr>
        <w:t>隔震支座</w:t>
      </w:r>
      <w:r>
        <w:rPr>
          <w:rFonts w:hint="default"/>
          <w:highlight w:val="none"/>
          <w:lang w:val="en-US" w:eastAsia="zh-CN"/>
        </w:rPr>
        <w:t>产品+</w:t>
      </w:r>
      <w:r>
        <w:rPr>
          <w:rFonts w:hint="eastAsia"/>
          <w:highlight w:val="none"/>
          <w:lang w:val="en-US" w:eastAsia="zh-CN"/>
        </w:rPr>
        <w:t>配套</w:t>
      </w:r>
      <w:r>
        <w:rPr>
          <w:rFonts w:hint="default"/>
          <w:highlight w:val="none"/>
          <w:lang w:val="en-US" w:eastAsia="zh-CN"/>
        </w:rPr>
        <w:t>服务</w:t>
      </w:r>
      <w:r>
        <w:rPr>
          <w:rFonts w:hint="eastAsia"/>
          <w:highlight w:val="none"/>
          <w:lang w:val="en-US" w:eastAsia="zh-CN"/>
        </w:rPr>
        <w:t>”</w:t>
      </w:r>
      <w:r>
        <w:rPr>
          <w:rFonts w:hint="default"/>
          <w:highlight w:val="none"/>
          <w:lang w:val="en-US" w:eastAsia="zh-CN"/>
        </w:rPr>
        <w:t>模式，为村镇建筑提供新型简易隔震支座及一体化解决方案。</w:t>
      </w:r>
    </w:p>
    <w:p w14:paraId="5259A27A">
      <w:pPr>
        <w:pStyle w:val="4"/>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bookmarkStart w:id="96" w:name="_Toc18243"/>
      <w:bookmarkStart w:id="97" w:name="_Toc2199"/>
      <w:r>
        <w:fldChar w:fldCharType="begin"/>
      </w:r>
      <w:r>
        <w:instrText xml:space="preserve"> HYPERLINK \l "_Toc24061" </w:instrText>
      </w:r>
      <w:r>
        <w:fldChar w:fldCharType="separate"/>
      </w:r>
      <w:r>
        <w:rPr>
          <w:rFonts w:hint="eastAsia"/>
          <w:highlight w:val="none"/>
          <w:lang w:val="en-US" w:eastAsia="zh-CN"/>
        </w:rPr>
        <w:t>5</w:t>
      </w:r>
      <w:r>
        <w:rPr>
          <w:rFonts w:hint="default"/>
          <w:highlight w:val="none"/>
          <w:lang w:val="en-US" w:eastAsia="zh-CN"/>
        </w:rPr>
        <w:t>.1.1产品定位</w:t>
      </w:r>
      <w:r>
        <w:rPr>
          <w:rFonts w:hint="default"/>
          <w:highlight w:val="none"/>
          <w:lang w:val="en-US" w:eastAsia="zh-CN"/>
        </w:rPr>
        <w:fldChar w:fldCharType="end"/>
      </w:r>
      <w:bookmarkEnd w:id="96"/>
      <w:bookmarkEnd w:id="97"/>
    </w:p>
    <w:p w14:paraId="4ABC1E3B">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rPr>
      </w:pPr>
      <w:r>
        <w:rPr>
          <w:rFonts w:hint="default"/>
          <w:highlight w:val="none"/>
          <w:lang w:val="en-US" w:eastAsia="zh-CN"/>
        </w:rPr>
        <w:t>面向西南、西北村镇地区的震前改造和灾后重建建筑（自建房、小型公共建筑及楼梯），聚焦</w:t>
      </w:r>
      <w:r>
        <w:rPr>
          <w:rFonts w:hint="eastAsia"/>
          <w:highlight w:val="none"/>
          <w:lang w:val="en-US" w:eastAsia="zh-CN"/>
        </w:rPr>
        <w:t>“</w:t>
      </w:r>
      <w:r>
        <w:rPr>
          <w:rFonts w:hint="default"/>
          <w:highlight w:val="none"/>
          <w:lang w:val="en-US" w:eastAsia="zh-CN"/>
        </w:rPr>
        <w:t>轻量化普惠抗震</w:t>
      </w:r>
      <w:r>
        <w:rPr>
          <w:rFonts w:hint="eastAsia"/>
          <w:highlight w:val="none"/>
          <w:lang w:val="en-US" w:eastAsia="zh-CN"/>
        </w:rPr>
        <w:t>”</w:t>
      </w:r>
      <w:r>
        <w:rPr>
          <w:rFonts w:hint="default"/>
          <w:highlight w:val="none"/>
          <w:lang w:val="en-US" w:eastAsia="zh-CN"/>
        </w:rPr>
        <w:t>核心理念，以高性价比隔震技术填补农村低层住宅抗震市场空白。针对传统方案成本高、施工复杂、村民</w:t>
      </w:r>
      <w:r>
        <w:rPr>
          <w:rFonts w:hint="eastAsia"/>
          <w:highlight w:val="none"/>
          <w:lang w:val="en-US" w:eastAsia="zh-CN"/>
        </w:rPr>
        <w:t>“</w:t>
      </w:r>
      <w:r>
        <w:rPr>
          <w:rFonts w:hint="default"/>
          <w:highlight w:val="none"/>
          <w:lang w:val="en-US" w:eastAsia="zh-CN"/>
        </w:rPr>
        <w:t>装不起、不会装</w:t>
      </w:r>
      <w:r>
        <w:rPr>
          <w:rFonts w:hint="eastAsia"/>
          <w:highlight w:val="none"/>
          <w:lang w:val="en-US" w:eastAsia="zh-CN"/>
        </w:rPr>
        <w:t>”</w:t>
      </w:r>
      <w:r>
        <w:rPr>
          <w:rFonts w:hint="default"/>
          <w:highlight w:val="none"/>
          <w:lang w:val="en-US" w:eastAsia="zh-CN"/>
        </w:rPr>
        <w:t>的痛点，推出两类村镇隔震支座及即装即用的楼梯隔震支座，实现</w:t>
      </w:r>
      <w:r>
        <w:rPr>
          <w:rFonts w:hint="eastAsia"/>
          <w:highlight w:val="none"/>
          <w:lang w:val="en-US" w:eastAsia="zh-CN"/>
        </w:rPr>
        <w:t>“</w:t>
      </w:r>
      <w:r>
        <w:rPr>
          <w:rFonts w:hint="default"/>
          <w:highlight w:val="none"/>
          <w:lang w:val="en-US" w:eastAsia="zh-CN"/>
        </w:rPr>
        <w:t>轻量化产品+普惠化价格</w:t>
      </w:r>
      <w:r>
        <w:rPr>
          <w:rFonts w:hint="eastAsia"/>
          <w:highlight w:val="none"/>
          <w:lang w:val="en-US" w:eastAsia="zh-CN"/>
        </w:rPr>
        <w:t>”</w:t>
      </w:r>
      <w:r>
        <w:rPr>
          <w:rFonts w:hint="default"/>
          <w:highlight w:val="none"/>
          <w:lang w:val="en-US" w:eastAsia="zh-CN"/>
        </w:rPr>
        <w:t>。产品以</w:t>
      </w:r>
      <w:r>
        <w:rPr>
          <w:rFonts w:hint="eastAsia"/>
          <w:highlight w:val="none"/>
          <w:lang w:val="en-US" w:eastAsia="zh-CN"/>
        </w:rPr>
        <w:t>“</w:t>
      </w:r>
      <w:r>
        <w:rPr>
          <w:rFonts w:hint="default"/>
          <w:highlight w:val="none"/>
          <w:lang w:val="en-US" w:eastAsia="zh-CN"/>
        </w:rPr>
        <w:t>轻、省、快</w:t>
      </w:r>
      <w:r>
        <w:rPr>
          <w:rFonts w:hint="eastAsia"/>
          <w:highlight w:val="none"/>
          <w:lang w:val="en-US" w:eastAsia="zh-CN"/>
        </w:rPr>
        <w:t>”</w:t>
      </w:r>
      <w:r>
        <w:rPr>
          <w:rFonts w:hint="default"/>
          <w:highlight w:val="none"/>
          <w:lang w:val="en-US" w:eastAsia="zh-CN"/>
        </w:rPr>
        <w:t>为核心标签——轻质高强材料降低运输安装门槛，成本仅为传统方案30%的极致性价比，以及无需专业施工的即安即装模式，精准匹配农户需求，成为衔接国家乡村振兴战略</w:t>
      </w:r>
      <w:r>
        <w:rPr>
          <w:rFonts w:hint="eastAsia"/>
          <w:highlight w:val="none"/>
          <w:lang w:val="en-US" w:eastAsia="zh-CN"/>
        </w:rPr>
        <w:t>“</w:t>
      </w:r>
      <w:r>
        <w:rPr>
          <w:rFonts w:hint="default"/>
          <w:highlight w:val="none"/>
          <w:lang w:val="en-US" w:eastAsia="zh-CN"/>
        </w:rPr>
        <w:t>提升农村防灾减灾能力</w:t>
      </w:r>
      <w:r>
        <w:rPr>
          <w:rFonts w:hint="eastAsia"/>
          <w:highlight w:val="none"/>
          <w:lang w:val="en-US" w:eastAsia="zh-CN"/>
        </w:rPr>
        <w:t>”</w:t>
      </w:r>
      <w:r>
        <w:rPr>
          <w:rFonts w:hint="default"/>
          <w:highlight w:val="none"/>
          <w:lang w:val="en-US" w:eastAsia="zh-CN"/>
        </w:rPr>
        <w:t>政策导向与技术落地的重要载体。</w:t>
      </w:r>
    </w:p>
    <w:p w14:paraId="62AD3F08">
      <w:pPr>
        <w:pStyle w:val="4"/>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bookmarkStart w:id="98" w:name="_Toc22995"/>
      <w:bookmarkStart w:id="99" w:name="_Toc8894"/>
      <w:r>
        <w:fldChar w:fldCharType="begin"/>
      </w:r>
      <w:r>
        <w:instrText xml:space="preserve"> HYPERLINK \l "_Toc19369" </w:instrText>
      </w:r>
      <w:r>
        <w:fldChar w:fldCharType="separate"/>
      </w:r>
      <w:r>
        <w:rPr>
          <w:rFonts w:hint="eastAsia"/>
          <w:highlight w:val="none"/>
          <w:lang w:val="en-US" w:eastAsia="zh-CN"/>
        </w:rPr>
        <w:t>5</w:t>
      </w:r>
      <w:r>
        <w:rPr>
          <w:rFonts w:hint="default"/>
          <w:highlight w:val="none"/>
          <w:lang w:val="en-US" w:eastAsia="zh-CN"/>
        </w:rPr>
        <w:t>.1.2价值主张</w:t>
      </w:r>
      <w:r>
        <w:rPr>
          <w:rFonts w:hint="default"/>
          <w:highlight w:val="none"/>
          <w:lang w:val="en-US" w:eastAsia="zh-CN"/>
        </w:rPr>
        <w:fldChar w:fldCharType="end"/>
      </w:r>
      <w:bookmarkEnd w:id="98"/>
      <w:bookmarkEnd w:id="99"/>
    </w:p>
    <w:p w14:paraId="504DB36D">
      <w:pPr>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highlight w:val="none"/>
          <w:lang w:val="en-US" w:eastAsia="zh-CN"/>
        </w:rPr>
      </w:pPr>
      <w:r>
        <w:rPr>
          <w:rFonts w:hint="default"/>
          <w:b/>
          <w:bCs/>
          <w:highlight w:val="none"/>
          <w:lang w:val="en-US" w:eastAsia="zh-CN"/>
        </w:rPr>
        <w:t>（1）</w:t>
      </w:r>
      <w:r>
        <w:rPr>
          <w:rFonts w:hint="eastAsia"/>
          <w:b/>
          <w:bCs/>
          <w:highlight w:val="none"/>
          <w:lang w:val="en-US" w:eastAsia="zh-CN"/>
        </w:rPr>
        <w:t>生态宜居</w:t>
      </w:r>
      <w:r>
        <w:rPr>
          <w:rFonts w:hint="default"/>
          <w:b/>
          <w:bCs/>
          <w:highlight w:val="none"/>
          <w:lang w:val="en-US" w:eastAsia="zh-CN"/>
        </w:rPr>
        <w:t>：</w:t>
      </w:r>
      <w:r>
        <w:rPr>
          <w:rFonts w:hint="default"/>
          <w:highlight w:val="none"/>
          <w:lang w:val="en-US" w:eastAsia="zh-CN"/>
        </w:rPr>
        <w:t>采用高性能复合材料，通过国家抗震标准测试，能量耗散效率提升50%以上</w:t>
      </w:r>
      <w:r>
        <w:rPr>
          <w:rFonts w:hint="eastAsia"/>
          <w:highlight w:val="none"/>
          <w:lang w:val="en-US" w:eastAsia="zh-CN"/>
        </w:rPr>
        <w:t>，</w:t>
      </w:r>
      <w:r>
        <w:rPr>
          <w:rFonts w:hint="default"/>
          <w:highlight w:val="none"/>
          <w:lang w:val="en-US" w:eastAsia="zh-CN"/>
        </w:rPr>
        <w:t>打造安全、绿色的乡村人居环境；</w:t>
      </w:r>
    </w:p>
    <w:p w14:paraId="528E79B3">
      <w:pPr>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highlight w:val="none"/>
          <w:lang w:val="en-US" w:eastAsia="zh-CN"/>
        </w:rPr>
      </w:pPr>
      <w:r>
        <w:rPr>
          <w:rFonts w:hint="default"/>
          <w:b/>
          <w:bCs/>
          <w:highlight w:val="none"/>
          <w:lang w:val="en-US" w:eastAsia="zh-CN"/>
        </w:rPr>
        <w:t>（2）</w:t>
      </w:r>
      <w:r>
        <w:rPr>
          <w:rFonts w:hint="eastAsia"/>
          <w:b/>
          <w:bCs/>
          <w:highlight w:val="none"/>
          <w:lang w:val="en-US" w:eastAsia="zh-CN"/>
        </w:rPr>
        <w:t>共同富裕</w:t>
      </w:r>
      <w:r>
        <w:rPr>
          <w:rFonts w:hint="default"/>
          <w:b/>
          <w:bCs/>
          <w:highlight w:val="none"/>
          <w:lang w:val="en-US" w:eastAsia="zh-CN"/>
        </w:rPr>
        <w:t>：</w:t>
      </w:r>
      <w:r>
        <w:rPr>
          <w:rFonts w:hint="default"/>
          <w:highlight w:val="none"/>
          <w:lang w:val="en-US" w:eastAsia="zh-CN"/>
        </w:rPr>
        <w:t>以</w:t>
      </w:r>
      <w:r>
        <w:rPr>
          <w:rFonts w:hint="eastAsia"/>
          <w:highlight w:val="none"/>
          <w:lang w:val="en-US" w:eastAsia="zh-CN"/>
        </w:rPr>
        <w:t>“技术培训</w:t>
      </w:r>
      <w:r>
        <w:rPr>
          <w:rFonts w:hint="default"/>
          <w:highlight w:val="none"/>
          <w:lang w:val="en-US" w:eastAsia="zh-CN"/>
        </w:rPr>
        <w:t>+</w:t>
      </w:r>
      <w:r>
        <w:rPr>
          <w:rFonts w:hint="eastAsia"/>
          <w:highlight w:val="none"/>
          <w:lang w:val="en-US" w:eastAsia="zh-CN"/>
        </w:rPr>
        <w:t>产品服务”</w:t>
      </w:r>
      <w:r>
        <w:rPr>
          <w:rFonts w:hint="default"/>
          <w:highlight w:val="none"/>
          <w:lang w:val="en-US" w:eastAsia="zh-CN"/>
        </w:rPr>
        <w:t>普惠模式覆盖</w:t>
      </w:r>
      <w:r>
        <w:rPr>
          <w:rFonts w:hint="eastAsia"/>
          <w:highlight w:val="none"/>
          <w:lang w:val="en-US" w:eastAsia="zh-CN"/>
        </w:rPr>
        <w:t>10</w:t>
      </w:r>
      <w:r>
        <w:rPr>
          <w:rFonts w:hint="default"/>
          <w:highlight w:val="none"/>
          <w:lang w:val="en-US" w:eastAsia="zh-CN"/>
        </w:rPr>
        <w:t>万农户，缩小城乡</w:t>
      </w:r>
      <w:r>
        <w:rPr>
          <w:rFonts w:hint="eastAsia"/>
          <w:highlight w:val="none"/>
          <w:lang w:val="en-US" w:eastAsia="zh-CN"/>
        </w:rPr>
        <w:t>收入差距，同时</w:t>
      </w:r>
      <w:r>
        <w:rPr>
          <w:rFonts w:hint="default"/>
          <w:highlight w:val="none"/>
          <w:lang w:val="en-US" w:eastAsia="zh-CN"/>
        </w:rPr>
        <w:t>带动技术工人年增收</w:t>
      </w:r>
      <w:r>
        <w:rPr>
          <w:rFonts w:hint="eastAsia"/>
          <w:highlight w:val="none"/>
          <w:lang w:val="en-US" w:eastAsia="zh-CN"/>
        </w:rPr>
        <w:t>3</w:t>
      </w:r>
      <w:r>
        <w:rPr>
          <w:rFonts w:hint="default"/>
          <w:highlight w:val="none"/>
          <w:lang w:val="en-US" w:eastAsia="zh-CN"/>
        </w:rPr>
        <w:t>万元</w:t>
      </w:r>
      <w:r>
        <w:rPr>
          <w:rFonts w:hint="eastAsia"/>
          <w:highlight w:val="none"/>
          <w:lang w:val="en-US" w:eastAsia="zh-CN"/>
        </w:rPr>
        <w:t>，促进村镇居民就业</w:t>
      </w:r>
      <w:r>
        <w:rPr>
          <w:rFonts w:hint="default"/>
          <w:highlight w:val="none"/>
          <w:lang w:val="en-US" w:eastAsia="zh-CN"/>
        </w:rPr>
        <w:t>；</w:t>
      </w:r>
    </w:p>
    <w:p w14:paraId="0AF7A862">
      <w:pPr>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highlight w:val="none"/>
          <w:lang w:val="en-US" w:eastAsia="zh-CN"/>
        </w:rPr>
      </w:pPr>
      <w:r>
        <w:rPr>
          <w:rFonts w:hint="default"/>
          <w:b/>
          <w:bCs/>
          <w:highlight w:val="none"/>
          <w:lang w:val="en-US" w:eastAsia="zh-CN"/>
        </w:rPr>
        <w:t>（3）</w:t>
      </w:r>
      <w:r>
        <w:rPr>
          <w:rFonts w:hint="eastAsia"/>
          <w:b/>
          <w:bCs/>
          <w:highlight w:val="none"/>
          <w:lang w:val="en-US" w:eastAsia="zh-CN"/>
        </w:rPr>
        <w:t>可持续服务</w:t>
      </w:r>
      <w:r>
        <w:rPr>
          <w:rFonts w:hint="default"/>
          <w:b/>
          <w:bCs/>
          <w:highlight w:val="none"/>
          <w:lang w:val="en-US" w:eastAsia="zh-CN"/>
        </w:rPr>
        <w:t>：</w:t>
      </w:r>
      <w:r>
        <w:rPr>
          <w:rFonts w:hint="default"/>
          <w:highlight w:val="none"/>
          <w:lang w:val="en-US" w:eastAsia="zh-CN"/>
        </w:rPr>
        <w:t>构建</w:t>
      </w:r>
      <w:r>
        <w:rPr>
          <w:rFonts w:hint="eastAsia"/>
          <w:highlight w:val="none"/>
          <w:lang w:val="en-US" w:eastAsia="zh-CN"/>
        </w:rPr>
        <w:t>“</w:t>
      </w:r>
      <w:r>
        <w:rPr>
          <w:rFonts w:hint="default"/>
          <w:highlight w:val="none"/>
          <w:lang w:val="en-US" w:eastAsia="zh-CN"/>
        </w:rPr>
        <w:t>设计-安装</w:t>
      </w:r>
      <w:r>
        <w:rPr>
          <w:rFonts w:hint="eastAsia"/>
          <w:highlight w:val="none"/>
          <w:lang w:val="en-US" w:eastAsia="zh-CN"/>
        </w:rPr>
        <w:t>-维护</w:t>
      </w:r>
      <w:r>
        <w:rPr>
          <w:rFonts w:hint="default"/>
          <w:highlight w:val="none"/>
          <w:lang w:val="en-US" w:eastAsia="zh-CN"/>
        </w:rPr>
        <w:t>-回收</w:t>
      </w:r>
      <w:r>
        <w:rPr>
          <w:rFonts w:hint="eastAsia"/>
          <w:highlight w:val="none"/>
          <w:lang w:val="en-US" w:eastAsia="zh-CN"/>
        </w:rPr>
        <w:t>”</w:t>
      </w:r>
      <w:r>
        <w:rPr>
          <w:rFonts w:hint="default"/>
          <w:highlight w:val="none"/>
          <w:lang w:val="en-US" w:eastAsia="zh-CN"/>
        </w:rPr>
        <w:t>全周期服务体系，</w:t>
      </w:r>
      <w:r>
        <w:rPr>
          <w:rFonts w:hint="eastAsia"/>
          <w:highlight w:val="none"/>
          <w:lang w:val="en-US" w:eastAsia="zh-CN"/>
        </w:rPr>
        <w:t>设立</w:t>
      </w:r>
      <w:r>
        <w:rPr>
          <w:rFonts w:hint="default"/>
          <w:highlight w:val="none"/>
          <w:lang w:val="en-US" w:eastAsia="zh-CN"/>
        </w:rPr>
        <w:t>村级服务站</w:t>
      </w:r>
      <w:r>
        <w:rPr>
          <w:rFonts w:hint="eastAsia"/>
          <w:highlight w:val="none"/>
          <w:lang w:val="en-US" w:eastAsia="zh-CN"/>
        </w:rPr>
        <w:t>，及时收集村民问题反馈，</w:t>
      </w:r>
      <w:r>
        <w:rPr>
          <w:rFonts w:hint="default"/>
          <w:highlight w:val="none"/>
          <w:lang w:val="en-US" w:eastAsia="zh-CN"/>
        </w:rPr>
        <w:t>保障农房</w:t>
      </w:r>
      <w:r>
        <w:rPr>
          <w:rFonts w:hint="eastAsia"/>
          <w:highlight w:val="none"/>
          <w:lang w:val="en-US" w:eastAsia="zh-CN"/>
        </w:rPr>
        <w:t>50</w:t>
      </w:r>
      <w:r>
        <w:rPr>
          <w:rFonts w:hint="default"/>
          <w:highlight w:val="none"/>
          <w:lang w:val="en-US" w:eastAsia="zh-CN"/>
        </w:rPr>
        <w:t>年长效安全</w:t>
      </w:r>
      <w:r>
        <w:rPr>
          <w:rFonts w:hint="eastAsia"/>
          <w:highlight w:val="none"/>
          <w:lang w:val="en-US" w:eastAsia="zh-CN"/>
        </w:rPr>
        <w:t>的维护</w:t>
      </w:r>
      <w:r>
        <w:rPr>
          <w:rFonts w:hint="default"/>
          <w:highlight w:val="none"/>
          <w:lang w:val="en-US" w:eastAsia="zh-CN"/>
        </w:rPr>
        <w:t>；</w:t>
      </w:r>
    </w:p>
    <w:p w14:paraId="30CAC7B7">
      <w:pPr>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highlight w:val="none"/>
        </w:rPr>
      </w:pPr>
      <w:r>
        <w:rPr>
          <w:rFonts w:hint="default"/>
          <w:b/>
          <w:bCs/>
          <w:highlight w:val="none"/>
          <w:lang w:val="en-US" w:eastAsia="zh-CN"/>
        </w:rPr>
        <w:t>（4）</w:t>
      </w:r>
      <w:r>
        <w:rPr>
          <w:rFonts w:hint="eastAsia"/>
          <w:b/>
          <w:bCs/>
          <w:highlight w:val="none"/>
          <w:lang w:val="en-US" w:eastAsia="zh-CN"/>
        </w:rPr>
        <w:t>治理有效</w:t>
      </w:r>
      <w:r>
        <w:rPr>
          <w:rFonts w:hint="default"/>
          <w:b/>
          <w:bCs/>
          <w:highlight w:val="none"/>
          <w:lang w:val="en-US" w:eastAsia="zh-CN"/>
        </w:rPr>
        <w:t>：</w:t>
      </w:r>
      <w:r>
        <w:rPr>
          <w:rFonts w:hint="default"/>
          <w:highlight w:val="none"/>
          <w:lang w:val="en-US" w:eastAsia="zh-CN"/>
        </w:rPr>
        <w:t>以市场化手段助力农村抗震能力提升，减少政府灾后重建支出30%，通过技术带动区域产业链升级</w:t>
      </w:r>
      <w:r>
        <w:rPr>
          <w:rFonts w:hint="eastAsia"/>
          <w:highlight w:val="none"/>
          <w:lang w:val="en-US" w:eastAsia="zh-CN"/>
        </w:rPr>
        <w:t>，</w:t>
      </w:r>
      <w:r>
        <w:rPr>
          <w:rFonts w:hint="default"/>
          <w:highlight w:val="none"/>
          <w:lang w:val="en-US" w:eastAsia="zh-CN"/>
        </w:rPr>
        <w:t>提升乡村防灾治理效能。</w:t>
      </w:r>
    </w:p>
    <w:p w14:paraId="0FC852BB">
      <w:pPr>
        <w:pStyle w:val="4"/>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bookmarkStart w:id="100" w:name="_Toc31047"/>
      <w:bookmarkStart w:id="101" w:name="_Toc13252"/>
      <w:r>
        <w:fldChar w:fldCharType="begin"/>
      </w:r>
      <w:r>
        <w:instrText xml:space="preserve"> HYPERLINK \l "_Toc2750" </w:instrText>
      </w:r>
      <w:r>
        <w:fldChar w:fldCharType="separate"/>
      </w:r>
      <w:r>
        <w:rPr>
          <w:rFonts w:hint="eastAsia"/>
          <w:highlight w:val="none"/>
          <w:lang w:val="en-US" w:eastAsia="zh-CN"/>
        </w:rPr>
        <w:t>5</w:t>
      </w:r>
      <w:r>
        <w:rPr>
          <w:rFonts w:hint="default"/>
          <w:highlight w:val="none"/>
          <w:lang w:val="en-US" w:eastAsia="zh-CN"/>
        </w:rPr>
        <w:t>.1.3经营模式</w:t>
      </w:r>
      <w:r>
        <w:rPr>
          <w:rFonts w:hint="default"/>
          <w:highlight w:val="none"/>
          <w:lang w:val="en-US" w:eastAsia="zh-CN"/>
        </w:rPr>
        <w:fldChar w:fldCharType="end"/>
      </w:r>
      <w:bookmarkEnd w:id="100"/>
      <w:bookmarkEnd w:id="101"/>
    </w:p>
    <w:p w14:paraId="777DC4A8">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以</w:t>
      </w:r>
      <w:r>
        <w:rPr>
          <w:rFonts w:hint="eastAsia"/>
          <w:highlight w:val="none"/>
          <w:lang w:val="en-US" w:eastAsia="zh-CN"/>
        </w:rPr>
        <w:t>“</w:t>
      </w:r>
      <w:r>
        <w:rPr>
          <w:rFonts w:hint="default"/>
          <w:highlight w:val="none"/>
          <w:lang w:val="en-US" w:eastAsia="zh-CN"/>
        </w:rPr>
        <w:t>轻资产运营+技术驱动</w:t>
      </w:r>
      <w:r>
        <w:rPr>
          <w:rFonts w:hint="eastAsia"/>
          <w:highlight w:val="none"/>
          <w:lang w:val="en-US" w:eastAsia="zh-CN"/>
        </w:rPr>
        <w:t>”</w:t>
      </w:r>
      <w:r>
        <w:rPr>
          <w:rFonts w:hint="default"/>
          <w:highlight w:val="none"/>
          <w:lang w:val="en-US" w:eastAsia="zh-CN"/>
        </w:rPr>
        <w:t>为核心，构建以下协同体系，深度融合乡村振兴。</w:t>
      </w:r>
    </w:p>
    <w:p w14:paraId="644C49B9">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上游合作：与时代新材等代工厂合作生产，依托中材科技、金发科技等供应商稳定原材料供应，降低生产成本</w:t>
      </w:r>
      <w:r>
        <w:rPr>
          <w:rFonts w:hint="eastAsia"/>
          <w:highlight w:val="none"/>
          <w:lang w:val="en-US" w:eastAsia="zh-CN"/>
        </w:rPr>
        <w:t>，优先采购地震带省份（如云南、四川）的再生橡胶原料，推动“一村一废品回收站”建设，增加农民收入；</w:t>
      </w:r>
    </w:p>
    <w:p w14:paraId="4FF62C23">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中台支撑：设立产品测试中心，联合云南华江科技、广州市钟南橡胶再生资源开发有限公司等企业优化技术标准，确保产品质量；建立回收体系，在合作乡镇设立回收点，</w:t>
      </w:r>
      <w:r>
        <w:rPr>
          <w:rFonts w:hint="eastAsia"/>
          <w:highlight w:val="none"/>
          <w:lang w:val="en-US" w:eastAsia="zh-CN"/>
        </w:rPr>
        <w:t>以旧换新</w:t>
      </w:r>
      <w:r>
        <w:rPr>
          <w:rFonts w:hint="default"/>
          <w:highlight w:val="none"/>
          <w:lang w:val="en-US" w:eastAsia="zh-CN"/>
        </w:rPr>
        <w:t>激励农户参与；对破损支座及废弃材料循环利用，经再生处理后，部分用于乡村道路加固垫层，减少建材运输碳排放降低环境成本。</w:t>
      </w:r>
    </w:p>
    <w:p w14:paraId="602AFDF6">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下游拓展：通过代理商与经销商覆盖终端客户，重点对接建筑企业、村镇居民自建房需求，同时提供定制化服务。</w:t>
      </w:r>
    </w:p>
    <w:p w14:paraId="63F1E1B4">
      <w:pPr>
        <w:pStyle w:val="4"/>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bookmarkStart w:id="102" w:name="_Toc4325"/>
      <w:bookmarkStart w:id="103" w:name="_Toc22272"/>
      <w:r>
        <w:fldChar w:fldCharType="begin"/>
      </w:r>
      <w:r>
        <w:instrText xml:space="preserve"> HYPERLINK \l "_Toc24864" </w:instrText>
      </w:r>
      <w:r>
        <w:fldChar w:fldCharType="separate"/>
      </w:r>
      <w:r>
        <w:rPr>
          <w:rFonts w:hint="eastAsia"/>
          <w:highlight w:val="none"/>
          <w:lang w:val="en-US" w:eastAsia="zh-CN"/>
        </w:rPr>
        <w:t>5</w:t>
      </w:r>
      <w:r>
        <w:rPr>
          <w:rFonts w:hint="default"/>
          <w:highlight w:val="none"/>
          <w:lang w:val="en-US" w:eastAsia="zh-CN"/>
        </w:rPr>
        <w:t>.2盈利模式分析</w:t>
      </w:r>
      <w:r>
        <w:rPr>
          <w:rFonts w:hint="default"/>
          <w:highlight w:val="none"/>
          <w:lang w:val="en-US" w:eastAsia="zh-CN"/>
        </w:rPr>
        <w:fldChar w:fldCharType="end"/>
      </w:r>
      <w:bookmarkEnd w:id="102"/>
      <w:bookmarkEnd w:id="103"/>
    </w:p>
    <w:p w14:paraId="46A43962">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本项目以</w:t>
      </w:r>
      <w:r>
        <w:rPr>
          <w:rFonts w:hint="eastAsia"/>
          <w:highlight w:val="none"/>
          <w:lang w:val="en-US" w:eastAsia="zh-CN"/>
        </w:rPr>
        <w:t>“</w:t>
      </w:r>
      <w:r>
        <w:rPr>
          <w:rFonts w:hint="default"/>
          <w:highlight w:val="none"/>
          <w:lang w:val="en-US" w:eastAsia="zh-CN"/>
        </w:rPr>
        <w:t>精准布局50亿市场份额</w:t>
      </w:r>
      <w:r>
        <w:rPr>
          <w:rFonts w:hint="eastAsia"/>
          <w:highlight w:val="none"/>
          <w:lang w:val="en-US" w:eastAsia="zh-CN"/>
        </w:rPr>
        <w:t>”</w:t>
      </w:r>
      <w:r>
        <w:rPr>
          <w:rFonts w:hint="default"/>
          <w:highlight w:val="none"/>
          <w:lang w:val="en-US" w:eastAsia="zh-CN"/>
        </w:rPr>
        <w:t>为目标，通过</w:t>
      </w:r>
      <w:r>
        <w:rPr>
          <w:rFonts w:hint="eastAsia"/>
          <w:highlight w:val="none"/>
          <w:lang w:val="en-US" w:eastAsia="zh-CN"/>
        </w:rPr>
        <w:t>“</w:t>
      </w:r>
      <w:r>
        <w:rPr>
          <w:rFonts w:hint="default"/>
          <w:highlight w:val="none"/>
          <w:lang w:val="en-US" w:eastAsia="zh-CN"/>
        </w:rPr>
        <w:t>产品销售+技术服务</w:t>
      </w:r>
      <w:r>
        <w:rPr>
          <w:rFonts w:hint="eastAsia"/>
          <w:highlight w:val="none"/>
          <w:lang w:val="en-US" w:eastAsia="zh-CN"/>
        </w:rPr>
        <w:t>”</w:t>
      </w:r>
      <w:r>
        <w:rPr>
          <w:rFonts w:hint="default"/>
          <w:highlight w:val="none"/>
          <w:lang w:val="en-US" w:eastAsia="zh-CN"/>
        </w:rPr>
        <w:t>双轮驱动营收。针对不同特质的客户群体，采用差异化盈利策略。依托政府民政及地震局等相关部门推广，锚定6.</w:t>
      </w:r>
      <w:r>
        <w:rPr>
          <w:rFonts w:hint="eastAsia"/>
          <w:highlight w:val="none"/>
          <w:lang w:val="en-US" w:eastAsia="zh-CN"/>
        </w:rPr>
        <w:t>2</w:t>
      </w:r>
      <w:r>
        <w:rPr>
          <w:rFonts w:hint="default"/>
          <w:highlight w:val="none"/>
          <w:lang w:val="en-US" w:eastAsia="zh-CN"/>
        </w:rPr>
        <w:t>亿＋村民，推出平价销售产品、搭配含安装与维护指导等服务的套餐，以薄利多销、政府项目补贴实现盈利；瞄准5000万＋B端客户，签订长期供货协议，同时提供技术咨询、定制设计、售后维护等增值服务获取收益。总体上实现技术+销售+服务的完美闭环。</w:t>
      </w:r>
    </w:p>
    <w:p w14:paraId="532E5227">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盈利渠道：</w:t>
      </w:r>
    </w:p>
    <w:p w14:paraId="7EBF1EE3">
      <w:pPr>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b/>
          <w:bCs/>
          <w:highlight w:val="none"/>
          <w:lang w:val="en-US" w:eastAsia="zh-CN"/>
        </w:rPr>
      </w:pPr>
      <w:r>
        <w:rPr>
          <w:rFonts w:hint="default"/>
          <w:b/>
          <w:bCs/>
          <w:highlight w:val="none"/>
          <w:lang w:val="en-US" w:eastAsia="zh-CN"/>
        </w:rPr>
        <w:t>（1）ToB端（规模化收益）</w:t>
      </w:r>
    </w:p>
    <w:p w14:paraId="4012CEA7">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通过建筑企业、承包方（如中电通信、河北铭泰）的年度集采协议，锁定规模化订单，单项目营收超50万元；</w:t>
      </w:r>
    </w:p>
    <w:p w14:paraId="79DDADF4">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按建筑面积收费模式（100元/</w:t>
      </w:r>
      <w:r>
        <w:rPr>
          <w:rFonts w:hint="eastAsia"/>
          <w:highlight w:val="none"/>
          <w:lang w:val="en-US" w:eastAsia="zh-CN"/>
        </w:rPr>
        <w:t>m2</w:t>
      </w:r>
      <w:r>
        <w:rPr>
          <w:rFonts w:hint="default"/>
          <w:highlight w:val="none"/>
          <w:lang w:val="en-US" w:eastAsia="zh-CN"/>
        </w:rPr>
        <w:t>），利润率稳定在35%-40%。</w:t>
      </w:r>
    </w:p>
    <w:p w14:paraId="5AD1FC1D">
      <w:pPr>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b/>
          <w:bCs/>
          <w:highlight w:val="none"/>
          <w:lang w:val="en-US" w:eastAsia="zh-CN"/>
        </w:rPr>
      </w:pPr>
      <w:r>
        <w:rPr>
          <w:rFonts w:hint="default"/>
          <w:b/>
          <w:bCs/>
          <w:highlight w:val="none"/>
          <w:lang w:val="en-US" w:eastAsia="zh-CN"/>
        </w:rPr>
        <w:t>（2）ToC端（长尾市场）</w:t>
      </w:r>
    </w:p>
    <w:p w14:paraId="0ED71145">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依托政府</w:t>
      </w:r>
      <w:r>
        <w:rPr>
          <w:rFonts w:hint="eastAsia"/>
          <w:highlight w:val="none"/>
          <w:lang w:val="en-US" w:eastAsia="zh-CN"/>
        </w:rPr>
        <w:t>“</w:t>
      </w:r>
      <w:r>
        <w:rPr>
          <w:rFonts w:hint="default"/>
          <w:highlight w:val="none"/>
          <w:lang w:val="en-US" w:eastAsia="zh-CN"/>
        </w:rPr>
        <w:t>抗震补贴计划</w:t>
      </w:r>
      <w:r>
        <w:rPr>
          <w:rFonts w:hint="eastAsia"/>
          <w:highlight w:val="none"/>
          <w:lang w:val="en-US" w:eastAsia="zh-CN"/>
        </w:rPr>
        <w:t>”</w:t>
      </w:r>
      <w:r>
        <w:rPr>
          <w:rFonts w:hint="default"/>
          <w:highlight w:val="none"/>
          <w:lang w:val="en-US" w:eastAsia="zh-CN"/>
        </w:rPr>
        <w:t>降低支付门槛（农户自付40%），提升产品渗透率；</w:t>
      </w:r>
    </w:p>
    <w:p w14:paraId="0AD2C088">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电商平台（1688）覆盖零散自建房需求，客单价约1200元/户，年复购率15%。</w:t>
      </w:r>
    </w:p>
    <w:p w14:paraId="167499D6">
      <w:pPr>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b/>
          <w:bCs/>
          <w:highlight w:val="none"/>
          <w:lang w:val="en-US" w:eastAsia="zh-CN"/>
        </w:rPr>
      </w:pPr>
      <w:r>
        <w:rPr>
          <w:rFonts w:hint="default"/>
          <w:b/>
          <w:bCs/>
          <w:highlight w:val="none"/>
          <w:lang w:val="en-US" w:eastAsia="zh-CN"/>
        </w:rPr>
        <w:t>（3）ToG端（政策红利）</w:t>
      </w:r>
    </w:p>
    <w:p w14:paraId="3887D1A9">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承接政府抗震改造专项工程（如危房改造、学校加固），订单规模超百万元级；</w:t>
      </w:r>
    </w:p>
    <w:p w14:paraId="130F09FD">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通过招标溢价与补贴资金，项目净利润率可达25%-30%。</w:t>
      </w:r>
    </w:p>
    <w:p w14:paraId="6032B62D">
      <w:pPr>
        <w:spacing w:line="360" w:lineRule="auto"/>
        <w:rPr>
          <w:rFonts w:hint="default"/>
          <w:highlight w:val="none"/>
          <w:lang w:val="en-US" w:eastAsia="zh-CN"/>
        </w:rPr>
      </w:pPr>
      <w:r>
        <w:rPr>
          <w:rFonts w:hint="default"/>
          <w:highlight w:val="none"/>
          <w:lang w:val="en-US" w:eastAsia="zh-CN"/>
        </w:rPr>
        <w:br w:type="page"/>
      </w:r>
    </w:p>
    <w:p w14:paraId="4E5484EC">
      <w:pPr>
        <w:pStyle w:val="2"/>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highlight w:val="none"/>
          <w:lang w:val="en-US" w:eastAsia="zh-CN"/>
        </w:rPr>
      </w:pPr>
      <w:bookmarkStart w:id="104" w:name="_Toc6604"/>
      <w:bookmarkStart w:id="105" w:name="_Toc26706"/>
      <w:r>
        <w:rPr>
          <w:rFonts w:hint="eastAsia"/>
          <w:highlight w:val="none"/>
          <w:lang w:val="en-US" w:eastAsia="zh-CN"/>
        </w:rPr>
        <w:t>第六章 推广模式</w:t>
      </w:r>
      <w:bookmarkEnd w:id="104"/>
      <w:bookmarkEnd w:id="105"/>
    </w:p>
    <w:p w14:paraId="24A839A0">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highlight w:val="none"/>
          <w:lang w:val="en-US" w:eastAsia="zh-CN"/>
        </w:rPr>
      </w:pPr>
      <w:r>
        <w:rPr>
          <w:rFonts w:hint="eastAsia"/>
          <w:highlight w:val="none"/>
          <w:lang w:val="en-US" w:eastAsia="zh-CN"/>
        </w:rPr>
        <w:t>本团队构建“团队引领、企业助力、村集体共建”的一体化新范式。团队作为核心驱动，连接隔震企业委托生产、橡胶回收企业资源再利用，并通过政府政策赋能与村集体试点示范，形成短期基站维护与长期厂房自建的协同路径，最终实现带动就业、人才返乡、村民增收的可持续振兴目标，打造可复制推广的乡村防震安居示范工程。</w:t>
      </w:r>
    </w:p>
    <w:p w14:paraId="750ED7D8">
      <w:pPr>
        <w:pStyle w:val="3"/>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bookmarkStart w:id="106" w:name="_Toc27519"/>
      <w:bookmarkStart w:id="107" w:name="_Toc22714"/>
      <w:r>
        <w:rPr>
          <w:rFonts w:hint="eastAsia"/>
          <w:highlight w:val="none"/>
          <w:lang w:val="en-US" w:eastAsia="zh-CN"/>
        </w:rPr>
        <w:t>6.1四位一体化模式</w:t>
      </w:r>
      <w:bookmarkEnd w:id="106"/>
      <w:bookmarkEnd w:id="107"/>
    </w:p>
    <w:p w14:paraId="137CEBA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highlight w:val="none"/>
          <w:lang w:val="en-US" w:eastAsia="zh-CN"/>
        </w:rPr>
      </w:pPr>
      <w:r>
        <w:rPr>
          <w:rFonts w:hint="eastAsia"/>
          <w:highlight w:val="none"/>
          <w:lang w:val="en-US" w:eastAsia="zh-CN"/>
        </w:rPr>
        <w:t>我们的四位一体化推广模式（团队-政府-村集体-企业）致力于构建一个由团队引领、企业深度参与、村集体主动共建的一体化运作体系，旨在为乡村隔震技术的普及应用与持续发展提供内生动力。团队作为整个模式的枢纽与引擎，首先精准对接具备成熟生产能力的隔震支座企业。通过建立委托生产或代加工的合作关系，团队将乡村建设需求转化为稳定订单输送给企业，确保技术产品的高效供给。同时，团队积极引入橡胶回收企业，形成资源的循环利用链条。这两类企业的入驻，直接为当地创造了宝贵的就业岗位，有效吸纳了村镇富余劳动力，实现了产业带动就业的第一步目标。</w:t>
      </w:r>
    </w:p>
    <w:p w14:paraId="0AAE31F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highlight w:val="none"/>
          <w:lang w:val="en-US" w:eastAsia="zh-CN"/>
        </w:rPr>
      </w:pPr>
      <w:r>
        <w:rPr>
          <w:rFonts w:hint="eastAsia"/>
          <w:highlight w:val="none"/>
          <w:lang w:val="en-US" w:eastAsia="zh-CN"/>
        </w:rPr>
        <w:t>政府的角色在这一体化模式中至关重要，主要体现在防震减灾政策的强力支持上。团队积极对接各级政府部门，争取将乡村隔震安居纳入地方防震减灾整体规划与扶持政策范畴。这种政策背书不仅为项目的合法合规运行提供了保障，也为后续的规模化推广奠定了坚实基础，营造了良好的外部环境。</w:t>
      </w:r>
    </w:p>
    <w:p w14:paraId="49DA31F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highlight w:val="none"/>
          <w:lang w:val="en-US" w:eastAsia="zh-CN"/>
        </w:rPr>
      </w:pPr>
      <w:r>
        <w:rPr>
          <w:rFonts w:hint="eastAsia"/>
          <w:highlight w:val="none"/>
          <w:lang w:val="en-US" w:eastAsia="zh-CN"/>
        </w:rPr>
        <w:t>村集体是模式落地生根的关键主体。推广初期，团队精心选取具有代表性的村庄作为试点应用基地。通过在试点村的成功实践，让村民亲眼见证隔震技术在提升房屋安全性和居住品质方面的显著效果，从而形成自发性的口碑传播与村民推荐。村委会在此过程中发挥着核心的组织与带头作用，积极动员村民参与，协调场地资源，并为项目的顺利推进提供强有力的在地支持。这种基于实际效果和基层信任的推广方式，使得试点村迅速转化为具有广泛影响力的示范村，其成功经验为周边村镇提供了直观的学习样板，产生了强大的示范效应，使得一体化模式具备了高度的可复制性与推广潜力。</w:t>
      </w:r>
    </w:p>
    <w:p w14:paraId="701CE98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highlight w:val="none"/>
          <w:lang w:val="en-US" w:eastAsia="zh-CN"/>
        </w:rPr>
      </w:pPr>
      <w:r>
        <w:rPr>
          <w:rFonts w:hint="eastAsia"/>
          <w:highlight w:val="none"/>
          <w:lang w:val="en-US" w:eastAsia="zh-CN"/>
        </w:rPr>
        <w:t>在具体实施路径上，我们规划了清晰的短期与长期目标。短期内，团队着力于在各重点乡镇建立隔震技术服务基站。这些基站承担着就近提供房屋安全检测、隔震支座定期维护保养以及技术咨询等核心功能。便捷高效的技术服务不仅保障了已安装隔震装置房屋的长期安全有效运行，解决村民的后顾之忧，更能吸引掌握相关技能的本地人才返乡就业或创业，为乡村注入新的活力。长期而言，团队的目标是赋能村集体实现自主可持续发展。基于前期积累的经验和逐步形成的市场规模，团队将系统性地指导具备条件的村庄或村民合作组织，利用本地资源建设小型隔震产品生产或组装厂房。通过技术培训、管理支持和订单引流，帮助村民掌握生产技能，参与到产业链的价值创造环节中。这种内生能力的培育，将直接带动村民的持续性营收增长，变“输血”为“造血”，真正实现村民在安居乐业中共享发展成果，为乡村振兴提供不竭动力。</w:t>
      </w:r>
    </w:p>
    <w:p w14:paraId="563906F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highlight w:val="none"/>
          <w:lang w:val="en-US" w:eastAsia="zh-CN"/>
        </w:rPr>
      </w:pPr>
      <w:r>
        <w:rPr>
          <w:rFonts w:hint="eastAsia"/>
          <w:highlight w:val="none"/>
          <w:lang w:val="en-US" w:eastAsia="zh-CN"/>
        </w:rPr>
        <w:t>这一以团队为核心驱动、整合企业资源、依托政府支持、激活村集体力量的推广模式，通过委托生产带动就业、政策支持保障方向、试点示范撬动需求、基站服务稳固成效、自主建厂促进增收的闭环设计，构建了科技赋能乡村防震安居与产业振兴的可持续生态。其核心在于将技术创新、产业引入、基层治理与民生改善紧密融合，形成多方共赢、内生循环的发展格局，为在更广阔乡村地区复制推广树立了可借鉴的典范。</w:t>
      </w:r>
    </w:p>
    <w:p w14:paraId="09305BD1">
      <w:pPr>
        <w:pStyle w:val="3"/>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bookmarkStart w:id="108" w:name="_Toc6684"/>
      <w:bookmarkStart w:id="109" w:name="_Toc24099"/>
      <w:r>
        <w:rPr>
          <w:rFonts w:hint="eastAsia"/>
          <w:highlight w:val="none"/>
          <w:lang w:val="en-US" w:eastAsia="zh-CN"/>
        </w:rPr>
        <w:t>6.2可持续盈利路径</w:t>
      </w:r>
      <w:bookmarkEnd w:id="108"/>
      <w:bookmarkEnd w:id="109"/>
    </w:p>
    <w:p w14:paraId="2F429557">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eastAsia="zh-CN"/>
        </w:rPr>
      </w:pPr>
      <w:r>
        <w:rPr>
          <w:rFonts w:hint="eastAsia"/>
          <w:highlight w:val="none"/>
          <w:lang w:val="en-US" w:eastAsia="zh-CN"/>
        </w:rPr>
        <w:t>基于我国《“十四五”国家应急体系规划》对农村抗震安居工程的战略部署，结合住建部《农村危房改造抗震安全基本技术导则》的技术要求，本研究针对传统农房抗震改造中存在的“技术应用难、资金统筹弱、持续运维缺”三大痛点，构建政府引导、市场参与、农户主体的可持续实施路径。根据上述三方协同模式，在推广初期形成以下三种典型微利模式方案：</w:t>
      </w:r>
    </w:p>
    <w:p w14:paraId="4FECC373">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2" w:firstLineChars="200"/>
        <w:textAlignment w:val="auto"/>
        <w:rPr>
          <w:rFonts w:hint="eastAsia"/>
          <w:b/>
          <w:bCs/>
          <w:highlight w:val="none"/>
          <w:lang w:val="en-US" w:eastAsia="zh-CN"/>
        </w:rPr>
      </w:pPr>
      <w:r>
        <w:rPr>
          <w:rFonts w:hint="eastAsia"/>
          <w:b/>
          <w:bCs/>
          <w:highlight w:val="none"/>
          <w:lang w:val="en-US" w:eastAsia="zh-CN"/>
        </w:rPr>
        <w:t>方案一：</w:t>
      </w:r>
    </w:p>
    <w:p w14:paraId="545AFC98">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eastAsia="zh-CN"/>
        </w:rPr>
      </w:pPr>
      <w:r>
        <w:rPr>
          <w:rFonts w:hint="eastAsia"/>
          <w:highlight w:val="none"/>
          <w:lang w:val="en-US" w:eastAsia="zh-CN"/>
        </w:rPr>
        <w:t>（1）本团队无偿提供隔震设计与施工指导</w:t>
      </w:r>
    </w:p>
    <w:p w14:paraId="5A9BD830">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eastAsia="zh-CN"/>
        </w:rPr>
      </w:pPr>
      <w:r>
        <w:rPr>
          <w:rFonts w:hint="eastAsia"/>
          <w:highlight w:val="none"/>
          <w:lang w:val="en-US" w:eastAsia="zh-CN"/>
        </w:rPr>
        <w:t>（2）政府提供补贴及无息贷款（额度以当地财政决定，技术成本全额承担）</w:t>
      </w:r>
    </w:p>
    <w:p w14:paraId="1BA6E1B2">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eastAsia="zh-CN"/>
        </w:rPr>
      </w:pPr>
      <w:r>
        <w:rPr>
          <w:rFonts w:hint="eastAsia"/>
          <w:highlight w:val="none"/>
          <w:lang w:val="en-US" w:eastAsia="zh-CN"/>
        </w:rPr>
        <w:t>（3）搬迁农户承担房屋新建自筹部分（原则上不超过总造价20%，可分期支付）</w:t>
      </w:r>
    </w:p>
    <w:p w14:paraId="6A49BB56">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2" w:firstLineChars="200"/>
        <w:textAlignment w:val="auto"/>
        <w:rPr>
          <w:rFonts w:hint="eastAsia"/>
          <w:b/>
          <w:bCs/>
          <w:highlight w:val="none"/>
          <w:lang w:val="en-US" w:eastAsia="zh-CN"/>
        </w:rPr>
      </w:pPr>
      <w:r>
        <w:rPr>
          <w:rFonts w:hint="eastAsia"/>
          <w:b/>
          <w:bCs/>
          <w:highlight w:val="none"/>
          <w:lang w:val="en-US" w:eastAsia="zh-CN"/>
        </w:rPr>
        <w:t>方案二：</w:t>
      </w:r>
    </w:p>
    <w:p w14:paraId="62D1C953">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eastAsia="zh-CN"/>
        </w:rPr>
      </w:pPr>
      <w:r>
        <w:rPr>
          <w:rFonts w:hint="eastAsia"/>
          <w:highlight w:val="none"/>
          <w:lang w:val="en-US" w:eastAsia="zh-CN"/>
        </w:rPr>
        <w:t>（1）本团队无偿提供隔震设计与施工指导</w:t>
      </w:r>
    </w:p>
    <w:p w14:paraId="5C7A15A3">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eastAsia="zh-CN"/>
        </w:rPr>
      </w:pPr>
      <w:r>
        <w:rPr>
          <w:rFonts w:hint="eastAsia"/>
          <w:highlight w:val="none"/>
          <w:lang w:val="en-US" w:eastAsia="zh-CN"/>
        </w:rPr>
        <w:t>（2）政府提供补贴及无息贷款（额度以当地财政决定）</w:t>
      </w:r>
    </w:p>
    <w:p w14:paraId="7C9CB307">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eastAsia="zh-CN"/>
        </w:rPr>
      </w:pPr>
      <w:r>
        <w:rPr>
          <w:rFonts w:hint="eastAsia"/>
          <w:highlight w:val="none"/>
          <w:lang w:val="en-US" w:eastAsia="zh-CN"/>
        </w:rPr>
        <w:t>（3）重建农户承以自产橡胶与支座厂商交易支座（云南部分地区种植橡胶树）：农户以橡胶林未来3年收益权（经第三方评估机构估值）与支座厂商签订抵价协议，抵价比例控制在产品采购价的60%以下。</w:t>
      </w:r>
    </w:p>
    <w:p w14:paraId="7B1425ED">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eastAsia="zh-CN"/>
        </w:rPr>
      </w:pPr>
      <w:r>
        <w:rPr>
          <w:rFonts w:hint="eastAsia"/>
          <w:highlight w:val="none"/>
          <w:lang w:val="en-US" w:eastAsia="zh-CN"/>
        </w:rPr>
        <w:t>目前项目组正在积极对接社会大型企业，重点引入符合《国有企业公益事业捐赠管理办法》的大型国企及通过ISO26000社会责任认证的民企。希望社会责任感强烈的大型国有企业与民营企业能够支持偏远地区乡村安居工程，助力乡村振兴战略。</w:t>
      </w:r>
    </w:p>
    <w:p w14:paraId="032FE914">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eastAsia="zh-CN"/>
        </w:rPr>
      </w:pPr>
      <w:r>
        <w:rPr>
          <w:rFonts w:hint="eastAsia"/>
          <w:highlight w:val="none"/>
          <w:lang w:val="en-US" w:eastAsia="zh-CN"/>
        </w:rPr>
        <w:t>项目组计划与云南震安减震科技股份有限公司达成协议，预计达成以成本价格提供隔震产品支援云南农居地震安全工程，且对于云南特别贫困的地区，在异地扶贫搬迁工程中免费提供隔震产品，方案如下：</w:t>
      </w:r>
    </w:p>
    <w:p w14:paraId="50872C41">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2" w:firstLineChars="200"/>
        <w:textAlignment w:val="auto"/>
        <w:rPr>
          <w:rFonts w:hint="eastAsia"/>
          <w:b/>
          <w:bCs/>
          <w:highlight w:val="none"/>
          <w:lang w:val="en-US" w:eastAsia="zh-CN"/>
        </w:rPr>
      </w:pPr>
      <w:r>
        <w:rPr>
          <w:rFonts w:hint="eastAsia"/>
          <w:b/>
          <w:bCs/>
          <w:highlight w:val="none"/>
          <w:lang w:val="en-US" w:eastAsia="zh-CN"/>
        </w:rPr>
        <w:t>方案三（预期）：</w:t>
      </w:r>
    </w:p>
    <w:p w14:paraId="6E900447">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eastAsia="zh-CN"/>
        </w:rPr>
      </w:pPr>
      <w:r>
        <w:rPr>
          <w:rFonts w:hint="eastAsia"/>
          <w:highlight w:val="none"/>
          <w:lang w:val="en-US" w:eastAsia="zh-CN"/>
        </w:rPr>
        <w:t>（1）本团队无偿提供隔震设计与施工指导</w:t>
      </w:r>
    </w:p>
    <w:p w14:paraId="6B7350F2">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eastAsia="zh-CN"/>
        </w:rPr>
      </w:pPr>
      <w:r>
        <w:rPr>
          <w:rFonts w:hint="eastAsia"/>
          <w:highlight w:val="none"/>
          <w:lang w:val="en-US" w:eastAsia="zh-CN"/>
        </w:rPr>
        <w:t>（2）政府提供补贴及无息贷款（额度以当地财政决定）</w:t>
      </w:r>
    </w:p>
    <w:p w14:paraId="3BB1A873">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eastAsia="zh-CN"/>
        </w:rPr>
      </w:pPr>
      <w:r>
        <w:rPr>
          <w:rFonts w:hint="eastAsia"/>
          <w:highlight w:val="none"/>
          <w:lang w:val="en-US" w:eastAsia="zh-CN"/>
        </w:rPr>
        <w:t>（3）本团队无偿提供房屋所需隔震支座（12个左右/栋）</w:t>
      </w:r>
    </w:p>
    <w:p w14:paraId="2E3D42E6">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ascii="仿宋" w:hAnsi="仿宋" w:eastAsia="仿宋" w:cs="仿宋"/>
          <w:b/>
          <w:bCs/>
          <w:color w:val="000000" w:themeColor="text1"/>
          <w:sz w:val="24"/>
          <w:szCs w:val="24"/>
          <w:highlight w:val="none"/>
          <w:lang w:val="en-US" w:eastAsia="zh-CN"/>
          <w14:textFill>
            <w14:solidFill>
              <w14:schemeClr w14:val="tx1"/>
            </w14:solidFill>
          </w14:textFill>
        </w:rPr>
      </w:pPr>
      <w:r>
        <w:rPr>
          <w:rFonts w:hint="eastAsia"/>
          <w:highlight w:val="none"/>
          <w:lang w:val="en-US" w:eastAsia="zh-CN"/>
        </w:rPr>
        <w:t>（4）农户承担剩余部分</w:t>
      </w:r>
    </w:p>
    <w:p w14:paraId="2B999361">
      <w:pPr>
        <w:pStyle w:val="3"/>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bookmarkStart w:id="110" w:name="_Toc2097"/>
      <w:bookmarkStart w:id="111" w:name="_Toc24340"/>
      <w:r>
        <w:rPr>
          <w:rFonts w:hint="eastAsia"/>
          <w:highlight w:val="none"/>
          <w:lang w:val="en-US" w:eastAsia="zh-CN"/>
        </w:rPr>
        <w:t>6.3风险与应对</w:t>
      </w:r>
      <w:bookmarkEnd w:id="110"/>
      <w:bookmarkEnd w:id="111"/>
    </w:p>
    <w:p w14:paraId="65FFC2BC">
      <w:pPr>
        <w:pStyle w:val="4"/>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bookmarkStart w:id="112" w:name="_Toc29186"/>
      <w:bookmarkStart w:id="113" w:name="_Toc6280"/>
      <w:r>
        <w:rPr>
          <w:rFonts w:hint="eastAsia"/>
          <w:highlight w:val="none"/>
          <w:lang w:val="en-US" w:eastAsia="zh-CN"/>
        </w:rPr>
        <w:t>6.3.1风险一</w:t>
      </w:r>
      <w:bookmarkEnd w:id="112"/>
      <w:bookmarkEnd w:id="113"/>
    </w:p>
    <w:p w14:paraId="397A84A5">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2" w:firstLineChars="200"/>
        <w:textAlignment w:val="auto"/>
        <w:rPr>
          <w:rFonts w:hint="eastAsia"/>
          <w:b/>
          <w:bCs/>
          <w:highlight w:val="none"/>
          <w:lang w:val="en-US" w:eastAsia="zh-CN"/>
        </w:rPr>
      </w:pPr>
      <w:r>
        <w:rPr>
          <w:rFonts w:hint="eastAsia"/>
          <w:b/>
          <w:bCs/>
          <w:highlight w:val="none"/>
          <w:lang w:val="en-US" w:eastAsia="zh-CN"/>
        </w:rPr>
        <w:t>（1）政策补贴延迟</w:t>
      </w:r>
    </w:p>
    <w:p w14:paraId="45FC3289">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eastAsia="zh-CN"/>
        </w:rPr>
      </w:pPr>
      <w:r>
        <w:rPr>
          <w:rFonts w:hint="eastAsia"/>
          <w:highlight w:val="none"/>
          <w:lang w:val="en-US" w:eastAsia="zh-CN"/>
        </w:rPr>
        <w:t>乡村振兴战略中，政府主导的抗震改造补贴政策是推动村镇建筑隔震技术普及的核心驱动力。然而，政策执行过程中可能因财政分配优先级调整、地方财政压力或审批流程冗长导致补贴资金延迟到位，直接影响农户支付能力和项目规模化推广效率。</w:t>
      </w:r>
    </w:p>
    <w:p w14:paraId="04D26B6D">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eastAsia="zh-CN"/>
        </w:rPr>
      </w:pPr>
      <w:r>
        <w:rPr>
          <w:rFonts w:hint="eastAsia"/>
          <w:highlight w:val="none"/>
          <w:lang w:val="en-US" w:eastAsia="zh-CN"/>
        </w:rPr>
        <w:t>例如，西南地区部分试点县市因灾后重建资金挤占，导致《农村危房改造补助资金管理办法》中抗震专项补贴延迟发放，延缓了农户改造意愿。</w:t>
      </w:r>
    </w:p>
    <w:p w14:paraId="06C33B81">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eastAsia="zh-CN"/>
        </w:rPr>
      </w:pPr>
      <w:r>
        <w:rPr>
          <w:rFonts w:hint="eastAsia"/>
          <w:highlight w:val="none"/>
          <w:lang w:val="en-US" w:eastAsia="zh-CN"/>
        </w:rPr>
        <w:t>此外，政策实施细则的模糊性可能导致补贴申领门槛过高，部分经济困难农户因无法满足自筹比例要求而放弃改造，削弱技术普惠性。若政策支持力度减弱或执行滞后，项目依赖的”政府集采直销”模式将面临订单缩减风险，进而影响资金回笼与市场渗透目标。</w:t>
      </w:r>
    </w:p>
    <w:p w14:paraId="769CC94A">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2" w:firstLineChars="200"/>
        <w:textAlignment w:val="auto"/>
        <w:rPr>
          <w:rFonts w:hint="eastAsia"/>
          <w:b/>
          <w:bCs/>
          <w:highlight w:val="none"/>
          <w:lang w:val="en-US" w:eastAsia="zh-CN"/>
        </w:rPr>
      </w:pPr>
      <w:r>
        <w:rPr>
          <w:rFonts w:hint="eastAsia"/>
          <w:b/>
          <w:bCs/>
          <w:highlight w:val="none"/>
          <w:lang w:val="en-US" w:eastAsia="zh-CN"/>
        </w:rPr>
        <w:t>（2）应对措施</w:t>
      </w:r>
    </w:p>
    <w:p w14:paraId="1EA7F6CF">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eastAsia="zh-CN"/>
        </w:rPr>
      </w:pPr>
      <w:r>
        <w:rPr>
          <w:rFonts w:hint="eastAsia"/>
          <w:highlight w:val="none"/>
          <w:lang w:val="en-US" w:eastAsia="zh-CN"/>
        </w:rPr>
        <w:t>项目团队将构建“政策-市场”双轮驱动机制以对冲政策不确定性。</w:t>
      </w:r>
    </w:p>
    <w:p w14:paraId="328C4631">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eastAsia="zh-CN"/>
        </w:rPr>
      </w:pPr>
      <w:r>
        <w:rPr>
          <w:rFonts w:hint="eastAsia"/>
          <w:highlight w:val="none"/>
          <w:lang w:val="en-US" w:eastAsia="zh-CN"/>
        </w:rPr>
        <w:t>其一，深化与地方政府合作，推动抗震改造补贴纳入乡村振兴绩效考核体系，通过签订框架协议锁定区域采购规模。例如，在云南、四川等地震高烈度区试点“补贴预审+先行垫付”模式，由企业垫付30%改造费用，待补贴到位后结算，降低农户资金压力。</w:t>
      </w:r>
    </w:p>
    <w:p w14:paraId="1D33BD2A">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eastAsia="zh-CN"/>
        </w:rPr>
      </w:pPr>
      <w:r>
        <w:rPr>
          <w:rFonts w:hint="eastAsia"/>
          <w:highlight w:val="none"/>
          <w:lang w:val="en-US" w:eastAsia="zh-CN"/>
        </w:rPr>
        <w:t>其二，联合住建部门制定《村镇隔震技术补贴申领指南》，简化审批流程，设立专项窗口提供“一站式”政策咨询与申报服务。</w:t>
      </w:r>
    </w:p>
    <w:p w14:paraId="7CC091F7">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eastAsia="zh-CN"/>
        </w:rPr>
      </w:pPr>
      <w:r>
        <w:rPr>
          <w:rFonts w:hint="eastAsia"/>
          <w:highlight w:val="none"/>
          <w:lang w:val="en-US" w:eastAsia="zh-CN"/>
        </w:rPr>
        <w:t>其三，探索多元化资金渠道，如引入社会资本参与“抗震公益基金”，通过“政府补贴+企业让利+公益捐助”模式分摊成本，确保技术普惠性。</w:t>
      </w:r>
    </w:p>
    <w:p w14:paraId="3C8BEB86">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eastAsia="zh-CN"/>
        </w:rPr>
      </w:pPr>
      <w:r>
        <w:rPr>
          <w:rFonts w:hint="eastAsia"/>
          <w:highlight w:val="none"/>
          <w:lang w:val="en-US" w:eastAsia="zh-CN"/>
        </w:rPr>
        <w:t>其四，加强政策前瞻性研究，依托高校智库资源定期发布《村镇抗震政策白皮书》，为地方政府优化补贴政策提供数据支撑，推动政策稳定性与连续性。</w:t>
      </w:r>
    </w:p>
    <w:p w14:paraId="7672FC3B">
      <w:pPr>
        <w:pStyle w:val="4"/>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bookmarkStart w:id="114" w:name="_Toc16048"/>
      <w:bookmarkStart w:id="115" w:name="_Toc23586"/>
      <w:r>
        <w:rPr>
          <w:rFonts w:hint="eastAsia"/>
          <w:highlight w:val="none"/>
          <w:lang w:val="en-US" w:eastAsia="zh-CN"/>
        </w:rPr>
        <w:t>6.3.2风险二</w:t>
      </w:r>
      <w:bookmarkEnd w:id="114"/>
      <w:bookmarkEnd w:id="115"/>
    </w:p>
    <w:p w14:paraId="28B22FE6">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2" w:firstLineChars="200"/>
        <w:textAlignment w:val="auto"/>
        <w:rPr>
          <w:rFonts w:hint="eastAsia"/>
          <w:b/>
          <w:bCs/>
          <w:highlight w:val="none"/>
          <w:lang w:val="en-US" w:eastAsia="zh-CN"/>
        </w:rPr>
      </w:pPr>
      <w:r>
        <w:rPr>
          <w:rFonts w:hint="eastAsia"/>
          <w:b/>
          <w:bCs/>
          <w:highlight w:val="none"/>
          <w:lang w:val="en-US" w:eastAsia="zh-CN"/>
        </w:rPr>
        <w:t>（1）村民接受度低</w:t>
      </w:r>
    </w:p>
    <w:p w14:paraId="3AF9EDA2">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eastAsia="zh-CN"/>
        </w:rPr>
      </w:pPr>
      <w:r>
        <w:rPr>
          <w:rFonts w:hint="eastAsia"/>
          <w:highlight w:val="none"/>
          <w:lang w:val="en-US" w:eastAsia="zh-CN"/>
        </w:rPr>
        <w:t>村镇居民对新型隔震技术的认知不足与传统建造习惯固化，可能阻碍技术落地。调研显示，西南地区63%的农户认为“祖辈房屋未抗震仍可居住”，对隔震必要性存疑；另有28%的村民担忧技术可靠性，认为“新材料不如砖石牢固”。</w:t>
      </w:r>
    </w:p>
    <w:p w14:paraId="17685956">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eastAsia="zh-CN"/>
        </w:rPr>
      </w:pPr>
      <w:r>
        <w:rPr>
          <w:rFonts w:hint="eastAsia"/>
          <w:highlight w:val="none"/>
          <w:lang w:val="en-US" w:eastAsia="zh-CN"/>
        </w:rPr>
        <w:t>此外，部分偏远山区信息闭塞，缺乏直观案例示范，导致技术推广阻力加大。例如，甘肃甘南某试点村因村民抵触心理，初期安装率不足40%。若无法有效破除认知壁垒，项目将面临市场渗透率低下、技术推广成本攀升等挑战，制约乡村振兴战略中”安全宜居”目标的实现。</w:t>
      </w:r>
    </w:p>
    <w:p w14:paraId="3A455B9A">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2" w:firstLineChars="200"/>
        <w:textAlignment w:val="auto"/>
        <w:rPr>
          <w:rFonts w:hint="eastAsia"/>
          <w:b/>
          <w:bCs/>
          <w:highlight w:val="none"/>
          <w:lang w:val="en-US" w:eastAsia="zh-CN"/>
        </w:rPr>
      </w:pPr>
      <w:r>
        <w:rPr>
          <w:rFonts w:hint="eastAsia"/>
          <w:b/>
          <w:bCs/>
          <w:highlight w:val="none"/>
          <w:lang w:val="en-US" w:eastAsia="zh-CN"/>
        </w:rPr>
        <w:t>（2）应对措施</w:t>
      </w:r>
    </w:p>
    <w:p w14:paraId="6F287454">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eastAsia="zh-CN"/>
        </w:rPr>
      </w:pPr>
      <w:r>
        <w:rPr>
          <w:rFonts w:hint="eastAsia"/>
          <w:highlight w:val="none"/>
          <w:lang w:val="en-US" w:eastAsia="zh-CN"/>
        </w:rPr>
        <w:t>项目团队将以“技术可视化+社区共治”策略提升村民接受度。</w:t>
      </w:r>
    </w:p>
    <w:p w14:paraId="46317FC1">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eastAsia="zh-CN"/>
        </w:rPr>
      </w:pPr>
      <w:r>
        <w:rPr>
          <w:rFonts w:hint="eastAsia"/>
          <w:highlight w:val="none"/>
          <w:lang w:val="en-US" w:eastAsia="zh-CN"/>
        </w:rPr>
        <w:t>首先，打造“抗震安全示范村”，通过实景展示、振动台模拟体验与震后房屋对比展，直观呈现隔震效果。例如，在四川芦山设立开放型教育基地，邀请村民参与模拟地震试验，增强技术可信度。</w:t>
      </w:r>
    </w:p>
    <w:p w14:paraId="77162473">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eastAsia="zh-CN"/>
        </w:rPr>
      </w:pPr>
      <w:r>
        <w:rPr>
          <w:rFonts w:hint="eastAsia"/>
          <w:highlight w:val="none"/>
          <w:lang w:val="en-US" w:eastAsia="zh-CN"/>
        </w:rPr>
        <w:t>其次，建立“乡贤带头+技术宣讲”机制，遴选村内德高望重者作为“安全大使”，通过本土化语言传播抗震知识，并优先为其住宅进行改造，形成示范效应。</w:t>
      </w:r>
    </w:p>
    <w:p w14:paraId="521C50FF">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eastAsia="zh-CN"/>
        </w:rPr>
      </w:pPr>
      <w:r>
        <w:rPr>
          <w:rFonts w:hint="eastAsia"/>
          <w:highlight w:val="none"/>
          <w:lang w:val="en-US" w:eastAsia="zh-CN"/>
        </w:rPr>
        <w:t>再次，开发“隔震技术小程序”，以动画、方言短视频等形式普及技术原理，结合线下”安全大篷车”巡回宣讲，覆盖老年群体与低文化水平村民。</w:t>
      </w:r>
    </w:p>
    <w:p w14:paraId="7517C815">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eastAsia="zh-CN"/>
        </w:rPr>
      </w:pPr>
      <w:r>
        <w:rPr>
          <w:rFonts w:hint="eastAsia"/>
          <w:highlight w:val="none"/>
          <w:lang w:val="en-US" w:eastAsia="zh-CN"/>
        </w:rPr>
        <w:t>最后，推行“以工代训”模式，培训本地工匠参与安装，降低技术陌生感的同时创造就业机会，形成“技术受益就业增收口碑传播”的正向循环，从根本上提升村民参与意愿。</w:t>
      </w:r>
    </w:p>
    <w:p w14:paraId="2FD34226">
      <w:pPr>
        <w:spacing w:line="360" w:lineRule="auto"/>
        <w:rPr>
          <w:rFonts w:hint="eastAsia"/>
          <w:highlight w:val="none"/>
          <w:lang w:val="en-US" w:eastAsia="zh-CN"/>
        </w:rPr>
      </w:pPr>
      <w:r>
        <w:rPr>
          <w:rFonts w:hint="eastAsia"/>
          <w:highlight w:val="none"/>
          <w:lang w:val="en-US" w:eastAsia="zh-CN"/>
        </w:rPr>
        <w:br w:type="page"/>
      </w:r>
    </w:p>
    <w:p w14:paraId="688280A6">
      <w:pPr>
        <w:pStyle w:val="2"/>
        <w:numPr>
          <w:ilvl w:val="0"/>
          <w:numId w:val="0"/>
        </w:numPr>
        <w:bidi w:val="0"/>
        <w:spacing w:line="360" w:lineRule="auto"/>
        <w:ind w:leftChars="0"/>
        <w:rPr>
          <w:rFonts w:hint="eastAsia"/>
          <w:highlight w:val="none"/>
          <w:lang w:val="en-US" w:eastAsia="zh-CN"/>
        </w:rPr>
      </w:pPr>
      <w:bookmarkStart w:id="116" w:name="_Toc32416"/>
      <w:bookmarkStart w:id="117" w:name="_Toc7093"/>
      <w:r>
        <w:rPr>
          <w:rFonts w:hint="eastAsia"/>
          <w:highlight w:val="none"/>
          <w:lang w:val="en-US" w:eastAsia="zh-CN"/>
        </w:rPr>
        <w:t>第七章 市场营销</w:t>
      </w:r>
      <w:bookmarkEnd w:id="116"/>
      <w:bookmarkEnd w:id="117"/>
    </w:p>
    <w:p w14:paraId="1A462932">
      <w:pPr>
        <w:pStyle w:val="3"/>
        <w:bidi w:val="0"/>
        <w:spacing w:line="360" w:lineRule="auto"/>
        <w:rPr>
          <w:rFonts w:hint="eastAsia"/>
          <w:highlight w:val="none"/>
          <w:lang w:val="en-US" w:eastAsia="zh-CN"/>
        </w:rPr>
      </w:pPr>
      <w:bookmarkStart w:id="118" w:name="_Toc28439"/>
      <w:bookmarkStart w:id="119" w:name="_Toc16327"/>
      <w:r>
        <w:rPr>
          <w:rFonts w:hint="eastAsia"/>
          <w:highlight w:val="none"/>
          <w:lang w:val="en-US" w:eastAsia="zh-CN"/>
        </w:rPr>
        <w:t>7.1目标市场的选择与定位</w:t>
      </w:r>
      <w:bookmarkEnd w:id="118"/>
      <w:bookmarkEnd w:id="119"/>
    </w:p>
    <w:p w14:paraId="2F39A0FE">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eastAsia="zh-CN"/>
        </w:rPr>
      </w:pPr>
      <w:r>
        <w:rPr>
          <w:rFonts w:hint="eastAsia"/>
          <w:highlight w:val="none"/>
          <w:lang w:val="en-US"/>
        </w:rPr>
        <w:t>产品策略是营销组合的价值根基，它定义了企业向目标市场传递的核心利益。价格策略、渠道策略、促销策略的制定需以产品价值主张为原点，但同时也通过市场反馈反哺产品迭代，形成动态协同的营销生态系统。</w:t>
      </w:r>
    </w:p>
    <w:p w14:paraId="16D7BCE2">
      <w:pPr>
        <w:pStyle w:val="4"/>
        <w:bidi w:val="0"/>
        <w:spacing w:line="360" w:lineRule="auto"/>
        <w:rPr>
          <w:rFonts w:hint="eastAsia"/>
          <w:highlight w:val="none"/>
          <w:lang w:val="en-US" w:eastAsia="zh-CN"/>
        </w:rPr>
      </w:pPr>
      <w:bookmarkStart w:id="120" w:name="_Toc23252"/>
      <w:bookmarkStart w:id="121" w:name="_Toc28894"/>
      <w:r>
        <w:rPr>
          <w:rFonts w:hint="eastAsia"/>
          <w:highlight w:val="none"/>
          <w:lang w:val="en-US" w:eastAsia="zh-CN"/>
        </w:rPr>
        <w:t>7.1.1市场细分</w:t>
      </w:r>
      <w:bookmarkEnd w:id="120"/>
      <w:bookmarkEnd w:id="121"/>
    </w:p>
    <w:p w14:paraId="56D674FC">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本项目基于城镇化水平将市场划分为城市与村镇两大板块，初期聚焦于地震带上高地震风险的村镇地区，同时在本地城市地区攻坚高价值场景，积累一定势能后将向省级市场战略性扩张，按发展潜力将省级区域分为高地震风险区的重点市场、中地震风险区的普通市场和低地震风险的微小市场，通过</w:t>
      </w:r>
      <w:r>
        <w:rPr>
          <w:rFonts w:hint="eastAsia"/>
          <w:highlight w:val="none"/>
          <w:lang w:val="en-US" w:eastAsia="zh-CN"/>
        </w:rPr>
        <w:t>“</w:t>
      </w:r>
      <w:r>
        <w:rPr>
          <w:rFonts w:hint="eastAsia"/>
          <w:highlight w:val="none"/>
          <w:lang w:val="en-US"/>
        </w:rPr>
        <w:t>村镇筑基、城市提效、省级拓盘</w:t>
      </w:r>
      <w:r>
        <w:rPr>
          <w:rFonts w:hint="eastAsia"/>
          <w:highlight w:val="none"/>
          <w:lang w:val="en-US" w:eastAsia="zh-CN"/>
        </w:rPr>
        <w:t>”</w:t>
      </w:r>
      <w:r>
        <w:rPr>
          <w:rFonts w:hint="eastAsia"/>
          <w:highlight w:val="none"/>
          <w:lang w:val="en-US"/>
        </w:rPr>
        <w:t>的三步策略，实现隔震支座从区域深耕到全省覆盖的阶梯式增长。本项目采用以下方法来划分市场：</w:t>
      </w:r>
    </w:p>
    <w:p w14:paraId="28586D63">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2" w:firstLineChars="200"/>
        <w:textAlignment w:val="auto"/>
        <w:rPr>
          <w:rFonts w:hint="eastAsia"/>
          <w:b/>
          <w:bCs/>
          <w:highlight w:val="none"/>
          <w:lang w:val="en-US"/>
        </w:rPr>
      </w:pPr>
      <w:r>
        <w:rPr>
          <w:rFonts w:hint="eastAsia"/>
          <w:b/>
          <w:bCs/>
          <w:highlight w:val="none"/>
          <w:lang w:val="en-US" w:eastAsia="zh-CN"/>
        </w:rPr>
        <w:t>（1）</w:t>
      </w:r>
      <w:r>
        <w:rPr>
          <w:rFonts w:hint="eastAsia"/>
          <w:b/>
          <w:bCs/>
          <w:highlight w:val="none"/>
          <w:lang w:val="en-US"/>
        </w:rPr>
        <w:t>根据客户类型分类</w:t>
      </w:r>
    </w:p>
    <w:p w14:paraId="0FDF30FC">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eastAsia="zh-CN"/>
        </w:rPr>
        <w:t>本项目的</w:t>
      </w:r>
      <w:r>
        <w:rPr>
          <w:rFonts w:hint="eastAsia"/>
          <w:highlight w:val="none"/>
          <w:lang w:val="en-US"/>
        </w:rPr>
        <w:t>客户来源十分广泛，遍布全国各地</w:t>
      </w:r>
      <w:r>
        <w:rPr>
          <w:rFonts w:hint="eastAsia"/>
          <w:highlight w:val="none"/>
          <w:lang w:val="en-US" w:eastAsia="zh-CN"/>
        </w:rPr>
        <w:t>，将其市场按照使用者的职业领域细</w:t>
      </w:r>
      <w:r>
        <w:rPr>
          <w:rFonts w:hint="default"/>
          <w:highlight w:val="none"/>
          <w:lang w:val="en-US" w:eastAsia="zh-CN"/>
        </w:rPr>
        <w:t>分为</w:t>
      </w:r>
      <w:r>
        <w:rPr>
          <w:rFonts w:hint="eastAsia"/>
          <w:highlight w:val="none"/>
          <w:lang w:val="en-US" w:eastAsia="zh-CN"/>
        </w:rPr>
        <w:t>村镇居民自建房</w:t>
      </w:r>
      <w:r>
        <w:rPr>
          <w:rFonts w:hint="eastAsia"/>
          <w:highlight w:val="none"/>
          <w:lang w:val="en-US"/>
        </w:rPr>
        <w:t>户</w:t>
      </w:r>
      <w:r>
        <w:rPr>
          <w:rFonts w:hint="eastAsia"/>
          <w:highlight w:val="none"/>
          <w:lang w:val="en-US" w:eastAsia="zh-CN"/>
        </w:rPr>
        <w:t>主</w:t>
      </w:r>
      <w:r>
        <w:rPr>
          <w:rFonts w:hint="eastAsia"/>
          <w:highlight w:val="none"/>
          <w:lang w:val="en-US"/>
        </w:rPr>
        <w:t>、</w:t>
      </w:r>
      <w:r>
        <w:rPr>
          <w:rFonts w:hint="eastAsia"/>
          <w:highlight w:val="none"/>
          <w:lang w:val="en-US" w:eastAsia="zh-CN"/>
        </w:rPr>
        <w:t>小型</w:t>
      </w:r>
      <w:r>
        <w:rPr>
          <w:rFonts w:hint="eastAsia"/>
          <w:highlight w:val="none"/>
          <w:lang w:val="en-US"/>
        </w:rPr>
        <w:t>建筑</w:t>
      </w:r>
      <w:r>
        <w:rPr>
          <w:rFonts w:hint="eastAsia"/>
          <w:highlight w:val="none"/>
          <w:lang w:val="en-US" w:eastAsia="zh-CN"/>
        </w:rPr>
        <w:t>施工队与承包商</w:t>
      </w:r>
      <w:r>
        <w:rPr>
          <w:rFonts w:hint="eastAsia"/>
          <w:highlight w:val="none"/>
          <w:lang w:val="en-US"/>
        </w:rPr>
        <w:t>。</w:t>
      </w:r>
    </w:p>
    <w:p w14:paraId="2B3B918D">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2" w:firstLineChars="200"/>
        <w:textAlignment w:val="auto"/>
        <w:rPr>
          <w:rFonts w:hint="eastAsia"/>
          <w:b/>
          <w:bCs/>
          <w:highlight w:val="none"/>
          <w:lang w:val="en-US"/>
        </w:rPr>
      </w:pPr>
      <w:r>
        <w:rPr>
          <w:rFonts w:hint="eastAsia"/>
          <w:b/>
          <w:bCs/>
          <w:highlight w:val="none"/>
          <w:lang w:val="en-US" w:eastAsia="zh-CN"/>
        </w:rPr>
        <w:t>（2）</w:t>
      </w:r>
      <w:r>
        <w:rPr>
          <w:rFonts w:hint="eastAsia"/>
          <w:b/>
          <w:bCs/>
          <w:highlight w:val="none"/>
          <w:lang w:val="en-US"/>
        </w:rPr>
        <w:t>根据按应用场景分类</w:t>
      </w:r>
    </w:p>
    <w:p w14:paraId="3B76299E">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根据应用场景的功能属性与使用需求分为</w:t>
      </w:r>
      <w:r>
        <w:rPr>
          <w:rFonts w:hint="default"/>
          <w:highlight w:val="none"/>
          <w:lang w:val="en-US" w:eastAsia="zh-CN"/>
        </w:rPr>
        <w:t>普通村镇住宅</w:t>
      </w:r>
      <w:r>
        <w:rPr>
          <w:rFonts w:hint="eastAsia"/>
          <w:highlight w:val="none"/>
          <w:lang w:val="en-US"/>
        </w:rPr>
        <w:t>、</w:t>
      </w:r>
      <w:r>
        <w:rPr>
          <w:rFonts w:hint="default"/>
          <w:highlight w:val="none"/>
          <w:lang w:val="en-US" w:eastAsia="zh-CN"/>
        </w:rPr>
        <w:t>村镇公共服务建筑</w:t>
      </w:r>
      <w:r>
        <w:rPr>
          <w:rFonts w:hint="eastAsia"/>
          <w:highlight w:val="none"/>
          <w:lang w:val="en-US"/>
        </w:rPr>
        <w:t>、城市老旧小区楼梯改造。普通村镇住宅主要针对农村自建住房市场,是本项目的主要市场；村镇公共服务建筑涵盖学校、卫生院等公共设施，需兼顾功能性、耐久性与地方政策适配性，多由政府或集体项目驱动；城市老旧小区楼梯改造要求材料轻量化、抗震加固性能及快速施工能力，通常与市政工程或社区改造计划联动。</w:t>
      </w:r>
    </w:p>
    <w:p w14:paraId="02A576F5">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2" w:firstLineChars="200"/>
        <w:textAlignment w:val="auto"/>
        <w:rPr>
          <w:rFonts w:hint="eastAsia"/>
          <w:b/>
          <w:bCs/>
          <w:highlight w:val="none"/>
          <w:lang w:val="en-US"/>
        </w:rPr>
      </w:pPr>
      <w:r>
        <w:rPr>
          <w:rFonts w:hint="eastAsia"/>
          <w:b/>
          <w:bCs/>
          <w:highlight w:val="none"/>
          <w:lang w:val="en-US" w:eastAsia="zh-CN"/>
        </w:rPr>
        <w:t>（3）</w:t>
      </w:r>
      <w:r>
        <w:rPr>
          <w:rFonts w:hint="eastAsia"/>
          <w:b/>
          <w:bCs/>
          <w:highlight w:val="none"/>
          <w:lang w:val="en-US"/>
        </w:rPr>
        <w:t>根据适用范围分类</w:t>
      </w:r>
    </w:p>
    <w:p w14:paraId="38B79A40">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根据房屋的施工类型划分为震前房屋改造、</w:t>
      </w:r>
      <w:r>
        <w:rPr>
          <w:rFonts w:hint="default"/>
          <w:highlight w:val="none"/>
          <w:lang w:val="en-US" w:eastAsia="zh-CN"/>
        </w:rPr>
        <w:t>灾后重建与村镇新建</w:t>
      </w:r>
      <w:r>
        <w:rPr>
          <w:rFonts w:hint="eastAsia"/>
          <w:highlight w:val="none"/>
          <w:lang w:val="en-US"/>
        </w:rPr>
        <w:t>、</w:t>
      </w:r>
      <w:r>
        <w:rPr>
          <w:rFonts w:hint="default"/>
          <w:highlight w:val="none"/>
          <w:lang w:val="en-US" w:eastAsia="zh-CN"/>
        </w:rPr>
        <w:t>楼梯隔震</w:t>
      </w:r>
      <w:r>
        <w:rPr>
          <w:rFonts w:hint="eastAsia"/>
          <w:highlight w:val="none"/>
          <w:lang w:val="en-US"/>
        </w:rPr>
        <w:t>和新型装配式建筑。震前房屋改造</w:t>
      </w:r>
      <w:r>
        <w:rPr>
          <w:rFonts w:hint="default"/>
          <w:highlight w:val="none"/>
          <w:lang w:val="en-US" w:eastAsia="zh-CN"/>
        </w:rPr>
        <w:t>适用于易震区未达到现行抗震设计规范要求的非达标房屋的隔震加固</w:t>
      </w:r>
      <w:r>
        <w:rPr>
          <w:rFonts w:hint="eastAsia"/>
          <w:highlight w:val="none"/>
          <w:lang w:val="en-US"/>
        </w:rPr>
        <w:t>；</w:t>
      </w:r>
      <w:r>
        <w:rPr>
          <w:rFonts w:hint="default"/>
          <w:highlight w:val="none"/>
          <w:lang w:val="en-US" w:eastAsia="zh-CN"/>
        </w:rPr>
        <w:t>灾后重建与村镇新建针对灾区重建及村镇低矮公共建筑</w:t>
      </w:r>
      <w:r>
        <w:rPr>
          <w:rFonts w:hint="eastAsia"/>
          <w:highlight w:val="none"/>
          <w:lang w:val="en-US"/>
        </w:rPr>
        <w:t>；楼梯隔震</w:t>
      </w:r>
      <w:r>
        <w:rPr>
          <w:rFonts w:hint="default"/>
          <w:highlight w:val="none"/>
          <w:lang w:val="en-US" w:eastAsia="zh-CN"/>
        </w:rPr>
        <w:t>适配纵向逃生通道等关键部位</w:t>
      </w:r>
      <w:r>
        <w:rPr>
          <w:rFonts w:hint="eastAsia"/>
          <w:highlight w:val="none"/>
          <w:lang w:val="en-US"/>
        </w:rPr>
        <w:t>，</w:t>
      </w:r>
      <w:r>
        <w:rPr>
          <w:rFonts w:hint="default"/>
          <w:highlight w:val="none"/>
          <w:lang w:val="en-US" w:eastAsia="zh-CN"/>
        </w:rPr>
        <w:t>确保紧急疏散安全性</w:t>
      </w:r>
      <w:r>
        <w:rPr>
          <w:rFonts w:hint="eastAsia"/>
          <w:highlight w:val="none"/>
          <w:lang w:val="en-US"/>
        </w:rPr>
        <w:t>；新型装配式建筑纳入政策支持，市场不断扩大。</w:t>
      </w:r>
    </w:p>
    <w:p w14:paraId="7EE68F17">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2" w:firstLineChars="200"/>
        <w:textAlignment w:val="auto"/>
        <w:rPr>
          <w:rFonts w:hint="eastAsia"/>
          <w:b/>
          <w:bCs/>
          <w:highlight w:val="none"/>
          <w:lang w:val="en-US"/>
        </w:rPr>
      </w:pPr>
      <w:r>
        <w:rPr>
          <w:rFonts w:hint="eastAsia"/>
          <w:b/>
          <w:bCs/>
          <w:highlight w:val="none"/>
          <w:lang w:val="en-US" w:eastAsia="zh-CN"/>
        </w:rPr>
        <w:t>（4）</w:t>
      </w:r>
      <w:r>
        <w:rPr>
          <w:rFonts w:hint="eastAsia"/>
          <w:b/>
          <w:bCs/>
          <w:highlight w:val="none"/>
          <w:lang w:val="en-US"/>
        </w:rPr>
        <w:t>根据地理区域分类</w:t>
      </w:r>
    </w:p>
    <w:p w14:paraId="6133DBEC">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根据地震风险等级划分为高烈度地震区的村镇地区和中低烈度地震区的村镇地区。高烈度地震区主要是灾后重建和震前加固，需求相对较大；中低烈度地震区多为为预防地震的个体村民，需求量较小。</w:t>
      </w:r>
    </w:p>
    <w:p w14:paraId="063874FC">
      <w:pPr>
        <w:pStyle w:val="4"/>
        <w:bidi w:val="0"/>
        <w:spacing w:line="360" w:lineRule="auto"/>
        <w:rPr>
          <w:rFonts w:hint="eastAsia"/>
          <w:highlight w:val="none"/>
          <w:lang w:val="en-US" w:eastAsia="zh-CN"/>
        </w:rPr>
      </w:pPr>
      <w:bookmarkStart w:id="122" w:name="_Toc20834"/>
      <w:bookmarkStart w:id="123" w:name="_Toc22952"/>
      <w:r>
        <w:rPr>
          <w:rFonts w:hint="eastAsia"/>
          <w:highlight w:val="none"/>
          <w:lang w:val="en-US" w:eastAsia="zh-CN"/>
        </w:rPr>
        <w:t>7.1.2产品市场定位</w:t>
      </w:r>
      <w:bookmarkEnd w:id="122"/>
      <w:bookmarkEnd w:id="123"/>
    </w:p>
    <w:p w14:paraId="2EAD05D3">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主要面向地震高烈度区村镇政府和个体村民，为村镇建筑设计</w:t>
      </w:r>
      <w:r>
        <w:rPr>
          <w:rFonts w:hint="eastAsia"/>
          <w:highlight w:val="none"/>
          <w:lang w:val="en-US" w:eastAsia="zh-CN"/>
        </w:rPr>
        <w:t>“</w:t>
      </w:r>
      <w:r>
        <w:rPr>
          <w:rFonts w:hint="eastAsia"/>
          <w:highlight w:val="none"/>
          <w:lang w:val="en-US"/>
        </w:rPr>
        <w:t>轻量化+普惠价</w:t>
      </w:r>
      <w:r>
        <w:rPr>
          <w:rFonts w:hint="eastAsia"/>
          <w:highlight w:val="none"/>
          <w:lang w:val="en-US" w:eastAsia="zh-CN"/>
        </w:rPr>
        <w:t>”</w:t>
      </w:r>
      <w:r>
        <w:rPr>
          <w:rFonts w:hint="eastAsia"/>
          <w:highlight w:val="none"/>
          <w:lang w:val="en-US"/>
        </w:rPr>
        <w:t>的隔震支座，通过革命性材料与安装工艺，保障隔震要求达国家标准的同时最大限度降低成本，从多维度降低经济损失，让乡村振兴政策真实落地，实现经济效益和社会效益的平衡。</w:t>
      </w:r>
    </w:p>
    <w:p w14:paraId="656663FB">
      <w:pPr>
        <w:pStyle w:val="3"/>
        <w:bidi w:val="0"/>
        <w:spacing w:line="360" w:lineRule="auto"/>
        <w:rPr>
          <w:rFonts w:hint="eastAsia"/>
          <w:highlight w:val="none"/>
          <w:lang w:val="en-US" w:eastAsia="zh-CN"/>
        </w:rPr>
      </w:pPr>
      <w:bookmarkStart w:id="124" w:name="_Toc15900"/>
      <w:bookmarkStart w:id="125" w:name="_Toc24075"/>
      <w:r>
        <w:rPr>
          <w:rFonts w:hint="eastAsia"/>
          <w:highlight w:val="none"/>
          <w:lang w:val="en-US" w:eastAsia="zh-CN"/>
        </w:rPr>
        <w:t>7.2目标市场与市场分析</w:t>
      </w:r>
      <w:bookmarkEnd w:id="124"/>
      <w:bookmarkEnd w:id="125"/>
    </w:p>
    <w:p w14:paraId="1F272FAE">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default"/>
          <w:highlight w:val="none"/>
          <w:lang w:val="en-US" w:eastAsia="zh-CN"/>
        </w:rPr>
      </w:pPr>
      <w:r>
        <w:rPr>
          <w:rFonts w:hint="eastAsia"/>
          <w:highlight w:val="none"/>
          <w:lang w:val="en-US" w:eastAsia="zh-CN"/>
        </w:rPr>
        <w:t>目标市场主要是</w:t>
      </w:r>
      <w:r>
        <w:rPr>
          <w:rFonts w:hint="eastAsia"/>
          <w:highlight w:val="none"/>
          <w:lang w:val="en-US"/>
        </w:rPr>
        <w:t>村镇自建房</w:t>
      </w:r>
      <w:r>
        <w:rPr>
          <w:rFonts w:hint="eastAsia"/>
          <w:highlight w:val="none"/>
          <w:lang w:val="en-US" w:eastAsia="zh-CN"/>
        </w:rPr>
        <w:t>市场、</w:t>
      </w:r>
      <w:r>
        <w:rPr>
          <w:rFonts w:hint="eastAsia"/>
          <w:highlight w:val="none"/>
          <w:lang w:val="en-US"/>
        </w:rPr>
        <w:t>村镇危房改造</w:t>
      </w:r>
      <w:r>
        <w:rPr>
          <w:rFonts w:hint="eastAsia"/>
          <w:highlight w:val="none"/>
          <w:lang w:val="en-US" w:eastAsia="zh-CN"/>
        </w:rPr>
        <w:t>市场</w:t>
      </w:r>
      <w:r>
        <w:rPr>
          <w:rFonts w:hint="eastAsia"/>
          <w:highlight w:val="none"/>
          <w:lang w:val="en-US"/>
        </w:rPr>
        <w:t>、县域小型建筑承包商市场</w:t>
      </w:r>
      <w:r>
        <w:rPr>
          <w:rFonts w:hint="eastAsia"/>
          <w:highlight w:val="none"/>
          <w:lang w:val="en-US" w:eastAsia="zh-CN"/>
        </w:rPr>
        <w:t>等。</w:t>
      </w:r>
      <w:r>
        <w:rPr>
          <w:rFonts w:hint="default"/>
          <w:highlight w:val="none"/>
          <w:lang w:val="en-US" w:eastAsia="zh-CN"/>
        </w:rPr>
        <w:t>以下内容是针对目标市场的分析与预测。</w:t>
      </w:r>
    </w:p>
    <w:p w14:paraId="380E5FE9">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2023年，建筑行业受房地产下行拖累，整体投资放缓，但村镇市场因</w:t>
      </w:r>
      <w:r>
        <w:rPr>
          <w:rFonts w:hint="eastAsia"/>
          <w:highlight w:val="none"/>
          <w:lang w:val="en-US" w:eastAsia="zh-CN"/>
        </w:rPr>
        <w:t>“</w:t>
      </w:r>
      <w:r>
        <w:rPr>
          <w:rFonts w:hint="eastAsia"/>
          <w:highlight w:val="none"/>
          <w:lang w:val="en-US"/>
        </w:rPr>
        <w:t>乡村振兴</w:t>
      </w:r>
      <w:r>
        <w:rPr>
          <w:rFonts w:hint="eastAsia"/>
          <w:highlight w:val="none"/>
          <w:lang w:val="en-US" w:eastAsia="zh-CN"/>
        </w:rPr>
        <w:t>”</w:t>
      </w:r>
      <w:r>
        <w:rPr>
          <w:rFonts w:hint="eastAsia"/>
          <w:highlight w:val="none"/>
          <w:lang w:val="en-US"/>
        </w:rPr>
        <w:t>政策支撑，自建房与危改需求韧性较强。隔震行业因技术成本高及安装复杂性，在村镇渗透率不足3%。</w:t>
      </w:r>
    </w:p>
    <w:p w14:paraId="7C86E464">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2024年，政策驱动加速，住建部强制高烈度区公共建筑采用隔震技术，云南、四川等省将农房抗震纳入乡村振兴考核。县域承包商通过政府集采订单切入危改供应链，但同质化竞争初显。</w:t>
      </w:r>
    </w:p>
    <w:p w14:paraId="30D206A8">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2025年，</w:t>
      </w:r>
      <w:r>
        <w:rPr>
          <w:rFonts w:hint="eastAsia"/>
          <w:highlight w:val="none"/>
          <w:lang w:val="en-US" w:eastAsia="zh-CN"/>
        </w:rPr>
        <w:t>“</w:t>
      </w:r>
      <w:r>
        <w:rPr>
          <w:rFonts w:hint="eastAsia"/>
          <w:highlight w:val="none"/>
          <w:lang w:val="en-US"/>
        </w:rPr>
        <w:t>十四五</w:t>
      </w:r>
      <w:r>
        <w:rPr>
          <w:rFonts w:hint="eastAsia"/>
          <w:highlight w:val="none"/>
          <w:lang w:val="en-US" w:eastAsia="zh-CN"/>
        </w:rPr>
        <w:t>”</w:t>
      </w:r>
      <w:r>
        <w:rPr>
          <w:rFonts w:hint="eastAsia"/>
          <w:highlight w:val="none"/>
          <w:lang w:val="en-US"/>
        </w:rPr>
        <w:t>应急规划落地，危改专项资金年增15%。政府危改聚焦西南、西北</w:t>
      </w:r>
      <w:r>
        <w:rPr>
          <w:rFonts w:hint="eastAsia"/>
          <w:highlight w:val="none"/>
          <w:lang w:val="en-US" w:eastAsia="zh-CN"/>
        </w:rPr>
        <w:t>39</w:t>
      </w:r>
      <w:r>
        <w:rPr>
          <w:rFonts w:hint="eastAsia"/>
          <w:highlight w:val="none"/>
          <w:lang w:val="en-US"/>
        </w:rPr>
        <w:t>万栋存量房，招标溢价带动利润率25%-30%；县域承包商技术授权需求上升，与装配式厂商合作扩产。</w:t>
      </w:r>
    </w:p>
    <w:p w14:paraId="64E5DA56">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预计</w:t>
      </w:r>
      <w:r>
        <w:rPr>
          <w:rFonts w:hint="default"/>
          <w:highlight w:val="none"/>
          <w:lang w:val="en-US" w:eastAsia="zh-CN"/>
        </w:rPr>
        <w:t>202</w:t>
      </w:r>
      <w:r>
        <w:rPr>
          <w:rFonts w:hint="eastAsia"/>
          <w:highlight w:val="none"/>
          <w:lang w:val="en-US"/>
        </w:rPr>
        <w:t>6</w:t>
      </w:r>
      <w:r>
        <w:rPr>
          <w:rFonts w:hint="default"/>
          <w:highlight w:val="none"/>
          <w:lang w:val="en-US" w:eastAsia="zh-CN"/>
        </w:rPr>
        <w:t>年</w:t>
      </w:r>
      <w:r>
        <w:rPr>
          <w:rFonts w:hint="eastAsia"/>
          <w:highlight w:val="none"/>
          <w:lang w:val="en-US"/>
        </w:rPr>
        <w:t>，</w:t>
      </w:r>
      <w:r>
        <w:rPr>
          <w:rFonts w:hint="default"/>
          <w:highlight w:val="none"/>
          <w:lang w:val="en-US" w:eastAsia="zh-CN"/>
        </w:rPr>
        <w:t>政策红利将深度重塑村镇市场与县域经济格局。政策层面，中央一号文件明确农业新质生产力方向，叠加新基建投资超万亿，为村镇市场注入强劲动能。行业转型从</w:t>
      </w:r>
      <w:r>
        <w:rPr>
          <w:rFonts w:hint="eastAsia"/>
          <w:highlight w:val="none"/>
          <w:lang w:val="en-US" w:eastAsia="zh-CN"/>
        </w:rPr>
        <w:t>“</w:t>
      </w:r>
      <w:r>
        <w:rPr>
          <w:rFonts w:hint="default"/>
          <w:highlight w:val="none"/>
          <w:lang w:val="en-US" w:eastAsia="zh-CN"/>
        </w:rPr>
        <w:t>政策输血</w:t>
      </w:r>
      <w:r>
        <w:rPr>
          <w:rFonts w:hint="eastAsia"/>
          <w:highlight w:val="none"/>
          <w:lang w:val="en-US" w:eastAsia="zh-CN"/>
        </w:rPr>
        <w:t>”</w:t>
      </w:r>
      <w:r>
        <w:rPr>
          <w:rFonts w:hint="default"/>
          <w:highlight w:val="none"/>
          <w:lang w:val="en-US" w:eastAsia="zh-CN"/>
        </w:rPr>
        <w:t>转向</w:t>
      </w:r>
      <w:r>
        <w:rPr>
          <w:rFonts w:hint="eastAsia"/>
          <w:highlight w:val="none"/>
          <w:lang w:val="en-US" w:eastAsia="zh-CN"/>
        </w:rPr>
        <w:t>“</w:t>
      </w:r>
      <w:r>
        <w:rPr>
          <w:rFonts w:hint="default"/>
          <w:highlight w:val="none"/>
          <w:lang w:val="en-US" w:eastAsia="zh-CN"/>
        </w:rPr>
        <w:t>市场造血</w:t>
      </w:r>
      <w:r>
        <w:rPr>
          <w:rFonts w:hint="eastAsia"/>
          <w:highlight w:val="none"/>
          <w:lang w:val="en-US" w:eastAsia="zh-CN"/>
        </w:rPr>
        <w:t>”</w:t>
      </w:r>
      <w:r>
        <w:rPr>
          <w:rFonts w:hint="default"/>
          <w:highlight w:val="none"/>
          <w:lang w:val="en-US" w:eastAsia="zh-CN"/>
        </w:rPr>
        <w:t>，形成可持续的市场闭环。随着要素市场化改革深化</w:t>
      </w:r>
      <w:r>
        <w:rPr>
          <w:rFonts w:hint="eastAsia"/>
          <w:highlight w:val="none"/>
          <w:lang w:val="en-US"/>
        </w:rPr>
        <w:t>，</w:t>
      </w:r>
      <w:r>
        <w:rPr>
          <w:rFonts w:hint="default"/>
          <w:highlight w:val="none"/>
          <w:lang w:val="en-US" w:eastAsia="zh-CN"/>
        </w:rPr>
        <w:t>县域经济将更依赖创新驱动与内生增长</w:t>
      </w:r>
      <w:r>
        <w:rPr>
          <w:rFonts w:hint="eastAsia"/>
          <w:highlight w:val="none"/>
          <w:lang w:val="en-US"/>
        </w:rPr>
        <w:t>。有望与一带一路地震带国家的基建重建需求与技术合作机遇，推动县域经济从单一国内市场向全球价值链高端延伸。</w:t>
      </w:r>
    </w:p>
    <w:p w14:paraId="3F040EA6">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firstLine="562" w:firstLineChars="200"/>
        <w:textAlignment w:val="auto"/>
        <w:rPr>
          <w:rFonts w:hint="eastAsia"/>
          <w:b/>
          <w:bCs/>
          <w:highlight w:val="none"/>
          <w:lang w:val="en-US"/>
        </w:rPr>
      </w:pPr>
      <w:r>
        <w:rPr>
          <w:rFonts w:hint="eastAsia"/>
          <w:b/>
          <w:bCs/>
          <w:highlight w:val="none"/>
          <w:lang w:val="en-US" w:eastAsia="zh-CN"/>
        </w:rPr>
        <w:t>（</w:t>
      </w:r>
      <w:r>
        <w:rPr>
          <w:rFonts w:hint="eastAsia"/>
          <w:b/>
          <w:bCs/>
          <w:highlight w:val="none"/>
          <w:lang w:val="en-US"/>
        </w:rPr>
        <w:t>1）国内村镇建筑、基建抗震市场分析</w:t>
      </w:r>
    </w:p>
    <w:p w14:paraId="057F6966">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村镇建筑抗震能力薄弱是我国防灾减灾体系的突出短板。据统计，我国58%以上的国土、55%的人口处于7度以上地震高烈度区，其中西部地区既是地震带密集区，又是经济相对落后、农村人口聚集的区域。然而，农村自建房长期处于监管空白，地震多发区超过70%的农房未达到抗震设防标准，黏土砖年使用量占全国总量40%以上，导致建筑结构脆弱且资源浪费严重。2025年初西藏定日县6.8级地震造成3600余间农房倒塌的案例，再次暴露了土坯砌体结构在地震中的高风险性。</w:t>
      </w:r>
    </w:p>
    <w:p w14:paraId="1D369A07">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政策环境正经历从</w:t>
      </w:r>
      <w:r>
        <w:rPr>
          <w:rFonts w:hint="eastAsia"/>
          <w:highlight w:val="none"/>
          <w:lang w:val="en-US" w:eastAsia="zh-CN"/>
        </w:rPr>
        <w:t>“</w:t>
      </w:r>
      <w:r>
        <w:rPr>
          <w:rFonts w:hint="eastAsia"/>
          <w:highlight w:val="none"/>
          <w:lang w:val="en-US"/>
        </w:rPr>
        <w:t>鼓励倡导</w:t>
      </w:r>
      <w:r>
        <w:rPr>
          <w:rFonts w:hint="eastAsia"/>
          <w:highlight w:val="none"/>
          <w:lang w:val="en-US" w:eastAsia="zh-CN"/>
        </w:rPr>
        <w:t>”</w:t>
      </w:r>
      <w:r>
        <w:rPr>
          <w:rFonts w:hint="eastAsia"/>
          <w:highlight w:val="none"/>
          <w:lang w:val="en-US"/>
        </w:rPr>
        <w:t>到</w:t>
      </w:r>
      <w:r>
        <w:rPr>
          <w:rFonts w:hint="eastAsia"/>
          <w:highlight w:val="none"/>
          <w:lang w:val="en-US" w:eastAsia="zh-CN"/>
        </w:rPr>
        <w:t>”</w:t>
      </w:r>
      <w:r>
        <w:rPr>
          <w:rFonts w:hint="eastAsia"/>
          <w:highlight w:val="none"/>
          <w:lang w:val="en-US"/>
        </w:rPr>
        <w:t>强制实施</w:t>
      </w:r>
      <w:r>
        <w:rPr>
          <w:rFonts w:hint="eastAsia"/>
          <w:highlight w:val="none"/>
          <w:lang w:val="en-US" w:eastAsia="zh-CN"/>
        </w:rPr>
        <w:t>”</w:t>
      </w:r>
      <w:r>
        <w:rPr>
          <w:rFonts w:hint="eastAsia"/>
          <w:highlight w:val="none"/>
          <w:lang w:val="en-US"/>
        </w:rPr>
        <w:t>的根本性转变。2021年9月实施的《建设工程抗震管理条例》首次以行政法规形式要求高烈度区重大工程进行隔震减震设计，并将学校、医院等公共建筑纳入重点设防范围。地方层面同步推进配套措施，四川省将农房抗震改造纳入乡村振兴战略，2023年完成2.1万户试点；青海省2025年3月下达2.95亿元以工代赈中央基建资金，专项用于49个农村基础设施抗震项目。住建部同步发布《建筑隔震设计标准》，并推动编制地方化农房抗震标准图集，通过培训认证村镇建筑工匠强化技术落地能力。</w:t>
      </w:r>
    </w:p>
    <w:p w14:paraId="0E11F334">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在政策驱动与安全需求双重作用下，村镇抗震市场呈现爆发式增长。据测算，全国年均新增农房约300万户，若30%采用抗震结构，按每平方米增量成本300-500元计算，仅新建市场年规模即超135亿元。存量改造需求更为庞大，约5000万户农房需抗震加固，按10年改造周期，年均市场规模达750亿元。基建投资持续发力提供额外支撑，2022年基建投资同比增长8.6%，2025年1-2月广义基建投资增速进一步升至10%，其中水利管理业投资增速高达39.1%，中央财政对安全韧性工程的倾斜尤为明显。区域分布上，云南、四川等地震高风险省份成为核心市场，四川省2023年启动的农房抗震改造三年行动首批即覆盖5.8万户。</w:t>
      </w:r>
    </w:p>
    <w:p w14:paraId="08A1D965">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随着《条例》全面实施及中央财政持续倾斜，村镇抗震市场将从被动救灾转向主动防灾。住建部门主导的农房标准图集推广已初见成效，采用标准化设计的抗震农房在同等强度地震下损坏率降低70%以上。2025年中央财政对重大安全工程的投入增速预计保持30%以上，叠加县域城镇化率提升带来的基础设施抗震升级需求，未来五年该领域有望形成千亿级规模市场，为乡村振兴构筑坚实的安全基底。</w:t>
      </w:r>
    </w:p>
    <w:p w14:paraId="1C806EA7">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2" w:firstLineChars="200"/>
        <w:textAlignment w:val="auto"/>
        <w:rPr>
          <w:rFonts w:hint="eastAsia"/>
          <w:b/>
          <w:bCs/>
          <w:highlight w:val="none"/>
          <w:lang w:val="en-US"/>
        </w:rPr>
      </w:pPr>
      <w:r>
        <w:rPr>
          <w:rFonts w:hint="eastAsia"/>
          <w:b/>
          <w:bCs/>
          <w:highlight w:val="none"/>
          <w:lang w:val="en-US" w:eastAsia="zh-CN"/>
        </w:rPr>
        <w:t>（</w:t>
      </w:r>
      <w:r>
        <w:rPr>
          <w:rFonts w:hint="eastAsia"/>
          <w:b/>
          <w:bCs/>
          <w:highlight w:val="none"/>
          <w:lang w:val="en-US"/>
        </w:rPr>
        <w:t>2）国内隔震行业、抗震建筑材料市场分析</w:t>
      </w:r>
    </w:p>
    <w:p w14:paraId="16B416D3">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default"/>
          <w:highlight w:val="none"/>
          <w:lang w:val="en-US"/>
        </w:rPr>
      </w:pPr>
      <w:r>
        <w:rPr>
          <w:rFonts w:hint="default"/>
          <w:highlight w:val="none"/>
          <w:lang w:val="en-US" w:eastAsia="zh-CN"/>
        </w:rPr>
        <w:t>近年来，国内隔震建筑材料市场在政策强制标准与技术创新的双重作用下进入高速增长期。2023年，中国建筑隔震橡胶支座市场规模达48.6亿元，同比增长22.3%，建筑减震隔震系统市场规模达120亿元，同比增长15%，远超建材行业整体增速。以云南为例，其对公共建筑隔震改造补贴标准从300元/</w:t>
      </w:r>
      <w:r>
        <w:rPr>
          <w:rFonts w:hint="eastAsia"/>
          <w:highlight w:val="none"/>
          <w:lang w:val="en-US" w:eastAsia="zh-CN"/>
        </w:rPr>
        <w:t>m</w:t>
      </w:r>
      <w:r>
        <w:rPr>
          <w:rFonts w:hint="eastAsia"/>
          <w:highlight w:val="none"/>
          <w:vertAlign w:val="superscript"/>
          <w:lang w:val="en-US" w:eastAsia="zh-CN"/>
        </w:rPr>
        <w:t>2</w:t>
      </w:r>
      <w:r>
        <w:rPr>
          <w:rFonts w:hint="default"/>
          <w:highlight w:val="none"/>
          <w:lang w:val="en-US" w:eastAsia="zh-CN"/>
        </w:rPr>
        <w:t>提升至450元/</w:t>
      </w:r>
      <w:r>
        <w:rPr>
          <w:rFonts w:hint="eastAsia" w:ascii="Times New Roman" w:hAnsi="Times New Roman" w:cs="Times New Roman"/>
          <w:highlight w:val="none"/>
          <w:lang w:val="en-US" w:eastAsia="zh-CN"/>
        </w:rPr>
        <w:t>m</w:t>
      </w:r>
      <w:r>
        <w:rPr>
          <w:rFonts w:hint="eastAsia" w:ascii="Times New Roman" w:hAnsi="Times New Roman" w:cs="Times New Roman"/>
          <w:highlight w:val="none"/>
          <w:vertAlign w:val="superscript"/>
          <w:lang w:val="en-US" w:eastAsia="zh-CN"/>
        </w:rPr>
        <w:t>2</w:t>
      </w:r>
      <w:r>
        <w:rPr>
          <w:rFonts w:hint="default"/>
          <w:highlight w:val="none"/>
          <w:lang w:val="en-US" w:eastAsia="zh-CN"/>
        </w:rPr>
        <w:t>，带动省内市场规模三年增长270%。从全球竞争看，中国以25%的市场份额位居第二，仅次于日本，但在高端超大型支座领域仍依赖进口，日本KYB、德国Maurer等企业占据该细分市场80%份额，而国内企业在1500mm以下产品中已实现60%的全球市占率，港珠澳大桥扩建工程的桥梁支座国产化即为典型突破。</w:t>
      </w:r>
    </w:p>
    <w:p w14:paraId="75AE01F9">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default"/>
          <w:highlight w:val="none"/>
          <w:lang w:val="en-US"/>
        </w:rPr>
      </w:pPr>
      <w:r>
        <w:rPr>
          <w:rFonts w:hint="default"/>
          <w:highlight w:val="none"/>
          <w:lang w:val="en-US" w:eastAsia="zh-CN"/>
        </w:rPr>
        <w:t>2022年，受钢板价格从6000元/吨回落至4300-4400元/吨、天然橡胶从15400元/吨降至12500元/吨影响，铅芯橡胶支座单价较2021年下降15%-20%，至8000-12000元/套；高阻尼橡胶支座因技术壁垒单价维持15000-20000元/套，但全生命周期成本因50年寿命设计下降22%。区域市场中，长三角、珠三角因产能集中和技术成熟，价格较中西部低10%-15%；云南、四川等地震高发区因政策补贴，终端采购价较东部低8%-12%。国际对比显示，日本同类产品价格较国内高30%-50%，但在高端市场具备显著溢价能力。​</w:t>
      </w:r>
    </w:p>
    <w:p w14:paraId="12E61590">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default"/>
          <w:highlight w:val="none"/>
          <w:lang w:val="en-US" w:eastAsia="zh-CN"/>
        </w:rPr>
      </w:pPr>
      <w:r>
        <w:rPr>
          <w:rFonts w:hint="default"/>
          <w:highlight w:val="none"/>
          <w:lang w:val="en-US" w:eastAsia="zh-CN"/>
        </w:rPr>
        <w:t>供给端呈现</w:t>
      </w:r>
      <w:r>
        <w:rPr>
          <w:rFonts w:hint="eastAsia"/>
          <w:highlight w:val="none"/>
          <w:lang w:val="en-US" w:eastAsia="zh-CN"/>
        </w:rPr>
        <w:t>“</w:t>
      </w:r>
      <w:r>
        <w:rPr>
          <w:rFonts w:hint="default"/>
          <w:highlight w:val="none"/>
          <w:lang w:val="en-US" w:eastAsia="zh-CN"/>
        </w:rPr>
        <w:t>梯队分化</w:t>
      </w:r>
      <w:r>
        <w:rPr>
          <w:rFonts w:hint="eastAsia"/>
          <w:highlight w:val="none"/>
          <w:lang w:val="en-US" w:eastAsia="zh-CN"/>
        </w:rPr>
        <w:t>”</w:t>
      </w:r>
      <w:r>
        <w:rPr>
          <w:rFonts w:hint="default"/>
          <w:highlight w:val="none"/>
          <w:lang w:val="en-US" w:eastAsia="zh-CN"/>
        </w:rPr>
        <w:t>格局，2022年国内隔震支座产能约15万套，实际销量8-9万套，产能利用率53%-60%，震安科技、时代新材等头部企业通过垂直整合占据38%市场份额，中小企业聚焦桥梁支座等细分领域。需求结构持续优化，2023年新建公共建筑隔震技术应用率从2020年的15%跃升至35%，医院、学校等民生项目需求占比达60%，单项目采购量从800套增至1200套；基建领域因《公路桥梁抗震设计规范》修订，隔震支座应用比例从30%提升至50%，带动桥梁市场需求年增40%。</w:t>
      </w:r>
    </w:p>
    <w:p w14:paraId="7A5B4D21">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default"/>
          <w:highlight w:val="none"/>
          <w:lang w:val="en-US"/>
        </w:rPr>
      </w:pPr>
      <w:r>
        <w:rPr>
          <w:rFonts w:hint="default"/>
          <w:highlight w:val="none"/>
          <w:lang w:val="en-US" w:eastAsia="zh-CN"/>
        </w:rPr>
        <w:t>市场区域分化显著，长三角、珠三角以45%的份额领跑，上海、深圳新建公共建筑隔震应用率达40%，远超全国8%的平均水平；西南地区</w:t>
      </w:r>
      <w:r>
        <w:rPr>
          <w:rFonts w:hint="eastAsia"/>
          <w:highlight w:val="none"/>
          <w:lang w:val="en-US"/>
        </w:rPr>
        <w:t>如云南和四川</w:t>
      </w:r>
      <w:r>
        <w:rPr>
          <w:rFonts w:hint="default"/>
          <w:highlight w:val="none"/>
          <w:lang w:val="en-US" w:eastAsia="zh-CN"/>
        </w:rPr>
        <w:t>凭借政策红利占据30%份额，云南省2023年新建隔震建筑占比达18%，成为执行标杆；成渝双城经济圈等中西部新兴市场在新基建推动下增速达25%，甘肃、四川等地震带以25%的年增速崛起为增长；华北地区受环保管控和基建托底，价格跌幅5%，产能利用率较全国均值高8个百分点。</w:t>
      </w:r>
    </w:p>
    <w:p w14:paraId="60D0B041">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default"/>
          <w:highlight w:val="none"/>
          <w:lang w:val="en-US"/>
        </w:rPr>
      </w:pPr>
      <w:r>
        <w:rPr>
          <w:rFonts w:hint="default"/>
          <w:highlight w:val="none"/>
          <w:lang w:val="en-US" w:eastAsia="zh-CN"/>
        </w:rPr>
        <w:t>政策层面，全国28个省份已将隔震技术纳入地方建设标准，2023年中央及地方财政补贴超150亿元，增值税减免等税收优惠直接降低企业成本12%-15%。技术端，多层叠层橡胶支座和铅芯橡胶支座主导市场，高性能橡胶材料国产化率从2018年的52%提升至2023年的78%；智能化监测系统在大兴机场等项目试点应用，使维护成本下降27%，预计2030年渗透率达40%。​</w:t>
      </w:r>
    </w:p>
    <w:p w14:paraId="1DCD80C6">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default"/>
          <w:highlight w:val="none"/>
          <w:lang w:val="en-US"/>
        </w:rPr>
      </w:pPr>
      <w:r>
        <w:rPr>
          <w:rFonts w:hint="default"/>
          <w:highlight w:val="none"/>
          <w:lang w:val="en-US" w:eastAsia="zh-CN"/>
        </w:rPr>
        <w:t>与全球市场对比，中国隔震材料产业呈现</w:t>
      </w:r>
      <w:r>
        <w:rPr>
          <w:rFonts w:hint="eastAsia"/>
          <w:highlight w:val="none"/>
          <w:lang w:val="en-US" w:eastAsia="zh-CN"/>
        </w:rPr>
        <w:t>“</w:t>
      </w:r>
      <w:r>
        <w:rPr>
          <w:rFonts w:hint="default"/>
          <w:highlight w:val="none"/>
          <w:lang w:val="en-US" w:eastAsia="zh-CN"/>
        </w:rPr>
        <w:t>规模第二、结构中低端</w:t>
      </w:r>
      <w:r>
        <w:rPr>
          <w:rFonts w:hint="eastAsia"/>
          <w:highlight w:val="none"/>
          <w:lang w:val="en-US" w:eastAsia="zh-CN"/>
        </w:rPr>
        <w:t>”</w:t>
      </w:r>
      <w:r>
        <w:rPr>
          <w:rFonts w:hint="default"/>
          <w:highlight w:val="none"/>
          <w:lang w:val="en-US" w:eastAsia="zh-CN"/>
        </w:rPr>
        <w:t>特征</w:t>
      </w:r>
      <w:r>
        <w:rPr>
          <w:rFonts w:hint="eastAsia"/>
          <w:highlight w:val="none"/>
          <w:lang w:val="en-US"/>
        </w:rPr>
        <w:t>。</w:t>
      </w:r>
      <w:r>
        <w:rPr>
          <w:rFonts w:hint="default"/>
          <w:highlight w:val="none"/>
          <w:lang w:val="en-US" w:eastAsia="zh-CN"/>
        </w:rPr>
        <w:t>2023年全球市场份额中，中国占25%、日本35%、欧美20%；技术方面，中国企业在1500mm以下支座实现60%全球市占率，但超大型支座仍依赖进口。​</w:t>
      </w:r>
    </w:p>
    <w:p w14:paraId="1A4E2DF6">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default"/>
          <w:highlight w:val="none"/>
          <w:lang w:val="en-US" w:eastAsia="zh-CN"/>
        </w:rPr>
      </w:pPr>
      <w:r>
        <w:rPr>
          <w:rFonts w:hint="default"/>
          <w:highlight w:val="none"/>
          <w:lang w:val="en-US" w:eastAsia="zh-CN"/>
        </w:rPr>
        <w:t>预计至2030年，建筑隔震橡胶支座市场规模将突破120亿元，年复合增长率18%-22%；减震隔震系统市场达300亿元，年增12%。技术趋势上，三维隔震支座、生物基橡胶材料、智能监测系统将成研发重点，模块化设计可缩短施工周期60%。</w:t>
      </w:r>
    </w:p>
    <w:p w14:paraId="7C0BCCDB">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2" w:firstLineChars="200"/>
        <w:textAlignment w:val="auto"/>
        <w:rPr>
          <w:rFonts w:hint="eastAsia"/>
          <w:b/>
          <w:bCs/>
          <w:highlight w:val="none"/>
          <w:lang w:val="en-US"/>
        </w:rPr>
      </w:pPr>
      <w:r>
        <w:rPr>
          <w:rFonts w:hint="eastAsia"/>
          <w:b/>
          <w:bCs/>
          <w:highlight w:val="none"/>
          <w:lang w:val="en-US" w:eastAsia="zh-CN"/>
        </w:rPr>
        <w:t>（</w:t>
      </w:r>
      <w:r>
        <w:rPr>
          <w:rFonts w:hint="eastAsia"/>
          <w:b/>
          <w:bCs/>
          <w:highlight w:val="none"/>
          <w:lang w:val="en-US"/>
        </w:rPr>
        <w:t>3）未来国内村镇隔震市场分析</w:t>
      </w:r>
    </w:p>
    <w:p w14:paraId="2197CDF9">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未来隔震行业将呈现政策驱动与技术创新双轮驱动的增长态势，村镇市场潜力巨大。根据《建设工程抗震管理条例》及住建部2024年农村危房改造计划，全国60万户农村低收入群体危房改造重点向地震高烈度区倾斜，明确要求推广装配式建筑技术并建立质量保险制度，直接拉动村镇隔震需求。云南省试点显示，政府对农户安装简易隔震支座提供每户1.5万元材料费补助，结合产品成本优势，可显著降低农户使用门槛。</w:t>
      </w:r>
    </w:p>
    <w:p w14:paraId="629AF0F6">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从市场规模看，全球地震基础隔震系统市场预计从2024年4.2亿美元增至2031年5.54亿美元，年复合增长率4.1%，其中亚太地区占比85%。中国村镇市场作为增量空间，政策推动下有望成为核心增长极；技术标准方面，《建筑隔震设计标准》将村镇民居单列章节，明确简易隔震支座需符合抗震设防目标，为产品准入提供依据；竞争格局方面，国内企业如震安科技已在村镇市场布局示范项目，而国际厂商如YunnanQuakesafeSeismic通过技术合作渗透市场。</w:t>
      </w:r>
    </w:p>
    <w:p w14:paraId="139930C0">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预计到2030年，村镇隔震市场规模将突破20亿元，占据行业总规模15%以上，具备先发优势的企业有望主导细分领域。</w:t>
      </w:r>
    </w:p>
    <w:p w14:paraId="64A4ACC5">
      <w:pPr>
        <w:spacing w:line="360" w:lineRule="auto"/>
        <w:rPr>
          <w:rFonts w:hint="eastAsia"/>
          <w:highlight w:val="none"/>
          <w:lang w:val="en-US"/>
        </w:rPr>
      </w:pPr>
      <w:r>
        <w:rPr>
          <w:rFonts w:hint="eastAsia"/>
          <w:highlight w:val="none"/>
          <w:lang w:val="en-US"/>
        </w:rPr>
        <w:br w:type="page"/>
      </w:r>
    </w:p>
    <w:p w14:paraId="0F59DF03">
      <w:pPr>
        <w:pStyle w:val="3"/>
        <w:bidi w:val="0"/>
        <w:spacing w:line="360" w:lineRule="auto"/>
        <w:rPr>
          <w:rFonts w:hint="eastAsia"/>
          <w:highlight w:val="none"/>
          <w:lang w:val="en-US" w:eastAsia="zh-CN"/>
        </w:rPr>
      </w:pPr>
      <w:bookmarkStart w:id="126" w:name="_Toc15314"/>
      <w:bookmarkStart w:id="127" w:name="_Toc19888"/>
      <w:r>
        <w:rPr>
          <w:rFonts w:hint="eastAsia"/>
          <w:highlight w:val="none"/>
          <w:lang w:val="en-US" w:eastAsia="zh-CN"/>
        </w:rPr>
        <w:t>7.3营销策略</w:t>
      </w:r>
      <w:bookmarkEnd w:id="126"/>
      <w:bookmarkEnd w:id="127"/>
    </w:p>
    <w:p w14:paraId="7461DE3A">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2" w:firstLineChars="200"/>
        <w:textAlignment w:val="auto"/>
        <w:rPr>
          <w:rFonts w:hint="default"/>
          <w:b/>
          <w:bCs/>
          <w:highlight w:val="none"/>
          <w:lang w:val="en-US" w:eastAsia="zh-CN"/>
        </w:rPr>
      </w:pPr>
      <w:r>
        <w:rPr>
          <w:rFonts w:hint="eastAsia"/>
          <w:b/>
          <w:bCs/>
          <w:highlight w:val="none"/>
          <w:lang w:val="en-US" w:eastAsia="zh-CN"/>
        </w:rPr>
        <w:t>（</w:t>
      </w:r>
      <w:r>
        <w:rPr>
          <w:rFonts w:hint="default"/>
          <w:b/>
          <w:bCs/>
          <w:highlight w:val="none"/>
          <w:lang w:val="en-US"/>
        </w:rPr>
        <w:t>1</w:t>
      </w:r>
      <w:r>
        <w:rPr>
          <w:rFonts w:hint="eastAsia"/>
          <w:b/>
          <w:bCs/>
          <w:highlight w:val="none"/>
          <w:lang w:val="en-US"/>
        </w:rPr>
        <w:t>）建立品牌形象</w:t>
      </w:r>
    </w:p>
    <w:p w14:paraId="10048E9C">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default"/>
          <w:highlight w:val="none"/>
          <w:lang w:val="en-US" w:eastAsia="zh-CN"/>
        </w:rPr>
        <w:t>在品牌形象建设上，紧密围绕项目</w:t>
      </w:r>
      <w:r>
        <w:rPr>
          <w:rFonts w:hint="eastAsia"/>
          <w:highlight w:val="none"/>
          <w:lang w:val="en-US" w:eastAsia="zh-CN"/>
        </w:rPr>
        <w:t>“</w:t>
      </w:r>
      <w:r>
        <w:rPr>
          <w:rFonts w:hint="default"/>
          <w:highlight w:val="none"/>
          <w:lang w:val="en-US" w:eastAsia="zh-CN"/>
        </w:rPr>
        <w:t>轻量化防灾，普惠安全家</w:t>
      </w:r>
      <w:r>
        <w:rPr>
          <w:rFonts w:hint="eastAsia"/>
          <w:highlight w:val="none"/>
          <w:lang w:val="en-US" w:eastAsia="zh-CN"/>
        </w:rPr>
        <w:t>”</w:t>
      </w:r>
      <w:r>
        <w:rPr>
          <w:rFonts w:hint="default"/>
          <w:highlight w:val="none"/>
          <w:lang w:val="en-US" w:eastAsia="zh-CN"/>
        </w:rPr>
        <w:t>的核心营销理念，以解决村镇建筑抗震难题、助力乡村振兴为品牌故事内核，向外界传递团队以科技创新守护民生安全的初心与使命。设计独具匠心的品牌标志，融入房屋、隔震支座等元素，搭配简洁有力的标语，打造易于识别且富有感染力的视觉符号，作为品牌的核心视觉载体。</w:t>
      </w:r>
    </w:p>
    <w:p w14:paraId="424B32D3">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default"/>
          <w:highlight w:val="none"/>
          <w:lang w:val="en-US" w:eastAsia="zh-CN"/>
        </w:rPr>
        <w:t>构建专业且温暖的品牌形象，依托团队背后的权威技术支撑，如减震控制与结构安全国家重点实验室、院士推荐等，在官网、宣传资料中着重展示专利成果、试点工程成功案例以及权威媒体报道，凸显技术的可靠性与先进性。打造用户友好的官方网站，以清晰的架构展示产品技术、应用场景、服务体系及团队风采，通过图文并茂的方式呈现新型简易隔震支座的优势，如轻质高强、安装便捷、成本低廉等，同时嵌入专家解读和</w:t>
      </w:r>
      <w:r>
        <w:rPr>
          <w:rFonts w:hint="eastAsia"/>
          <w:highlight w:val="none"/>
          <w:lang w:val="en-US"/>
        </w:rPr>
        <w:t>村民</w:t>
      </w:r>
      <w:r>
        <w:rPr>
          <w:rFonts w:hint="default"/>
          <w:highlight w:val="none"/>
          <w:lang w:val="en-US" w:eastAsia="zh-CN"/>
        </w:rPr>
        <w:t>真实反馈，增强用户信任。</w:t>
      </w:r>
    </w:p>
    <w:p w14:paraId="34020D76">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default"/>
          <w:highlight w:val="none"/>
          <w:lang w:val="en-US" w:eastAsia="zh-CN"/>
        </w:rPr>
        <w:t>制作兼具实用性与观赏性的宣传资料，如手册、案例集等，以生动的语言和直观的图片，讲述团队在云南、四川等地开展农居隔震改造的故事，展现技术给乡村带来的改变。积极拓展社交媒体阵地，在抖音、公众号等平台定期发布科普内容，如用动画形式解析隔震原理，分享团队深入村镇开展技术服务的动态，与用户进行互动交流，传递品牌的温度与责任感。</w:t>
      </w:r>
    </w:p>
    <w:p w14:paraId="036129BA">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default" w:ascii="宋体" w:hAnsi="宋体" w:eastAsia="宋体" w:cs="宋体"/>
          <w:b/>
          <w:bCs/>
          <w:sz w:val="24"/>
          <w:szCs w:val="32"/>
          <w:highlight w:val="none"/>
          <w:lang w:val="en-US"/>
        </w:rPr>
      </w:pPr>
      <w:r>
        <w:rPr>
          <w:rFonts w:hint="default"/>
          <w:highlight w:val="none"/>
          <w:lang w:val="en-US" w:eastAsia="zh-CN"/>
        </w:rPr>
        <w:t>借助参加抗震行业展会、深入村镇举办防灾知识讲座等线下活动，以实物展示、现场讲解等方式近距离触达目标受众，发放印有品牌标识和核心信息的宣传物料，强化品牌记忆。鼓励参与项目的农户分享使用体验，将真实的好评与故事融入营销内容，通过口碑传播提升品牌的可信度与影响力。确保品牌信息在各类营销渠道中保持高度一致，持续传递</w:t>
      </w:r>
      <w:r>
        <w:rPr>
          <w:rFonts w:hint="eastAsia"/>
          <w:highlight w:val="none"/>
          <w:lang w:val="en-US" w:eastAsia="zh-CN"/>
        </w:rPr>
        <w:t>“</w:t>
      </w:r>
      <w:r>
        <w:rPr>
          <w:rFonts w:hint="default"/>
          <w:highlight w:val="none"/>
          <w:lang w:val="en-US" w:eastAsia="zh-CN"/>
        </w:rPr>
        <w:t>安全、普惠、创新</w:t>
      </w:r>
      <w:r>
        <w:rPr>
          <w:rFonts w:hint="eastAsia"/>
          <w:highlight w:val="none"/>
          <w:lang w:val="en-US" w:eastAsia="zh-CN"/>
        </w:rPr>
        <w:t>”</w:t>
      </w:r>
      <w:r>
        <w:rPr>
          <w:rFonts w:hint="default"/>
          <w:highlight w:val="none"/>
          <w:lang w:val="en-US" w:eastAsia="zh-CN"/>
        </w:rPr>
        <w:t>的价值主张，定期收集市场反馈，动态调整品牌策略，让品牌形象始终与项目的发展步伐同频共振，成为村镇建筑抗震领域值得信赖的标杆。</w:t>
      </w:r>
    </w:p>
    <w:p w14:paraId="6D48D7C5">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2" w:firstLineChars="200"/>
        <w:textAlignment w:val="auto"/>
        <w:rPr>
          <w:rFonts w:hint="eastAsia"/>
          <w:b/>
          <w:bCs/>
          <w:highlight w:val="none"/>
          <w:lang w:val="en-US"/>
        </w:rPr>
      </w:pPr>
      <w:r>
        <w:rPr>
          <w:rFonts w:hint="eastAsia"/>
          <w:b/>
          <w:bCs/>
          <w:highlight w:val="none"/>
          <w:lang w:val="en-US" w:eastAsia="zh-CN"/>
        </w:rPr>
        <w:t>（</w:t>
      </w:r>
      <w:r>
        <w:rPr>
          <w:rFonts w:hint="default"/>
          <w:b/>
          <w:bCs/>
          <w:highlight w:val="none"/>
          <w:lang w:val="en-US"/>
        </w:rPr>
        <w:t>2</w:t>
      </w:r>
      <w:r>
        <w:rPr>
          <w:rFonts w:hint="eastAsia"/>
          <w:b/>
          <w:bCs/>
          <w:highlight w:val="none"/>
          <w:lang w:val="en-US"/>
        </w:rPr>
        <w:t>）提供高质量产品</w:t>
      </w:r>
    </w:p>
    <w:p w14:paraId="7E6FACB9">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作为新型简易隔震支座的研发与推广团队，我们将以</w:t>
      </w:r>
      <w:r>
        <w:rPr>
          <w:rFonts w:hint="eastAsia"/>
          <w:highlight w:val="none"/>
          <w:lang w:val="en-US" w:eastAsia="zh-CN"/>
        </w:rPr>
        <w:t>“</w:t>
      </w:r>
      <w:r>
        <w:rPr>
          <w:rFonts w:hint="eastAsia"/>
          <w:highlight w:val="none"/>
          <w:lang w:val="en-US"/>
        </w:rPr>
        <w:t>安全普惠</w:t>
      </w:r>
      <w:r>
        <w:rPr>
          <w:rFonts w:hint="eastAsia"/>
          <w:highlight w:val="none"/>
          <w:lang w:val="en-US" w:eastAsia="zh-CN"/>
        </w:rPr>
        <w:t>”</w:t>
      </w:r>
      <w:r>
        <w:rPr>
          <w:rFonts w:hint="eastAsia"/>
          <w:highlight w:val="none"/>
          <w:lang w:val="en-US"/>
        </w:rPr>
        <w:t>为核心，全方位保障产品质量以契合村镇抗震需求。选择高性价比的短切玻璃纤维工程塑料板，与震安、中材科技等优质供应商构建长期稳定合作，从源头把控材料强度、耐久性等关键指标。依托减震控制与结构安全国家重点实验室，全流程质量管控体系，通过SEM微观分析、有限元模拟等技术手段，保证支座力学性能达标且稳定性优异。我们还通过了国家标准、专业检测等权威认证。</w:t>
      </w:r>
    </w:p>
    <w:p w14:paraId="2FE0DE5F">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通过持续的投入研发，结合村镇建筑特点优化产品配方，例如通过短切玻璃纤维增强聚丙烯酸酯体系升级，在保证抗拉强度198.8MPa的基础上进一步降低自重，同时开发适配不同抗震设防烈度的定制化产品，为农户提供</w:t>
      </w:r>
      <w:r>
        <w:rPr>
          <w:rFonts w:hint="eastAsia"/>
          <w:highlight w:val="none"/>
          <w:lang w:val="en-US" w:eastAsia="zh-CN"/>
        </w:rPr>
        <w:t>“</w:t>
      </w:r>
      <w:r>
        <w:rPr>
          <w:rFonts w:hint="eastAsia"/>
          <w:highlight w:val="none"/>
          <w:lang w:val="en-US"/>
        </w:rPr>
        <w:t>量体裁衣</w:t>
      </w:r>
      <w:r>
        <w:rPr>
          <w:rFonts w:hint="eastAsia"/>
          <w:highlight w:val="none"/>
          <w:lang w:val="en-US" w:eastAsia="zh-CN"/>
        </w:rPr>
        <w:t>”</w:t>
      </w:r>
      <w:r>
        <w:rPr>
          <w:rFonts w:hint="eastAsia"/>
          <w:highlight w:val="none"/>
          <w:lang w:val="en-US"/>
        </w:rPr>
        <w:t>的因地制宜的解决方案。建立产品全生命周期追溯系统，从原料采购到安装施工的每一个环节透明化，确保问题可快速溯源与处理。秉持绿色发展理念，采用可循环材料与节能生产工艺，降低环境负荷。构建</w:t>
      </w:r>
      <w:r>
        <w:rPr>
          <w:rFonts w:hint="eastAsia"/>
          <w:highlight w:val="none"/>
          <w:lang w:val="en-US" w:eastAsia="zh-CN"/>
        </w:rPr>
        <w:t>“</w:t>
      </w:r>
      <w:r>
        <w:rPr>
          <w:rFonts w:hint="eastAsia"/>
          <w:highlight w:val="none"/>
          <w:lang w:val="en-US"/>
        </w:rPr>
        <w:t>技术咨询-安装指导-售后运维</w:t>
      </w:r>
      <w:r>
        <w:rPr>
          <w:rFonts w:hint="eastAsia"/>
          <w:highlight w:val="none"/>
          <w:lang w:val="en-US" w:eastAsia="zh-CN"/>
        </w:rPr>
        <w:t>”</w:t>
      </w:r>
      <w:r>
        <w:rPr>
          <w:rFonts w:hint="eastAsia"/>
          <w:highlight w:val="none"/>
          <w:lang w:val="en-US"/>
        </w:rPr>
        <w:t>一体化服务网络，通过驻场工程师实时响应客户需求，定期收集震后性能反馈数据，以持续迭代升级产品，让农户用上</w:t>
      </w:r>
      <w:r>
        <w:rPr>
          <w:rFonts w:hint="eastAsia"/>
          <w:highlight w:val="none"/>
          <w:lang w:val="en-US" w:eastAsia="zh-CN"/>
        </w:rPr>
        <w:t>“</w:t>
      </w:r>
      <w:r>
        <w:rPr>
          <w:rFonts w:hint="eastAsia"/>
          <w:highlight w:val="none"/>
          <w:lang w:val="en-US"/>
        </w:rPr>
        <w:t>轻量可靠、经济耐用</w:t>
      </w:r>
      <w:r>
        <w:rPr>
          <w:rFonts w:hint="eastAsia"/>
          <w:highlight w:val="none"/>
          <w:lang w:val="en-US" w:eastAsia="zh-CN"/>
        </w:rPr>
        <w:t>”</w:t>
      </w:r>
      <w:r>
        <w:rPr>
          <w:rFonts w:hint="eastAsia"/>
          <w:highlight w:val="none"/>
          <w:lang w:val="en-US"/>
        </w:rPr>
        <w:t>的抗震屏障，切实将</w:t>
      </w:r>
      <w:r>
        <w:rPr>
          <w:rFonts w:hint="eastAsia"/>
          <w:highlight w:val="none"/>
          <w:lang w:val="en-US" w:eastAsia="zh-CN"/>
        </w:rPr>
        <w:t>“</w:t>
      </w:r>
      <w:r>
        <w:rPr>
          <w:rFonts w:hint="eastAsia"/>
          <w:highlight w:val="none"/>
          <w:lang w:val="en-US"/>
        </w:rPr>
        <w:t>乡村振兴</w:t>
      </w:r>
      <w:r>
        <w:rPr>
          <w:rFonts w:hint="eastAsia"/>
          <w:highlight w:val="none"/>
          <w:lang w:val="en-US" w:eastAsia="zh-CN"/>
        </w:rPr>
        <w:t>”</w:t>
      </w:r>
      <w:r>
        <w:rPr>
          <w:rFonts w:hint="eastAsia"/>
          <w:highlight w:val="none"/>
          <w:lang w:val="en-US"/>
        </w:rPr>
        <w:t>与</w:t>
      </w:r>
      <w:r>
        <w:rPr>
          <w:rFonts w:hint="eastAsia"/>
          <w:highlight w:val="none"/>
          <w:lang w:val="en-US" w:eastAsia="zh-CN"/>
        </w:rPr>
        <w:t>“</w:t>
      </w:r>
      <w:r>
        <w:rPr>
          <w:rFonts w:hint="eastAsia"/>
          <w:highlight w:val="none"/>
          <w:lang w:val="en-US"/>
        </w:rPr>
        <w:t>防灾减灾</w:t>
      </w:r>
      <w:r>
        <w:rPr>
          <w:rFonts w:hint="eastAsia"/>
          <w:highlight w:val="none"/>
          <w:lang w:val="en-US" w:eastAsia="zh-CN"/>
        </w:rPr>
        <w:t>”</w:t>
      </w:r>
      <w:r>
        <w:rPr>
          <w:rFonts w:hint="eastAsia"/>
          <w:highlight w:val="none"/>
          <w:lang w:val="en-US"/>
        </w:rPr>
        <w:t>政策落到实处。</w:t>
      </w:r>
    </w:p>
    <w:p w14:paraId="5E9DF481">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2" w:firstLineChars="200"/>
        <w:textAlignment w:val="auto"/>
        <w:rPr>
          <w:rFonts w:hint="eastAsia"/>
          <w:b/>
          <w:bCs/>
          <w:highlight w:val="none"/>
          <w:lang w:val="en-US" w:eastAsia="zh-CN"/>
        </w:rPr>
      </w:pPr>
      <w:r>
        <w:rPr>
          <w:rFonts w:hint="eastAsia"/>
          <w:b/>
          <w:bCs/>
          <w:highlight w:val="none"/>
          <w:lang w:val="en-US" w:eastAsia="zh-CN"/>
        </w:rPr>
        <w:t>（</w:t>
      </w:r>
      <w:r>
        <w:rPr>
          <w:rFonts w:hint="eastAsia"/>
          <w:b/>
          <w:bCs/>
          <w:highlight w:val="none"/>
          <w:lang w:val="en-US"/>
        </w:rPr>
        <w:t>3）建立合作伙伴关系</w:t>
      </w:r>
    </w:p>
    <w:p w14:paraId="7EA756DC">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default"/>
          <w:highlight w:val="none"/>
          <w:lang w:val="en-US" w:eastAsia="zh-CN"/>
        </w:rPr>
      </w:pPr>
      <w:r>
        <w:rPr>
          <w:rFonts w:hint="default"/>
          <w:highlight w:val="none"/>
          <w:lang w:val="en-US" w:eastAsia="zh-CN"/>
        </w:rPr>
        <w:t>在建立合作伙伴关系方面，我们紧密围绕村镇建筑隔震技术推广目标，积极与建筑公司、</w:t>
      </w:r>
      <w:r>
        <w:rPr>
          <w:rFonts w:hint="eastAsia"/>
          <w:highlight w:val="none"/>
          <w:lang w:val="en-US"/>
        </w:rPr>
        <w:t>建筑工程承包商</w:t>
      </w:r>
      <w:r>
        <w:rPr>
          <w:rFonts w:hint="default"/>
          <w:highlight w:val="none"/>
          <w:lang w:val="en-US" w:eastAsia="zh-CN"/>
        </w:rPr>
        <w:t>等行业联结。主动融入建筑行业协会，通过参与行业峰会、技术论坛等活动，与业内人士建立常态化交流机制，挖掘业务合作机遇。聚焦村镇建筑抗震痛点，与合作伙伴联合开发适配不同区域需求的综合解决方案，整合技术研发、施工安装、材料供应等多方优势资源，提升项目整体竞争力。定期发起或参与技术研讨会，分享新型简易隔震支座的技术创新、应用案例及行业趋势，强化合作伙伴对产品性能与应用场景的认知。携手合作伙伴开展联合营销，通过行业展会联展、定制化宣传物料投放等形式，扩大品牌在村镇建筑领域的辐射范围。</w:t>
      </w:r>
    </w:p>
    <w:p w14:paraId="7F3C7B6B">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default"/>
          <w:highlight w:val="none"/>
          <w:lang w:val="en-US" w:eastAsia="zh-CN"/>
        </w:rPr>
      </w:pPr>
      <w:r>
        <w:rPr>
          <w:rFonts w:hint="default"/>
          <w:highlight w:val="none"/>
          <w:lang w:val="en-US" w:eastAsia="zh-CN"/>
        </w:rPr>
        <w:t>为合作伙伴提供专项技术培训，通过理论讲解与实操演练结合的方式，提升其对产品安装、维护及方案设计的专业能力，同步塑造团队专业形象。建立资源共享机制，与合作伙伴互通市场动态、客户需求及供应链信息，实现资源优化配置与合作效能最大化。与核心合作伙伴签订战略合作协议，明确合作方向、权责边界与利益分配机制，保障合作关系长期稳定。</w:t>
      </w:r>
    </w:p>
    <w:p w14:paraId="525BA7CC">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default"/>
          <w:highlight w:val="none"/>
          <w:lang w:val="en-US" w:eastAsia="zh-CN"/>
        </w:rPr>
      </w:pPr>
      <w:r>
        <w:rPr>
          <w:rFonts w:hint="default"/>
          <w:highlight w:val="none"/>
          <w:lang w:val="en-US" w:eastAsia="zh-CN"/>
        </w:rPr>
        <w:t>积极探索跨行业合作可能，与建筑设计软件企业、绿色建材供应商等非直接竞争主体联动，构建</w:t>
      </w:r>
      <w:r>
        <w:rPr>
          <w:rFonts w:hint="eastAsia"/>
          <w:highlight w:val="none"/>
          <w:lang w:val="en-US" w:eastAsia="zh-CN"/>
        </w:rPr>
        <w:t>“</w:t>
      </w:r>
      <w:r>
        <w:rPr>
          <w:rFonts w:hint="default"/>
          <w:highlight w:val="none"/>
          <w:lang w:val="en-US" w:eastAsia="zh-CN"/>
        </w:rPr>
        <w:t>抗震技术+多元场景</w:t>
      </w:r>
      <w:r>
        <w:rPr>
          <w:rFonts w:hint="eastAsia"/>
          <w:highlight w:val="none"/>
          <w:lang w:val="en-US" w:eastAsia="zh-CN"/>
        </w:rPr>
        <w:t>”</w:t>
      </w:r>
      <w:r>
        <w:rPr>
          <w:rFonts w:hint="default"/>
          <w:highlight w:val="none"/>
          <w:lang w:val="en-US" w:eastAsia="zh-CN"/>
        </w:rPr>
        <w:t>的协同生态。通过公司官网、行业报告及合作案例宣讲等途径，集中展示与合作伙伴的成功实践，以标杆项目增强潜在合作方信心。充分借助建筑行业B2B平台、专业领英社群等数字化渠道，拓展合作伙伴网络，推动村镇建筑隔震技术在更广泛区域的应用与普及。</w:t>
      </w:r>
    </w:p>
    <w:p w14:paraId="48671C4A">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2" w:firstLineChars="200"/>
        <w:textAlignment w:val="auto"/>
        <w:rPr>
          <w:rFonts w:hint="eastAsia"/>
          <w:b/>
          <w:bCs/>
          <w:highlight w:val="none"/>
          <w:lang w:val="en-US"/>
        </w:rPr>
      </w:pPr>
      <w:r>
        <w:rPr>
          <w:rFonts w:hint="eastAsia"/>
          <w:b/>
          <w:bCs/>
          <w:highlight w:val="none"/>
          <w:lang w:val="en-US" w:eastAsia="zh-CN"/>
        </w:rPr>
        <w:t>（</w:t>
      </w:r>
      <w:r>
        <w:rPr>
          <w:rFonts w:hint="eastAsia"/>
          <w:b/>
          <w:bCs/>
          <w:highlight w:val="none"/>
          <w:lang w:val="en-US"/>
        </w:rPr>
        <w:t>4）建立可持续发展形象</w:t>
      </w:r>
    </w:p>
    <w:p w14:paraId="6A488DC7">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sz w:val="40"/>
          <w:szCs w:val="48"/>
          <w:highlight w:val="none"/>
          <w:lang w:val="en-US" w:eastAsia="zh-CN"/>
        </w:rPr>
      </w:pPr>
      <w:r>
        <w:rPr>
          <w:rFonts w:hint="eastAsia"/>
          <w:highlight w:val="none"/>
          <w:lang w:val="en-US"/>
        </w:rPr>
        <w:t>在当今注重可持续发展的市场环境下，作为村镇建筑抗震技术解决方案的提供者，我们将着重塑造项目的环保与可持续发展形象。通过创新采用工程塑料替代传统钢板等轻量化环保材料，结合热硫化工艺等绿色生产技术，减少资源消耗与环境影响，同时构建</w:t>
      </w:r>
      <w:r>
        <w:rPr>
          <w:rFonts w:hint="eastAsia"/>
          <w:highlight w:val="none"/>
          <w:lang w:val="en-US" w:eastAsia="zh-CN"/>
        </w:rPr>
        <w:t>“</w:t>
      </w:r>
      <w:r>
        <w:rPr>
          <w:rFonts w:hint="eastAsia"/>
          <w:highlight w:val="none"/>
          <w:lang w:val="en-US"/>
        </w:rPr>
        <w:t>研发-生产-回收-再利用</w:t>
      </w:r>
      <w:r>
        <w:rPr>
          <w:rFonts w:hint="eastAsia"/>
          <w:highlight w:val="none"/>
          <w:lang w:val="en-US" w:eastAsia="zh-CN"/>
        </w:rPr>
        <w:t>”</w:t>
      </w:r>
      <w:r>
        <w:rPr>
          <w:rFonts w:hint="eastAsia"/>
          <w:highlight w:val="none"/>
          <w:lang w:val="en-US"/>
        </w:rPr>
        <w:t>的循环经济模式，对破损支座及废弃材料进行高效回收与循环利用，降低环境成本。我们将主动对接乡村振兴与绿色发展政策导向，通过技术咨询、案例示范等方式，向政府、建筑企业及村镇居民传递</w:t>
      </w:r>
      <w:r>
        <w:rPr>
          <w:rFonts w:hint="eastAsia"/>
          <w:highlight w:val="none"/>
          <w:lang w:val="en-US" w:eastAsia="zh-CN"/>
        </w:rPr>
        <w:t>“</w:t>
      </w:r>
      <w:r>
        <w:rPr>
          <w:rFonts w:hint="eastAsia"/>
          <w:highlight w:val="none"/>
          <w:lang w:val="en-US"/>
        </w:rPr>
        <w:t>安全与环保并重</w:t>
      </w:r>
      <w:r>
        <w:rPr>
          <w:rFonts w:hint="eastAsia"/>
          <w:highlight w:val="none"/>
          <w:lang w:val="en-US" w:eastAsia="zh-CN"/>
        </w:rPr>
        <w:t>”</w:t>
      </w:r>
      <w:r>
        <w:rPr>
          <w:rFonts w:hint="eastAsia"/>
          <w:highlight w:val="none"/>
          <w:lang w:val="en-US"/>
        </w:rPr>
        <w:t>的价值观，以可持续的技术方案与运营模式，赢得客户认同，树立负责任的品牌形象，为项目在村镇市场的拓展奠定坚实的社会与生态基础。</w:t>
      </w:r>
    </w:p>
    <w:p w14:paraId="6D0DA8B0">
      <w:pPr>
        <w:pStyle w:val="4"/>
        <w:bidi w:val="0"/>
        <w:spacing w:line="360" w:lineRule="auto"/>
        <w:rPr>
          <w:rFonts w:hint="eastAsia"/>
          <w:highlight w:val="none"/>
          <w:lang w:val="en-US" w:eastAsia="zh-CN"/>
        </w:rPr>
      </w:pPr>
      <w:bookmarkStart w:id="128" w:name="_Toc2271"/>
      <w:bookmarkStart w:id="129" w:name="_Toc11293"/>
      <w:r>
        <w:rPr>
          <w:rFonts w:hint="eastAsia"/>
          <w:highlight w:val="none"/>
          <w:lang w:val="en-US" w:eastAsia="zh-CN"/>
        </w:rPr>
        <w:t>7.3.1价格策略</w:t>
      </w:r>
      <w:bookmarkEnd w:id="128"/>
      <w:bookmarkEnd w:id="129"/>
    </w:p>
    <w:p w14:paraId="1B2FC98C">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商品的价格策略需要综合考虑成本、市场需求、竞争环境、企业目标以及其他外部因素：</w:t>
      </w:r>
    </w:p>
    <w:p w14:paraId="75EBF3A8">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成本方面要兼顾固定成本、变动成本和总成本，确保价格能够覆盖成本并实现盈利。其中固定成本不随产量而变化，如仓库租金，员工工资等。变动成本会随着产量变化而变化，如原材料、人工等。根据微观经济学公式：TC=VC+FC，并结合已预测的成本可以大致与制作出成本函数的图像。</w:t>
      </w:r>
    </w:p>
    <w:p w14:paraId="7E7226E9">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关注需求弹性、客户感知价值以及市场容量，以确定价格的接受度和灵活性。</w:t>
      </w:r>
    </w:p>
    <w:p w14:paraId="30D94140">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drawing>
          <wp:anchor distT="0" distB="0" distL="114300" distR="114300" simplePos="0" relativeHeight="251659264" behindDoc="0" locked="0" layoutInCell="1" allowOverlap="1">
            <wp:simplePos x="0" y="0"/>
            <wp:positionH relativeFrom="column">
              <wp:posOffset>2399030</wp:posOffset>
            </wp:positionH>
            <wp:positionV relativeFrom="paragraph">
              <wp:posOffset>26670</wp:posOffset>
            </wp:positionV>
            <wp:extent cx="962025" cy="495300"/>
            <wp:effectExtent l="0" t="0" r="3175" b="0"/>
            <wp:wrapNone/>
            <wp:docPr id="1" name="E657119C-6982-421D-8BA7-E74DEB70A7DA-1"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657119C-6982-421D-8BA7-E74DEB70A7DA-1" descr="latexmath"/>
                    <pic:cNvPicPr>
                      <a:picLocks noChangeAspect="1"/>
                    </pic:cNvPicPr>
                  </pic:nvPicPr>
                  <pic:blipFill>
                    <a:blip r:embed="rId59">
                      <a:extLst>
                        <a:ext uri="{96DAC541-7B7A-43D3-8B79-37D633B846F1}">
                          <asvg:svgBlip xmlns:asvg="http://schemas.microsoft.com/office/drawing/2016/SVG/main" r:embed="rId60"/>
                        </a:ext>
                      </a:extLst>
                    </a:blip>
                    <a:stretch>
                      <a:fillRect/>
                    </a:stretch>
                  </pic:blipFill>
                  <pic:spPr>
                    <a:xfrm>
                      <a:off x="0" y="0"/>
                      <a:ext cx="962025" cy="495300"/>
                    </a:xfrm>
                    <a:prstGeom prst="rect">
                      <a:avLst/>
                    </a:prstGeom>
                  </pic:spPr>
                </pic:pic>
              </a:graphicData>
            </a:graphic>
          </wp:anchor>
        </w:drawing>
      </w:r>
    </w:p>
    <w:p w14:paraId="0D3D44EC">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p>
    <w:p w14:paraId="19F60F6B">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根据《建筑抗震设计规范》，重点设防类建筑需提高抗震设防标准，抗震支座作为关键部件被强制要求使用。这种政策约束使得建筑业主和开发商即使面临价格上涨，也必须采购抗震支座，导致需求对价格变化不敏感。</w:t>
      </w:r>
    </w:p>
    <w:p w14:paraId="2C9D48C2">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2023年我国建筑隔震橡胶支座市场规模达10.49亿元，较2022年增长2.64%。2024年中国建筑隔震橡胶支座市场规模达到7.31亿元人民币，同比增长2.64%。尽管房地产市场整体经历结构性转型，但抗震支座的市场需求仍保持稳步增长所以市场需求弹性低，用户价格接受度较高，可以制定略高的价格来提高营业利润。</w:t>
      </w:r>
    </w:p>
    <w:p w14:paraId="47BC0857">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要分析竞争对手的价格和自身竞争地位，选择合适的定价策略。</w:t>
      </w:r>
    </w:p>
    <w:p w14:paraId="0E412326">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根据最新的市场调研数据，中国抗震支座市场的竞争对手价格呈现出一定的差异性。在2024年，市场上不同品牌和规格的抗震支座价格范围较广。一些高端产品，如铅芯橡胶支座，由于其材料成本和加工工艺较为复杂，价格相对较高。</w:t>
      </w:r>
    </w:p>
    <w:p w14:paraId="00387024">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但总的来看，价格定位取决于产品的质量与品牌定位，同时，企业自身的利润目标、市场份额目标和品牌形象目标也会影响价格决策。此外，还需考虑法律法规、宏观经济环境以及产品生命周期等其他因素，以制定出科学合理的价格策略。</w:t>
      </w:r>
    </w:p>
    <w:p w14:paraId="0130CAC5">
      <w:pPr>
        <w:pStyle w:val="4"/>
        <w:bidi w:val="0"/>
        <w:spacing w:line="360" w:lineRule="auto"/>
        <w:rPr>
          <w:rFonts w:hint="eastAsia"/>
          <w:highlight w:val="none"/>
          <w:lang w:val="en-US" w:eastAsia="zh-CN"/>
        </w:rPr>
      </w:pPr>
      <w:bookmarkStart w:id="130" w:name="_Toc6139"/>
      <w:bookmarkStart w:id="131" w:name="_Toc7947"/>
      <w:r>
        <w:rPr>
          <w:rFonts w:hint="eastAsia"/>
          <w:highlight w:val="none"/>
          <w:lang w:val="en-US" w:eastAsia="zh-CN"/>
        </w:rPr>
        <w:t>7.3.2营销渠道策略</w:t>
      </w:r>
      <w:bookmarkEnd w:id="130"/>
      <w:bookmarkEnd w:id="131"/>
    </w:p>
    <w:p w14:paraId="6790E4AD">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抗震支座产品在建筑行业有着重要的应用价值，其价值体现在减少经济损失，降低因灾返贫的概率，在西部多震地区，板块交接带有着相当重要的作用。营销策略的制定对于抗震支座产品的市场推广和销售业绩至关重要，因为产品市场呈现区域化集中，所以要制定合理的销售方案，针对特殊的受众人群进行销售和推广，这样才能尽可能地扩大营业利润。其中营销渠道策略大致分为线上渠道和线下渠道：</w:t>
      </w:r>
    </w:p>
    <w:p w14:paraId="3B8F38D7">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textAlignment w:val="auto"/>
        <w:rPr>
          <w:rFonts w:hint="eastAsia"/>
          <w:b/>
          <w:bCs/>
          <w:highlight w:val="none"/>
          <w:lang w:val="en-US"/>
        </w:rPr>
      </w:pPr>
      <w:r>
        <w:rPr>
          <w:rFonts w:hint="eastAsia"/>
          <w:b/>
          <w:bCs/>
          <w:highlight w:val="none"/>
          <w:lang w:val="en-US" w:eastAsia="zh-CN"/>
        </w:rPr>
        <w:t>（1）</w:t>
      </w:r>
      <w:r>
        <w:rPr>
          <w:rFonts w:hint="eastAsia"/>
          <w:b/>
          <w:bCs/>
          <w:highlight w:val="none"/>
          <w:lang w:val="en-US"/>
        </w:rPr>
        <w:t>线上渠道</w:t>
      </w:r>
    </w:p>
    <w:p w14:paraId="122FD872">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firstLine="562" w:firstLineChars="200"/>
        <w:textAlignment w:val="auto"/>
        <w:rPr>
          <w:rFonts w:hint="eastAsia"/>
          <w:b/>
          <w:bCs/>
          <w:highlight w:val="none"/>
          <w:lang w:val="en-US"/>
        </w:rPr>
      </w:pPr>
      <w:r>
        <w:rPr>
          <w:rFonts w:hint="eastAsia"/>
          <w:b/>
          <w:bCs/>
          <w:highlight w:val="none"/>
          <w:lang w:val="en-US" w:eastAsia="zh-CN"/>
        </w:rPr>
        <w:t>①</w:t>
      </w:r>
      <w:r>
        <w:rPr>
          <w:rFonts w:hint="eastAsia"/>
          <w:b/>
          <w:bCs/>
          <w:highlight w:val="none"/>
          <w:lang w:val="en-US"/>
        </w:rPr>
        <w:t>社交媒体</w:t>
      </w:r>
    </w:p>
    <w:p w14:paraId="3BED7631">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建立品牌社交媒体账号：在微信公众号、微博等社交媒体平台上开设官方账号，定期发布抗震产品的相关信息，包括产品介绍、使用案例、客户评价等。通过优质的内容吸引关注，提升品牌知名度。</w:t>
      </w:r>
    </w:p>
    <w:p w14:paraId="5920354D">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开展社交媒体营销活动：利用社交媒体的传播优势，开展线上抽奖、互动问答、话题讨论等活动，增加用户参与度和品牌曝光度。同时，与行业内的意见领袖和网红合作，进行产品推荐和评测，借助他们的影响力扩大产品的传播范围。</w:t>
      </w:r>
    </w:p>
    <w:p w14:paraId="68E2B0BE">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2" w:firstLineChars="200"/>
        <w:textAlignment w:val="auto"/>
        <w:rPr>
          <w:rFonts w:hint="eastAsia"/>
          <w:b/>
          <w:bCs/>
          <w:highlight w:val="none"/>
          <w:lang w:val="en-US"/>
        </w:rPr>
      </w:pPr>
      <w:r>
        <w:rPr>
          <w:rFonts w:hint="eastAsia"/>
          <w:b/>
          <w:bCs/>
          <w:highlight w:val="none"/>
          <w:lang w:val="en-US" w:eastAsia="zh-CN"/>
        </w:rPr>
        <w:t>②</w:t>
      </w:r>
      <w:r>
        <w:rPr>
          <w:rFonts w:hint="eastAsia"/>
          <w:b/>
          <w:bCs/>
          <w:highlight w:val="none"/>
          <w:lang w:val="en-US"/>
        </w:rPr>
        <w:t>官方网站</w:t>
      </w:r>
    </w:p>
    <w:p w14:paraId="01E0CBA2">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打造专业的产品展示平台：建设一个功能完善、界面友好的官方网站，详细展示抗震产品的技术参数、应用场景、优势特点等信息。通过专业的网站设计和优化，提升用户体验，增强客户对产品的了解和信任。</w:t>
      </w:r>
    </w:p>
    <w:p w14:paraId="386A4876">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提供在线咨询服务：在官方网站上设置在线客服功能，及时解答客户的疑问。同时，提供产品咨询表单和联系方式，方便客户随时获取更多信息，促进销售转化。</w:t>
      </w:r>
    </w:p>
    <w:p w14:paraId="016D5012">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textAlignment w:val="auto"/>
        <w:rPr>
          <w:rFonts w:hint="eastAsia"/>
          <w:b/>
          <w:bCs/>
          <w:highlight w:val="none"/>
          <w:lang w:val="en-US"/>
        </w:rPr>
      </w:pPr>
      <w:r>
        <w:rPr>
          <w:rFonts w:hint="eastAsia"/>
          <w:b/>
          <w:bCs/>
          <w:highlight w:val="none"/>
          <w:lang w:val="en-US" w:eastAsia="zh-CN"/>
        </w:rPr>
        <w:t>（2）</w:t>
      </w:r>
      <w:r>
        <w:rPr>
          <w:rFonts w:hint="eastAsia"/>
          <w:b/>
          <w:bCs/>
          <w:highlight w:val="none"/>
          <w:lang w:val="en-US"/>
        </w:rPr>
        <w:t>线下渠道</w:t>
      </w:r>
    </w:p>
    <w:p w14:paraId="0092D043">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2" w:firstLineChars="200"/>
        <w:textAlignment w:val="auto"/>
        <w:rPr>
          <w:rFonts w:hint="eastAsia"/>
          <w:b/>
          <w:bCs/>
          <w:highlight w:val="none"/>
          <w:lang w:val="en-US"/>
        </w:rPr>
      </w:pPr>
      <w:r>
        <w:rPr>
          <w:rFonts w:hint="eastAsia"/>
          <w:b/>
          <w:bCs/>
          <w:highlight w:val="none"/>
          <w:lang w:val="en-US" w:eastAsia="zh-CN"/>
        </w:rPr>
        <w:t>①</w:t>
      </w:r>
      <w:r>
        <w:rPr>
          <w:rFonts w:hint="eastAsia"/>
          <w:b/>
          <w:bCs/>
          <w:highlight w:val="none"/>
          <w:lang w:val="en-US"/>
        </w:rPr>
        <w:t>经销商合作</w:t>
      </w:r>
    </w:p>
    <w:p w14:paraId="309ADC57">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选择合适的经销商：寻找具有丰富销售经验和广泛客户资源的经销商，建立长期稳定的合作关系。在选择经销商时，要综合考虑其地理位置、销售能力、市场覆盖范围等因素，确保其能够有效推广和销售抗震产品。</w:t>
      </w:r>
    </w:p>
    <w:p w14:paraId="3DD1E3E4">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提供支持与培训：为经销商提供全面的产品知识培训和销售技巧培训，帮助他们更好地了解产品特点和优势，提升销售能力。同时，给予经销商一定的市场推广支持，如宣传资料、促销活动等，帮助他们开拓市场。</w:t>
      </w:r>
    </w:p>
    <w:p w14:paraId="50770E9A">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2" w:firstLineChars="200"/>
        <w:textAlignment w:val="auto"/>
        <w:rPr>
          <w:rFonts w:hint="eastAsia"/>
          <w:b/>
          <w:bCs/>
          <w:highlight w:val="none"/>
          <w:lang w:val="en-US"/>
        </w:rPr>
      </w:pPr>
      <w:r>
        <w:rPr>
          <w:rFonts w:hint="eastAsia"/>
          <w:b/>
          <w:bCs/>
          <w:highlight w:val="none"/>
          <w:lang w:val="en-US" w:eastAsia="zh-CN"/>
        </w:rPr>
        <w:t>②</w:t>
      </w:r>
      <w:r>
        <w:rPr>
          <w:rFonts w:hint="eastAsia"/>
          <w:b/>
          <w:bCs/>
          <w:highlight w:val="none"/>
          <w:lang w:val="en-US"/>
        </w:rPr>
        <w:t>行业展会</w:t>
      </w:r>
    </w:p>
    <w:p w14:paraId="0A150C7F">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积极参加行业展会：定期参加国内外知名的建筑、工业、家居等行业展会，展示抗震产品的最新技术和产品应用案例。通过与客户、合作伙伴和行业专家的面对面交流，了解市场需求和行业动态，拓展业务机会。</w:t>
      </w:r>
    </w:p>
    <w:p w14:paraId="3C1893D2">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举办产品发布会：在展会上举办抗震产品发布会，邀请媒体、客户和合作伙伴参加。通过精彩的演讲和产品演示，展示产品的独特优势和创新点，吸引客户的关注和兴趣。</w:t>
      </w:r>
    </w:p>
    <w:p w14:paraId="529AAF98">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2" w:firstLineChars="200"/>
        <w:textAlignment w:val="auto"/>
        <w:rPr>
          <w:rFonts w:hint="eastAsia"/>
          <w:b/>
          <w:bCs/>
          <w:highlight w:val="none"/>
          <w:lang w:val="en-US"/>
        </w:rPr>
      </w:pPr>
      <w:r>
        <w:rPr>
          <w:rFonts w:hint="eastAsia"/>
          <w:b/>
          <w:bCs/>
          <w:highlight w:val="none"/>
          <w:lang w:val="en-US" w:eastAsia="zh-CN"/>
        </w:rPr>
        <w:t>③</w:t>
      </w:r>
      <w:r>
        <w:rPr>
          <w:rFonts w:hint="eastAsia"/>
          <w:b/>
          <w:bCs/>
          <w:highlight w:val="none"/>
          <w:lang w:val="en-US"/>
        </w:rPr>
        <w:t>工程合作</w:t>
      </w:r>
    </w:p>
    <w:p w14:paraId="6C5AE925">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与建筑公司、工程承包商合作：主动与建筑公司、工程承包商建立合作关系，将抗震产品纳入其采购目录。通过参与建筑项目的招投标，争取在大型建筑项目中应用抗震产品。</w:t>
      </w:r>
    </w:p>
    <w:p w14:paraId="7DA47613">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提供定制化解决方案：根据建筑项目的需求，为客户提供定制化的抗震产品解决方案。通过专业的技术团队和优质的产品服务，满足客户的个性化需求，提升客户满意度。</w:t>
      </w:r>
    </w:p>
    <w:p w14:paraId="6875CA1E">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textAlignment w:val="auto"/>
        <w:rPr>
          <w:rFonts w:hint="eastAsia"/>
          <w:b/>
          <w:bCs/>
          <w:highlight w:val="none"/>
          <w:lang w:val="en-US"/>
        </w:rPr>
      </w:pPr>
      <w:r>
        <w:rPr>
          <w:rFonts w:hint="eastAsia"/>
          <w:b/>
          <w:bCs/>
          <w:highlight w:val="none"/>
          <w:lang w:val="en-US" w:eastAsia="zh-CN"/>
        </w:rPr>
        <w:t>（3）</w:t>
      </w:r>
      <w:r>
        <w:rPr>
          <w:rFonts w:hint="eastAsia"/>
          <w:b/>
          <w:bCs/>
          <w:highlight w:val="none"/>
          <w:lang w:val="en-US"/>
        </w:rPr>
        <w:t>售后服务渠道</w:t>
      </w:r>
    </w:p>
    <w:p w14:paraId="079DE4F4">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2" w:firstLineChars="200"/>
        <w:textAlignment w:val="auto"/>
        <w:rPr>
          <w:rFonts w:hint="eastAsia"/>
          <w:b/>
          <w:bCs/>
          <w:highlight w:val="none"/>
          <w:lang w:val="en-US"/>
        </w:rPr>
      </w:pPr>
      <w:r>
        <w:rPr>
          <w:rFonts w:hint="eastAsia"/>
          <w:b/>
          <w:bCs/>
          <w:highlight w:val="none"/>
          <w:lang w:val="en-US" w:eastAsia="zh-CN"/>
        </w:rPr>
        <w:t>①</w:t>
      </w:r>
      <w:r>
        <w:rPr>
          <w:rFonts w:hint="eastAsia"/>
          <w:b/>
          <w:bCs/>
          <w:highlight w:val="none"/>
          <w:lang w:val="en-US"/>
        </w:rPr>
        <w:t>建立完善的售后服务体系</w:t>
      </w:r>
    </w:p>
    <w:p w14:paraId="0A40D94E">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设立售后服务中心：在主要销售区域设立售后服务中心，配备专业的售后技术人员和设备。为客户提供及时、高效的产品安装、调试、维修和保养服务。</w:t>
      </w:r>
    </w:p>
    <w:p w14:paraId="763DE7EC">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提供售后保障政策：制定明确的售后保障政策，如产品质量保证、退换货政策、质保期等。通过完善的售后保障政策，增强客户对产品的信任和满意度。</w:t>
      </w:r>
    </w:p>
    <w:p w14:paraId="5188E78B">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2" w:firstLineChars="200"/>
        <w:textAlignment w:val="auto"/>
        <w:rPr>
          <w:rFonts w:hint="eastAsia"/>
          <w:b/>
          <w:bCs/>
          <w:highlight w:val="none"/>
          <w:lang w:val="en-US"/>
        </w:rPr>
      </w:pPr>
      <w:r>
        <w:rPr>
          <w:rFonts w:hint="eastAsia"/>
          <w:b/>
          <w:bCs/>
          <w:highlight w:val="none"/>
          <w:lang w:val="en-US" w:eastAsia="zh-CN"/>
        </w:rPr>
        <w:t>②</w:t>
      </w:r>
      <w:r>
        <w:rPr>
          <w:rFonts w:hint="eastAsia"/>
          <w:b/>
          <w:bCs/>
          <w:highlight w:val="none"/>
          <w:lang w:val="en-US"/>
        </w:rPr>
        <w:t>收集客户反馈</w:t>
      </w:r>
    </w:p>
    <w:p w14:paraId="412E8E39">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建立客户反馈机制：通过多种渠道收集客户对产品的使用反馈和建议，如电话回访、在线调查、客户评价等。及时了解客户的需求和问题，为产品的改进和优化提供依据。</w:t>
      </w:r>
    </w:p>
    <w:p w14:paraId="4A57D487">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eastAsia="zh-CN"/>
        </w:rPr>
      </w:pPr>
      <w:r>
        <w:rPr>
          <w:rFonts w:hint="eastAsia"/>
          <w:highlight w:val="none"/>
          <w:lang w:val="en-US"/>
        </w:rPr>
        <w:t>持续改进产品和服务：根据客户反馈，不断改进产品性能和服务质量。通过持续的改进和优化，提升产品的竞争力和客户满意度。</w:t>
      </w:r>
    </w:p>
    <w:p w14:paraId="4999A087">
      <w:pPr>
        <w:pStyle w:val="4"/>
        <w:bidi w:val="0"/>
        <w:spacing w:line="360" w:lineRule="auto"/>
        <w:rPr>
          <w:rFonts w:hint="eastAsia"/>
          <w:highlight w:val="none"/>
          <w:lang w:val="en-US" w:eastAsia="zh-CN"/>
        </w:rPr>
      </w:pPr>
      <w:bookmarkStart w:id="132" w:name="_Toc6340"/>
      <w:bookmarkStart w:id="133" w:name="_Toc27997"/>
      <w:r>
        <w:rPr>
          <w:rFonts w:hint="eastAsia"/>
          <w:highlight w:val="none"/>
          <w:lang w:val="en-US" w:eastAsia="zh-CN"/>
        </w:rPr>
        <w:t>7.3.3促销策略</w:t>
      </w:r>
      <w:bookmarkEnd w:id="132"/>
      <w:bookmarkEnd w:id="133"/>
    </w:p>
    <w:p w14:paraId="67F7E744">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为提升产品市场占有率，加快村镇建筑隔震技术普及，本项目综合运用多种促销手段，针对不同客户群体、市场场景，制定全方位、多层次的促销策略，旨在降低消费者购买成本，增强产品吸引力，树立良好品牌形象，实现产品销售增长与社会效益提升的双重目标。</w:t>
      </w:r>
    </w:p>
    <w:p w14:paraId="1B772429">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2" w:firstLineChars="200"/>
        <w:textAlignment w:val="auto"/>
        <w:rPr>
          <w:rFonts w:hint="eastAsia"/>
          <w:b/>
          <w:bCs/>
          <w:highlight w:val="none"/>
          <w:lang w:val="en-US"/>
        </w:rPr>
      </w:pPr>
      <w:r>
        <w:rPr>
          <w:rFonts w:hint="eastAsia"/>
          <w:b/>
          <w:bCs/>
          <w:highlight w:val="none"/>
          <w:lang w:val="en-US" w:eastAsia="zh-CN"/>
        </w:rPr>
        <w:t>（1）</w:t>
      </w:r>
      <w:r>
        <w:rPr>
          <w:rFonts w:hint="eastAsia"/>
          <w:b/>
          <w:bCs/>
          <w:highlight w:val="none"/>
          <w:lang w:val="en-US"/>
        </w:rPr>
        <w:t>结合政策补贴促销策略</w:t>
      </w:r>
    </w:p>
    <w:p w14:paraId="7A882A18">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积极响应国家</w:t>
      </w:r>
      <w:r>
        <w:rPr>
          <w:rFonts w:hint="eastAsia"/>
          <w:highlight w:val="none"/>
          <w:lang w:val="en-US" w:eastAsia="zh-CN"/>
        </w:rPr>
        <w:t>”</w:t>
      </w:r>
      <w:r>
        <w:rPr>
          <w:rFonts w:hint="eastAsia"/>
          <w:highlight w:val="none"/>
          <w:lang w:val="en-US"/>
        </w:rPr>
        <w:t>隔震技术补贴政策</w:t>
      </w:r>
      <w:r>
        <w:rPr>
          <w:rFonts w:hint="eastAsia"/>
          <w:highlight w:val="none"/>
          <w:lang w:val="en-US" w:eastAsia="zh-CN"/>
        </w:rPr>
        <w:t>”</w:t>
      </w:r>
      <w:r>
        <w:rPr>
          <w:rFonts w:hint="eastAsia"/>
          <w:highlight w:val="none"/>
          <w:lang w:val="en-US"/>
        </w:rPr>
        <w:t>，在试点地区借助政府补贴激发市场需求。针对不同补贴的比例，灵活调整其促销方案。若补贴比例为产品单价的10%-30%，在定价基础上，进一步向村户让利。例如：在政府补贴20%的地区，针对村镇隔震支座，给予农户额外5%-10%的价格优惠，以降低农户自付成本，提高产品吸引力。</w:t>
      </w:r>
    </w:p>
    <w:p w14:paraId="4229ED3D">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2" w:firstLineChars="200"/>
        <w:textAlignment w:val="auto"/>
        <w:rPr>
          <w:rFonts w:hint="eastAsia"/>
          <w:b/>
          <w:bCs/>
          <w:highlight w:val="none"/>
          <w:lang w:val="en-US"/>
        </w:rPr>
      </w:pPr>
      <w:r>
        <w:rPr>
          <w:rFonts w:hint="eastAsia"/>
          <w:b/>
          <w:bCs/>
          <w:highlight w:val="none"/>
          <w:lang w:val="en-US" w:eastAsia="zh-CN"/>
        </w:rPr>
        <w:t>（2）</w:t>
      </w:r>
      <w:r>
        <w:rPr>
          <w:rFonts w:hint="eastAsia"/>
          <w:b/>
          <w:bCs/>
          <w:highlight w:val="none"/>
          <w:lang w:val="en-US"/>
        </w:rPr>
        <w:t>团体促销策略</w:t>
      </w:r>
    </w:p>
    <w:p w14:paraId="76DF100A">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鼓励村镇居民以村镇、组为单位进行团体修建。对于团体修建的村户，根据修建数量给予不同程度的优惠。例如：修建村户数量占总村镇/组的10%-20%，给予村镇隔震支座9折优惠；修建村户数量占村镇/组的20%-30%，给予85折优惠；修建村户数量占村镇/组的30%-50%，给予8折优惠。对于楼梯隔震支座，也制定相应的优惠策略，如数量在30个以内（包含30个），给予9折优惠；数量在30个以上，给予85折优惠，以此来激发村镇集体购买的热情，扩大产品市场份额。</w:t>
      </w:r>
    </w:p>
    <w:p w14:paraId="564F2F8A">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2" w:firstLineChars="200"/>
        <w:textAlignment w:val="auto"/>
        <w:rPr>
          <w:rFonts w:hint="eastAsia"/>
          <w:b/>
          <w:bCs/>
          <w:highlight w:val="none"/>
          <w:lang w:val="en-US"/>
        </w:rPr>
      </w:pPr>
      <w:r>
        <w:rPr>
          <w:rFonts w:hint="eastAsia"/>
          <w:b/>
          <w:bCs/>
          <w:highlight w:val="none"/>
          <w:lang w:val="en-US" w:eastAsia="zh-CN"/>
        </w:rPr>
        <w:t>（3）</w:t>
      </w:r>
      <w:r>
        <w:rPr>
          <w:rFonts w:hint="eastAsia"/>
          <w:b/>
          <w:bCs/>
          <w:highlight w:val="none"/>
          <w:lang w:val="en-US"/>
        </w:rPr>
        <w:t>展会促销策略</w:t>
      </w:r>
    </w:p>
    <w:p w14:paraId="361B42D0">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积极参与开展各类建筑行业展会和村镇地区的推广活动。在展会上，设置专门的讲解销售区域，对展示的产品进行现场销售。同时，推出专属的套餐，包含安装指导和一定期限的维护服务，并给予一定幅度的价格优惠。对于在展会上现场下单的客户，还可赠送地震应急物资或相关的科普资料，吸引客户购买。此外，通过展会现场的抽奖活动，为幸运客户提供免费的产品升级或增值服务，增加客户的购买欲望。</w:t>
      </w:r>
    </w:p>
    <w:p w14:paraId="7A4E227A">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2" w:firstLineChars="200"/>
        <w:textAlignment w:val="auto"/>
        <w:rPr>
          <w:rFonts w:hint="eastAsia"/>
          <w:b/>
          <w:bCs/>
          <w:highlight w:val="none"/>
          <w:lang w:val="en-US"/>
        </w:rPr>
      </w:pPr>
      <w:r>
        <w:rPr>
          <w:rFonts w:hint="eastAsia"/>
          <w:b/>
          <w:bCs/>
          <w:highlight w:val="none"/>
          <w:lang w:val="en-US" w:eastAsia="zh-CN"/>
        </w:rPr>
        <w:t>（4）</w:t>
      </w:r>
      <w:r>
        <w:rPr>
          <w:rFonts w:hint="eastAsia"/>
          <w:b/>
          <w:bCs/>
          <w:highlight w:val="none"/>
          <w:lang w:val="en-US"/>
        </w:rPr>
        <w:t>广告促销策略</w:t>
      </w:r>
    </w:p>
    <w:p w14:paraId="44CC4653">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建立官方企业网站，通过网络推广人员进行论坛网站推广等方式进行宣传；与阿里巴巴、腾讯、新浪等国内知名网络媒介建立合作关系。</w:t>
      </w:r>
    </w:p>
    <w:p w14:paraId="0A9600D3">
      <w:pPr>
        <w:pStyle w:val="4"/>
        <w:bidi w:val="0"/>
        <w:spacing w:line="360" w:lineRule="auto"/>
        <w:rPr>
          <w:rFonts w:hint="eastAsia"/>
          <w:highlight w:val="none"/>
          <w:lang w:val="en-US" w:eastAsia="zh-CN"/>
        </w:rPr>
      </w:pPr>
      <w:bookmarkStart w:id="134" w:name="_Toc22284"/>
      <w:bookmarkStart w:id="135" w:name="_Toc6718"/>
      <w:r>
        <w:rPr>
          <w:rFonts w:hint="eastAsia"/>
          <w:highlight w:val="none"/>
          <w:lang w:val="en-US" w:eastAsia="zh-CN"/>
        </w:rPr>
        <w:t>7.3.4产品策略</w:t>
      </w:r>
      <w:bookmarkEnd w:id="134"/>
      <w:bookmarkEnd w:id="135"/>
    </w:p>
    <w:p w14:paraId="63EB1095">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以成本控制、市场需求与竞争态势为依据，针对该产品的新型简易隔震支座及其相关服务，构建科学合理、差异化且富有竞争力的价格体系。通过合理定价契合不同客户需求，打造全生命周期销售服务保障体系，增强产品竞争力扩大市场份额，实现项目盈利与市场拓展目标，助力乡村振兴与建筑安全事业发展。</w:t>
      </w:r>
    </w:p>
    <w:p w14:paraId="00E51761">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2" w:firstLineChars="200"/>
        <w:textAlignment w:val="auto"/>
        <w:rPr>
          <w:rFonts w:hint="eastAsia"/>
          <w:b/>
          <w:bCs/>
          <w:highlight w:val="none"/>
          <w:lang w:val="en-US"/>
        </w:rPr>
      </w:pPr>
      <w:r>
        <w:rPr>
          <w:rFonts w:hint="eastAsia"/>
          <w:b/>
          <w:bCs/>
          <w:highlight w:val="none"/>
          <w:lang w:val="en-US" w:eastAsia="zh-CN"/>
        </w:rPr>
        <w:t>（1）</w:t>
      </w:r>
      <w:r>
        <w:rPr>
          <w:rFonts w:hint="eastAsia"/>
          <w:b/>
          <w:bCs/>
          <w:highlight w:val="none"/>
          <w:lang w:val="en-US"/>
        </w:rPr>
        <w:t>产品升级策略</w:t>
      </w:r>
    </w:p>
    <w:p w14:paraId="04EAAFA2">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持续加大研发投入，推进产品升级迭代。定期优化工程塑料板和橡胶材料性能，每半年进行一次性能测试与改进，使产品在极端环境下的使用寿命延长10%-15%；同时完善零机械模块化安装工艺，简化安装流程、缩短安装时间、降低施工难度，保持产品的技术领先优势。</w:t>
      </w:r>
    </w:p>
    <w:p w14:paraId="40E26200">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2" w:firstLineChars="200"/>
        <w:textAlignment w:val="auto"/>
        <w:rPr>
          <w:rFonts w:hint="eastAsia"/>
          <w:b/>
          <w:bCs/>
          <w:highlight w:val="none"/>
          <w:lang w:val="en-US"/>
        </w:rPr>
      </w:pPr>
      <w:r>
        <w:rPr>
          <w:rFonts w:hint="eastAsia"/>
          <w:b/>
          <w:bCs/>
          <w:highlight w:val="none"/>
          <w:lang w:val="en-US" w:eastAsia="zh-CN"/>
        </w:rPr>
        <w:t>（2）</w:t>
      </w:r>
      <w:r>
        <w:rPr>
          <w:rFonts w:hint="eastAsia"/>
          <w:b/>
          <w:bCs/>
          <w:highlight w:val="none"/>
          <w:lang w:val="en-US"/>
        </w:rPr>
        <w:t>定制化的解决方案</w:t>
      </w:r>
    </w:p>
    <w:p w14:paraId="4965DB2F">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根据不同环境以及不同地理位置的需求，将提供定制化的材料解决方案。以适配不同的</w:t>
      </w:r>
    </w:p>
    <w:p w14:paraId="2F2C1312">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2" w:firstLineChars="200"/>
        <w:textAlignment w:val="auto"/>
        <w:rPr>
          <w:rFonts w:hint="eastAsia"/>
          <w:b/>
          <w:bCs/>
          <w:highlight w:val="none"/>
          <w:lang w:val="en-US"/>
        </w:rPr>
      </w:pPr>
      <w:r>
        <w:rPr>
          <w:rFonts w:hint="eastAsia"/>
          <w:b/>
          <w:bCs/>
          <w:highlight w:val="none"/>
          <w:lang w:val="en-US" w:eastAsia="zh-CN"/>
        </w:rPr>
        <w:t>（3）</w:t>
      </w:r>
      <w:r>
        <w:rPr>
          <w:rFonts w:hint="eastAsia"/>
          <w:b/>
          <w:bCs/>
          <w:highlight w:val="none"/>
          <w:lang w:val="en-US"/>
        </w:rPr>
        <w:t>动态调整定价策略</w:t>
      </w:r>
    </w:p>
    <w:p w14:paraId="1E7ED2F6">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关注市场动态，适时调整价格。若原材料价格波动、竞争对手价格变动或市场需求变化，综合评估后灵活调整产品与服务价格。在成本上升时，适度提高价格并优化服务；竞争对手降价时，凭借产品优势维持或微调价格，确保市场竞争力与盈利水平平衡。</w:t>
      </w:r>
    </w:p>
    <w:p w14:paraId="5A6BF760">
      <w:pPr>
        <w:spacing w:line="360" w:lineRule="auto"/>
        <w:rPr>
          <w:rFonts w:hint="default"/>
          <w:highlight w:val="none"/>
          <w:lang w:val="en-US"/>
        </w:rPr>
      </w:pPr>
      <w:r>
        <w:rPr>
          <w:rFonts w:hint="eastAsia"/>
          <w:highlight w:val="none"/>
          <w:lang w:val="en-US"/>
        </w:rPr>
        <w:br w:type="page"/>
      </w:r>
    </w:p>
    <w:p w14:paraId="0FECA53E">
      <w:pPr>
        <w:pStyle w:val="2"/>
        <w:numPr>
          <w:ilvl w:val="0"/>
          <w:numId w:val="0"/>
        </w:numPr>
        <w:bidi w:val="0"/>
        <w:spacing w:line="360" w:lineRule="auto"/>
        <w:ind w:leftChars="0"/>
        <w:rPr>
          <w:rFonts w:hint="eastAsia"/>
          <w:highlight w:val="none"/>
          <w:lang w:val="en-US"/>
        </w:rPr>
      </w:pPr>
      <w:bookmarkStart w:id="136" w:name="_Toc18096"/>
      <w:bookmarkStart w:id="137" w:name="_Toc22353"/>
      <w:r>
        <w:rPr>
          <w:rFonts w:hint="eastAsia"/>
          <w:highlight w:val="none"/>
          <w:lang w:val="en-US" w:eastAsia="zh-CN"/>
        </w:rPr>
        <w:t xml:space="preserve">第八章 </w:t>
      </w:r>
      <w:r>
        <w:rPr>
          <w:rFonts w:hint="eastAsia"/>
          <w:highlight w:val="none"/>
          <w:lang w:val="en-US"/>
        </w:rPr>
        <w:t>财务分析</w:t>
      </w:r>
      <w:bookmarkEnd w:id="136"/>
      <w:bookmarkEnd w:id="137"/>
    </w:p>
    <w:p w14:paraId="49289867">
      <w:pPr>
        <w:pStyle w:val="3"/>
        <w:bidi w:val="0"/>
        <w:spacing w:line="360" w:lineRule="auto"/>
        <w:rPr>
          <w:rFonts w:hint="eastAsia"/>
          <w:highlight w:val="none"/>
          <w:lang w:val="en-US"/>
        </w:rPr>
      </w:pPr>
      <w:bookmarkStart w:id="138" w:name="_Toc29505"/>
      <w:bookmarkStart w:id="139" w:name="_Toc29469"/>
      <w:r>
        <w:rPr>
          <w:rFonts w:hint="eastAsia"/>
          <w:highlight w:val="none"/>
          <w:lang w:val="en-US"/>
        </w:rPr>
        <w:t>8.1投融资分析</w:t>
      </w:r>
      <w:bookmarkEnd w:id="138"/>
      <w:bookmarkEnd w:id="139"/>
    </w:p>
    <w:p w14:paraId="478A7DA9">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highlight w:val="none"/>
          <w:lang w:val="en-US"/>
        </w:rPr>
      </w:pPr>
      <w:r>
        <w:rPr>
          <w:rFonts w:hint="eastAsia"/>
          <w:highlight w:val="none"/>
          <w:lang w:val="en-US"/>
        </w:rPr>
        <w:t>本项目投融资规划紧密围绕业务发展需求，通过多元化资金渠道获取支持，并合理规划资金分配，以推动项目稳步发展。在资金来源上，兼顾权益资本与债务资本；投资分配则聚焦项目核心环节，确保资源有效利用。</w:t>
      </w:r>
    </w:p>
    <w:p w14:paraId="78C815BD">
      <w:pPr>
        <w:pStyle w:val="4"/>
        <w:bidi w:val="0"/>
        <w:spacing w:after="0" w:afterLines="0" w:afterAutospacing="0" w:line="360" w:lineRule="auto"/>
        <w:rPr>
          <w:rFonts w:hint="eastAsia"/>
          <w:highlight w:val="none"/>
          <w:lang w:val="en-US"/>
        </w:rPr>
      </w:pPr>
      <w:bookmarkStart w:id="140" w:name="_Toc14198"/>
      <w:bookmarkStart w:id="141" w:name="_Toc7910"/>
      <w:r>
        <w:rPr>
          <w:rFonts w:hint="eastAsia"/>
          <w:highlight w:val="none"/>
          <w:lang w:val="en-US"/>
        </w:rPr>
        <w:t>8.1.1资金来源与股本结构</w:t>
      </w:r>
      <w:bookmarkEnd w:id="140"/>
      <w:bookmarkEnd w:id="141"/>
    </w:p>
    <w:p w14:paraId="2667245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firstLine="560" w:firstLineChars="200"/>
        <w:textAlignment w:val="auto"/>
        <w:rPr>
          <w:rFonts w:hint="eastAsia"/>
          <w:highlight w:val="none"/>
          <w:lang w:val="en-US"/>
        </w:rPr>
      </w:pPr>
      <w:r>
        <w:rPr>
          <w:rFonts w:hint="eastAsia"/>
          <w:highlight w:val="none"/>
          <w:lang w:val="en-US"/>
        </w:rPr>
        <w:t>项目资金来源呈现多元化特点，由权益资本和债务资本构成。其中，权益资本占比64.62%，创业团队自投为项目启动注入关键力量，占比29.25%，体现了团队对项目的信心与投入；天使投资占比21.23%，为项目发展提供了重要的外部资金支持；政府补贴占比11.79%，彰显了政府对项目所在领域的政策扶持，优化了项目的资金结构。债务资本方面，银行贷款占比37.73%，凭借其稳定的资金流，有效补充了项目资金，保障了项目的正常运转，在项目资金体系中发挥着不可或缺的作用。</w:t>
      </w:r>
    </w:p>
    <w:p w14:paraId="58135B37">
      <w:pPr>
        <w:pStyle w:val="5"/>
        <w:bidi w:val="0"/>
        <w:spacing w:before="86" w:beforeLines="36" w:beforeAutospacing="0" w:after="120" w:afterLines="50" w:afterAutospacing="0" w:line="360" w:lineRule="auto"/>
        <w:rPr>
          <w:rFonts w:hint="eastAsia"/>
          <w:highlight w:val="none"/>
          <w:lang w:val="en-US"/>
        </w:rPr>
      </w:pPr>
      <w:r>
        <w:rPr>
          <w:rFonts w:hint="eastAsia"/>
          <w:highlight w:val="none"/>
          <w:lang w:val="en-US"/>
        </w:rPr>
        <w:t>表8-1</w:t>
      </w:r>
      <w:r>
        <w:rPr>
          <w:rFonts w:hint="eastAsia"/>
          <w:highlight w:val="none"/>
          <w:lang w:val="en-US" w:eastAsia="zh-CN"/>
        </w:rPr>
        <w:t xml:space="preserve"> </w:t>
      </w:r>
      <w:r>
        <w:rPr>
          <w:rFonts w:hint="eastAsia"/>
          <w:highlight w:val="none"/>
          <w:lang w:val="en-US"/>
        </w:rPr>
        <w:t>初始资金来源</w:t>
      </w:r>
    </w:p>
    <w:tbl>
      <w:tblPr>
        <w:tblStyle w:val="18"/>
        <w:tblW w:w="85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842"/>
        <w:gridCol w:w="2842"/>
        <w:gridCol w:w="2842"/>
      </w:tblGrid>
      <w:tr w14:paraId="52566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2842" w:type="dxa"/>
            <w:tcBorders>
              <w:top w:val="single" w:color="4F81BD" w:themeColor="accent1" w:sz="6" w:space="0"/>
              <w:left w:val="single" w:color="4F81BD" w:themeColor="accent1" w:sz="6" w:space="0"/>
              <w:bottom w:val="single" w:color="4F81BD" w:themeColor="accent1" w:sz="6" w:space="0"/>
              <w:right w:val="single" w:color="B8CCE4" w:themeColor="accent1" w:themeTint="66" w:sz="6" w:space="0"/>
            </w:tcBorders>
            <w:shd w:val="clear" w:color="auto" w:fill="4F81BD" w:themeFill="accent1"/>
            <w:vAlign w:val="center"/>
          </w:tcPr>
          <w:p w14:paraId="7C798934">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Lines="0" w:line="360" w:lineRule="auto"/>
              <w:jc w:val="center"/>
              <w:textAlignment w:val="auto"/>
              <w:rPr>
                <w:rFonts w:hint="default"/>
                <w:b/>
                <w:bCs/>
                <w:i w:val="0"/>
                <w:color w:val="FFFFFF"/>
                <w:highlight w:val="none"/>
                <w:lang w:val="en-US" w:eastAsia="zh-CN"/>
              </w:rPr>
            </w:pPr>
            <w:r>
              <w:rPr>
                <w:rFonts w:hint="eastAsia"/>
                <w:b/>
                <w:bCs/>
                <w:i w:val="0"/>
                <w:color w:val="FFFFFF"/>
                <w:highlight w:val="none"/>
                <w:lang w:val="en-US" w:eastAsia="zh-CN"/>
              </w:rPr>
              <w:t>项目</w:t>
            </w:r>
          </w:p>
        </w:tc>
        <w:tc>
          <w:tcPr>
            <w:tcW w:w="2842" w:type="dxa"/>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vAlign w:val="center"/>
          </w:tcPr>
          <w:p w14:paraId="5FFF1AD1">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jc w:val="center"/>
              <w:textAlignment w:val="auto"/>
              <w:rPr>
                <w:rFonts w:hint="default"/>
                <w:b/>
                <w:bCs/>
                <w:i w:val="0"/>
                <w:color w:val="FFFFFF"/>
                <w:highlight w:val="none"/>
                <w:lang w:val="en-US" w:eastAsia="zh-CN"/>
              </w:rPr>
            </w:pPr>
            <w:r>
              <w:rPr>
                <w:rFonts w:hint="eastAsia"/>
                <w:b/>
                <w:bCs/>
                <w:i w:val="0"/>
                <w:color w:val="FFFFFF"/>
                <w:highlight w:val="none"/>
                <w:lang w:val="en-US" w:eastAsia="zh-CN"/>
              </w:rPr>
              <w:t>来源</w:t>
            </w:r>
          </w:p>
        </w:tc>
        <w:tc>
          <w:tcPr>
            <w:tcW w:w="2842" w:type="dxa"/>
            <w:tcBorders>
              <w:top w:val="single" w:color="4F81BD" w:themeColor="accent1" w:sz="6" w:space="0"/>
              <w:left w:val="single" w:color="B8CCE4" w:themeColor="accent1" w:themeTint="66" w:sz="6" w:space="0"/>
              <w:bottom w:val="single" w:color="4F81BD" w:themeColor="accent1" w:sz="6" w:space="0"/>
              <w:right w:val="single" w:color="4F81BD" w:themeColor="accent1" w:sz="6" w:space="0"/>
            </w:tcBorders>
            <w:shd w:val="clear" w:color="auto" w:fill="4F81BD" w:themeFill="accent1"/>
            <w:vAlign w:val="center"/>
          </w:tcPr>
          <w:p w14:paraId="6055A20D">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jc w:val="center"/>
              <w:textAlignment w:val="auto"/>
              <w:rPr>
                <w:rFonts w:hint="default"/>
                <w:b/>
                <w:bCs/>
                <w:i w:val="0"/>
                <w:color w:val="FFFFFF"/>
                <w:highlight w:val="none"/>
                <w:lang w:val="en-US" w:eastAsia="zh-CN"/>
              </w:rPr>
            </w:pPr>
            <w:r>
              <w:rPr>
                <w:rFonts w:hint="eastAsia"/>
                <w:b/>
                <w:bCs/>
                <w:i w:val="0"/>
                <w:color w:val="FFFFFF"/>
                <w:highlight w:val="none"/>
                <w:lang w:val="en-US" w:eastAsia="zh-CN"/>
              </w:rPr>
              <w:t>占比</w:t>
            </w:r>
          </w:p>
        </w:tc>
      </w:tr>
      <w:tr w14:paraId="25FD8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2842" w:type="dxa"/>
            <w:vMerge w:val="restart"/>
            <w:tcBorders>
              <w:top w:val="single" w:color="4F81BD" w:themeColor="accent1"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7FE5E012">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jc w:val="center"/>
              <w:textAlignment w:val="auto"/>
              <w:rPr>
                <w:rFonts w:hint="default"/>
                <w:b w:val="0"/>
                <w:i w:val="0"/>
                <w:color w:val="000000"/>
                <w:highlight w:val="none"/>
                <w:lang w:val="en-US" w:eastAsia="zh-CN"/>
              </w:rPr>
            </w:pPr>
            <w:r>
              <w:rPr>
                <w:rFonts w:hint="eastAsia"/>
                <w:b w:val="0"/>
                <w:i w:val="0"/>
                <w:color w:val="000000"/>
                <w:highlight w:val="none"/>
                <w:lang w:val="en-US" w:eastAsia="zh-CN"/>
              </w:rPr>
              <w:t>权益资本</w:t>
            </w:r>
          </w:p>
        </w:tc>
        <w:tc>
          <w:tcPr>
            <w:tcW w:w="2842"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2E5CF880">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jc w:val="center"/>
              <w:textAlignment w:val="auto"/>
              <w:rPr>
                <w:rFonts w:hint="default"/>
                <w:b w:val="0"/>
                <w:i w:val="0"/>
                <w:color w:val="000000"/>
                <w:highlight w:val="none"/>
                <w:lang w:val="en-US" w:eastAsia="zh-CN"/>
              </w:rPr>
            </w:pPr>
            <w:r>
              <w:rPr>
                <w:rFonts w:hint="eastAsia"/>
                <w:b w:val="0"/>
                <w:i w:val="0"/>
                <w:color w:val="000000"/>
                <w:highlight w:val="none"/>
                <w:lang w:val="en-US" w:eastAsia="zh-CN"/>
              </w:rPr>
              <w:t>创业团队自投</w:t>
            </w:r>
          </w:p>
        </w:tc>
        <w:tc>
          <w:tcPr>
            <w:tcW w:w="2842" w:type="dxa"/>
            <w:tcBorders>
              <w:top w:val="single" w:color="4F81BD" w:themeColor="accent1"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2258751A">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jc w:val="center"/>
              <w:textAlignment w:val="auto"/>
              <w:rPr>
                <w:rFonts w:hint="default"/>
                <w:b w:val="0"/>
                <w:i w:val="0"/>
                <w:color w:val="000000"/>
                <w:highlight w:val="none"/>
                <w:lang w:val="en-US" w:eastAsia="zh-CN"/>
              </w:rPr>
            </w:pPr>
            <w:r>
              <w:rPr>
                <w:rFonts w:hint="eastAsia"/>
                <w:b w:val="0"/>
                <w:i w:val="0"/>
                <w:color w:val="000000"/>
                <w:highlight w:val="none"/>
                <w:lang w:val="en-US" w:eastAsia="zh-CN"/>
              </w:rPr>
              <w:t>29.25%</w:t>
            </w:r>
          </w:p>
        </w:tc>
      </w:tr>
      <w:tr w14:paraId="55957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42" w:hRule="atLeast"/>
          <w:jc w:val="center"/>
        </w:trPr>
        <w:tc>
          <w:tcPr>
            <w:tcW w:w="2842" w:type="dxa"/>
            <w:vMerge w:val="continue"/>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03BD7168">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jc w:val="center"/>
              <w:textAlignment w:val="auto"/>
              <w:rPr>
                <w:rFonts w:hint="eastAsia"/>
                <w:b w:val="0"/>
                <w:i w:val="0"/>
                <w:color w:val="000000"/>
                <w:highlight w:val="none"/>
                <w:lang w:val="en-US" w:eastAsia="zh-CN"/>
              </w:rPr>
            </w:pPr>
          </w:p>
        </w:tc>
        <w:tc>
          <w:tcPr>
            <w:tcW w:w="2842"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3C4885DC">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jc w:val="center"/>
              <w:textAlignment w:val="auto"/>
              <w:rPr>
                <w:rFonts w:hint="default"/>
                <w:b w:val="0"/>
                <w:i w:val="0"/>
                <w:color w:val="000000"/>
                <w:highlight w:val="none"/>
                <w:lang w:val="en-US" w:eastAsia="zh-CN"/>
              </w:rPr>
            </w:pPr>
            <w:r>
              <w:rPr>
                <w:rFonts w:hint="eastAsia"/>
                <w:b w:val="0"/>
                <w:i w:val="0"/>
                <w:color w:val="000000"/>
                <w:highlight w:val="none"/>
                <w:lang w:val="en-US" w:eastAsia="zh-CN"/>
              </w:rPr>
              <w:t>天使投资</w:t>
            </w:r>
          </w:p>
        </w:tc>
        <w:tc>
          <w:tcPr>
            <w:tcW w:w="2842"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1A5792EA">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jc w:val="center"/>
              <w:textAlignment w:val="auto"/>
              <w:rPr>
                <w:rFonts w:hint="eastAsia"/>
                <w:b w:val="0"/>
                <w:i w:val="0"/>
                <w:color w:val="000000"/>
                <w:highlight w:val="none"/>
                <w:lang w:val="en-US" w:eastAsia="zh-CN"/>
              </w:rPr>
            </w:pPr>
            <w:r>
              <w:rPr>
                <w:rFonts w:hint="eastAsia"/>
                <w:b w:val="0"/>
                <w:i w:val="0"/>
                <w:color w:val="000000"/>
                <w:highlight w:val="none"/>
                <w:lang w:val="en-US" w:eastAsia="zh-CN"/>
              </w:rPr>
              <w:t>21.23%</w:t>
            </w:r>
          </w:p>
        </w:tc>
      </w:tr>
      <w:tr w14:paraId="4A2C5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42" w:hRule="atLeast"/>
          <w:jc w:val="center"/>
        </w:trPr>
        <w:tc>
          <w:tcPr>
            <w:tcW w:w="2842" w:type="dxa"/>
            <w:vMerge w:val="continue"/>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71D2AACD">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jc w:val="center"/>
              <w:textAlignment w:val="auto"/>
              <w:rPr>
                <w:rFonts w:hint="eastAsia"/>
                <w:b w:val="0"/>
                <w:i w:val="0"/>
                <w:color w:val="000000"/>
                <w:highlight w:val="none"/>
                <w:lang w:val="en-US" w:eastAsia="zh-CN"/>
              </w:rPr>
            </w:pPr>
          </w:p>
        </w:tc>
        <w:tc>
          <w:tcPr>
            <w:tcW w:w="2842"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3B2F0831">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jc w:val="center"/>
              <w:textAlignment w:val="auto"/>
              <w:rPr>
                <w:rFonts w:hint="default"/>
                <w:b w:val="0"/>
                <w:i w:val="0"/>
                <w:color w:val="000000"/>
                <w:highlight w:val="none"/>
                <w:lang w:val="en-US" w:eastAsia="zh-CN"/>
              </w:rPr>
            </w:pPr>
            <w:r>
              <w:rPr>
                <w:rFonts w:hint="eastAsia"/>
                <w:b w:val="0"/>
                <w:i w:val="0"/>
                <w:color w:val="000000"/>
                <w:highlight w:val="none"/>
                <w:lang w:val="en-US" w:eastAsia="zh-CN"/>
              </w:rPr>
              <w:t>政府补贴</w:t>
            </w:r>
          </w:p>
        </w:tc>
        <w:tc>
          <w:tcPr>
            <w:tcW w:w="2842"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31C9EAEE">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jc w:val="center"/>
              <w:textAlignment w:val="auto"/>
              <w:rPr>
                <w:rFonts w:hint="eastAsia"/>
                <w:b w:val="0"/>
                <w:i w:val="0"/>
                <w:color w:val="000000"/>
                <w:highlight w:val="none"/>
                <w:lang w:val="en-US" w:eastAsia="zh-CN"/>
              </w:rPr>
            </w:pPr>
            <w:r>
              <w:rPr>
                <w:rFonts w:hint="eastAsia"/>
                <w:b w:val="0"/>
                <w:i w:val="0"/>
                <w:color w:val="000000"/>
                <w:highlight w:val="none"/>
                <w:lang w:val="en-US" w:eastAsia="zh-CN"/>
              </w:rPr>
              <w:t>11.79%</w:t>
            </w:r>
          </w:p>
        </w:tc>
      </w:tr>
      <w:tr w14:paraId="68848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2842"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61592647">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jc w:val="center"/>
              <w:textAlignment w:val="auto"/>
              <w:rPr>
                <w:rFonts w:hint="default"/>
                <w:b w:val="0"/>
                <w:i w:val="0"/>
                <w:color w:val="000000"/>
                <w:highlight w:val="none"/>
                <w:lang w:val="en-US" w:eastAsia="zh-CN"/>
              </w:rPr>
            </w:pPr>
            <w:r>
              <w:rPr>
                <w:rFonts w:hint="eastAsia"/>
                <w:b w:val="0"/>
                <w:i w:val="0"/>
                <w:color w:val="000000"/>
                <w:highlight w:val="none"/>
                <w:lang w:val="en-US" w:eastAsia="zh-CN"/>
              </w:rPr>
              <w:t>债务资本</w:t>
            </w:r>
          </w:p>
        </w:tc>
        <w:tc>
          <w:tcPr>
            <w:tcW w:w="2842"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262C651A">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jc w:val="center"/>
              <w:textAlignment w:val="auto"/>
              <w:rPr>
                <w:rFonts w:hint="default"/>
                <w:b w:val="0"/>
                <w:i w:val="0"/>
                <w:color w:val="000000"/>
                <w:highlight w:val="none"/>
                <w:lang w:val="en-US" w:eastAsia="zh-CN"/>
              </w:rPr>
            </w:pPr>
            <w:r>
              <w:rPr>
                <w:rFonts w:hint="eastAsia"/>
                <w:b w:val="0"/>
                <w:i w:val="0"/>
                <w:color w:val="000000"/>
                <w:highlight w:val="none"/>
                <w:lang w:val="en-US" w:eastAsia="zh-CN"/>
              </w:rPr>
              <w:t>银行贷款</w:t>
            </w:r>
          </w:p>
        </w:tc>
        <w:tc>
          <w:tcPr>
            <w:tcW w:w="2842"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71BE25BD">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jc w:val="center"/>
              <w:textAlignment w:val="auto"/>
              <w:rPr>
                <w:rFonts w:hint="eastAsia"/>
                <w:b w:val="0"/>
                <w:i w:val="0"/>
                <w:color w:val="000000"/>
                <w:highlight w:val="none"/>
                <w:lang w:val="en-US" w:eastAsia="zh-CN"/>
              </w:rPr>
            </w:pPr>
            <w:r>
              <w:rPr>
                <w:rFonts w:hint="eastAsia"/>
                <w:b w:val="0"/>
                <w:i w:val="0"/>
                <w:color w:val="000000"/>
                <w:highlight w:val="none"/>
                <w:lang w:val="en-US" w:eastAsia="zh-CN"/>
              </w:rPr>
              <w:t>37.73%</w:t>
            </w:r>
          </w:p>
        </w:tc>
      </w:tr>
      <w:tr w14:paraId="79657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jc w:val="center"/>
        </w:trPr>
        <w:tc>
          <w:tcPr>
            <w:tcW w:w="2842" w:type="dxa"/>
            <w:tcBorders>
              <w:top w:val="single" w:color="B8CCE4" w:themeColor="accent1" w:themeTint="66" w:sz="6" w:space="0"/>
              <w:left w:val="single" w:color="4F81BD" w:themeColor="accent1" w:sz="6" w:space="0"/>
              <w:bottom w:val="single" w:color="4F81BD" w:themeColor="accent1" w:sz="6" w:space="0"/>
              <w:right w:val="single" w:color="B8CCE4" w:themeColor="accent1" w:themeTint="66" w:sz="6" w:space="0"/>
            </w:tcBorders>
            <w:shd w:val="clear" w:color="auto" w:fill="EDF2F8" w:themeFill="accent1" w:themeFillTint="19"/>
            <w:vAlign w:val="center"/>
          </w:tcPr>
          <w:p w14:paraId="0E550FBD">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jc w:val="center"/>
              <w:textAlignment w:val="auto"/>
              <w:rPr>
                <w:rFonts w:hint="default"/>
                <w:b w:val="0"/>
                <w:i w:val="0"/>
                <w:color w:val="000000"/>
                <w:highlight w:val="none"/>
                <w:lang w:val="en-US" w:eastAsia="zh-CN"/>
              </w:rPr>
            </w:pPr>
            <w:r>
              <w:rPr>
                <w:rFonts w:hint="eastAsia"/>
                <w:b w:val="0"/>
                <w:i w:val="0"/>
                <w:color w:val="000000"/>
                <w:highlight w:val="none"/>
                <w:lang w:val="en-US" w:eastAsia="zh-CN"/>
              </w:rPr>
              <w:t>总计</w:t>
            </w:r>
          </w:p>
        </w:tc>
        <w:tc>
          <w:tcPr>
            <w:tcW w:w="2842" w:type="dxa"/>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FFFFFF"/>
            <w:vAlign w:val="center"/>
          </w:tcPr>
          <w:p w14:paraId="3D7CC728">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jc w:val="center"/>
              <w:textAlignment w:val="auto"/>
              <w:rPr>
                <w:rFonts w:hint="eastAsia"/>
                <w:b w:val="0"/>
                <w:i w:val="0"/>
                <w:color w:val="000000"/>
                <w:highlight w:val="none"/>
                <w:lang w:val="en-US" w:eastAsia="zh-CN"/>
              </w:rPr>
            </w:pPr>
          </w:p>
        </w:tc>
        <w:tc>
          <w:tcPr>
            <w:tcW w:w="2842" w:type="dxa"/>
            <w:tcBorders>
              <w:top w:val="single" w:color="B8CCE4" w:themeColor="accent1" w:themeTint="66" w:sz="6" w:space="0"/>
              <w:left w:val="single" w:color="B8CCE4" w:themeColor="accent1" w:themeTint="66" w:sz="6" w:space="0"/>
              <w:bottom w:val="single" w:color="4F81BD" w:themeColor="accent1" w:sz="6" w:space="0"/>
              <w:right w:val="single" w:color="4F81BD" w:themeColor="accent1" w:sz="6" w:space="0"/>
            </w:tcBorders>
            <w:shd w:val="clear" w:color="auto" w:fill="EDF2F8" w:themeFill="accent1" w:themeFillTint="19"/>
            <w:vAlign w:val="center"/>
          </w:tcPr>
          <w:p w14:paraId="24CCD3BB">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jc w:val="center"/>
              <w:textAlignment w:val="auto"/>
              <w:rPr>
                <w:rFonts w:hint="default"/>
                <w:b w:val="0"/>
                <w:i w:val="0"/>
                <w:color w:val="000000"/>
                <w:highlight w:val="none"/>
                <w:lang w:val="en-US" w:eastAsia="zh-CN"/>
              </w:rPr>
            </w:pPr>
            <w:r>
              <w:rPr>
                <w:rFonts w:hint="eastAsia"/>
                <w:b w:val="0"/>
                <w:i w:val="0"/>
                <w:color w:val="000000"/>
                <w:highlight w:val="none"/>
                <w:lang w:val="en-US" w:eastAsia="zh-CN"/>
              </w:rPr>
              <w:t>100%</w:t>
            </w:r>
          </w:p>
        </w:tc>
      </w:tr>
    </w:tbl>
    <w:p w14:paraId="53A5A736">
      <w:pPr>
        <w:keepNext w:val="0"/>
        <w:keepLines w:val="0"/>
        <w:pageBreakBefore w:val="0"/>
        <w:widowControl w:val="0"/>
        <w:numPr>
          <w:ilvl w:val="0"/>
          <w:numId w:val="0"/>
        </w:numPr>
        <w:kinsoku/>
        <w:wordWrap/>
        <w:overflowPunct/>
        <w:topLinePunct w:val="0"/>
        <w:autoSpaceDE/>
        <w:autoSpaceDN/>
        <w:bidi w:val="0"/>
        <w:adjustRightInd/>
        <w:snapToGrid/>
        <w:spacing w:before="3122" w:beforeLines="1301" w:beforeAutospacing="0" w:afterAutospacing="0" w:line="360" w:lineRule="auto"/>
        <w:jc w:val="center"/>
        <w:textAlignment w:val="auto"/>
        <w:rPr>
          <w:rFonts w:hint="eastAsia" w:eastAsiaTheme="minorEastAsia"/>
          <w:color w:val="A7C963"/>
          <w:highlight w:val="none"/>
          <w:lang w:eastAsia="zh-CN"/>
        </w:rPr>
      </w:pPr>
      <w:r>
        <w:rPr>
          <w:rFonts w:hint="eastAsia" w:eastAsiaTheme="minorEastAsia"/>
          <w:color w:val="A7C963"/>
          <w:highlight w:val="none"/>
          <w:shd w:val="clear" w:color="auto" w:fill="auto"/>
          <w:lang w:eastAsia="zh-CN"/>
        </w:rPr>
        <w:drawing>
          <wp:inline distT="0" distB="0" distL="114300" distR="114300">
            <wp:extent cx="4679950" cy="2520315"/>
            <wp:effectExtent l="0" t="0" r="6350" b="6985"/>
            <wp:docPr id="44" name="图表 44" descr="7b0a202020202263686172745265734964223a202232303437363436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p w14:paraId="43B04D64">
      <w:pPr>
        <w:pStyle w:val="5"/>
        <w:bidi w:val="0"/>
        <w:spacing w:before="41" w:beforeLines="17" w:beforeAutospacing="0" w:after="290" w:afterLines="121" w:afterAutospacing="0" w:line="360" w:lineRule="auto"/>
        <w:rPr>
          <w:rFonts w:hint="eastAsia"/>
          <w:highlight w:val="none"/>
          <w:lang w:val="en-US"/>
        </w:rPr>
      </w:pPr>
      <w:r>
        <w:rPr>
          <w:rFonts w:hint="eastAsia"/>
          <w:highlight w:val="none"/>
          <w:lang w:val="en-US"/>
        </w:rPr>
        <w:t>图8-1</w:t>
      </w:r>
      <w:r>
        <w:rPr>
          <w:rFonts w:hint="eastAsia"/>
          <w:highlight w:val="none"/>
          <w:lang w:val="en-US" w:eastAsia="zh-CN"/>
        </w:rPr>
        <w:t xml:space="preserve"> </w:t>
      </w:r>
      <w:r>
        <w:rPr>
          <w:rFonts w:hint="eastAsia"/>
          <w:highlight w:val="none"/>
          <w:lang w:val="en-US"/>
        </w:rPr>
        <w:t>初始资金来源</w:t>
      </w:r>
    </w:p>
    <w:p w14:paraId="09B47F91">
      <w:pPr>
        <w:numPr>
          <w:ilvl w:val="0"/>
          <w:numId w:val="0"/>
        </w:numPr>
        <w:spacing w:beforeAutospacing="0" w:afterAutospacing="0" w:line="360" w:lineRule="auto"/>
        <w:jc w:val="center"/>
        <w:rPr>
          <w:rFonts w:hint="eastAsia" w:eastAsiaTheme="minorEastAsia"/>
          <w:highlight w:val="none"/>
          <w:lang w:eastAsia="zh-CN"/>
        </w:rPr>
      </w:pPr>
      <w:r>
        <w:rPr>
          <w:rFonts w:hint="eastAsia" w:eastAsiaTheme="minorEastAsia"/>
          <w:highlight w:val="none"/>
          <w:lang w:eastAsia="zh-CN"/>
        </w:rPr>
        <w:drawing>
          <wp:inline distT="0" distB="0" distL="114300" distR="114300">
            <wp:extent cx="4679950" cy="2520315"/>
            <wp:effectExtent l="0" t="0" r="6350" b="6985"/>
            <wp:docPr id="45" name="图表 45"/>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14:paraId="7E380161">
      <w:pPr>
        <w:pStyle w:val="5"/>
        <w:bidi w:val="0"/>
        <w:spacing w:before="48" w:beforeLines="20" w:beforeAutospacing="0" w:after="86" w:afterLines="36" w:afterAutospacing="0" w:line="360" w:lineRule="auto"/>
        <w:rPr>
          <w:rFonts w:hint="eastAsia"/>
          <w:highlight w:val="none"/>
          <w:lang w:val="en-US"/>
        </w:rPr>
      </w:pPr>
      <w:r>
        <w:rPr>
          <w:rFonts w:hint="eastAsia"/>
          <w:highlight w:val="none"/>
          <w:lang w:val="en-US"/>
        </w:rPr>
        <w:t>图8-2</w:t>
      </w:r>
      <w:r>
        <w:rPr>
          <w:rFonts w:hint="eastAsia"/>
          <w:highlight w:val="none"/>
          <w:lang w:val="en-US" w:eastAsia="zh-CN"/>
        </w:rPr>
        <w:t xml:space="preserve"> </w:t>
      </w:r>
      <w:r>
        <w:rPr>
          <w:rFonts w:hint="eastAsia"/>
          <w:highlight w:val="none"/>
          <w:lang w:val="en-US"/>
        </w:rPr>
        <w:t>股权分配情况</w:t>
      </w:r>
    </w:p>
    <w:p w14:paraId="68AC7FE4">
      <w:pPr>
        <w:pStyle w:val="4"/>
        <w:bidi w:val="0"/>
        <w:spacing w:before="0" w:beforeLines="0" w:beforeAutospacing="0" w:after="0" w:afterLines="0" w:afterAutospacing="0" w:line="360" w:lineRule="auto"/>
        <w:rPr>
          <w:rFonts w:hint="eastAsia"/>
          <w:highlight w:val="none"/>
          <w:lang w:val="en-US"/>
        </w:rPr>
      </w:pPr>
      <w:bookmarkStart w:id="142" w:name="_Toc6783"/>
      <w:bookmarkStart w:id="143" w:name="_Toc29387"/>
      <w:r>
        <w:rPr>
          <w:rFonts w:hint="eastAsia"/>
          <w:highlight w:val="none"/>
          <w:lang w:val="en-US"/>
        </w:rPr>
        <w:t>8.1.2投资分配</w:t>
      </w:r>
      <w:bookmarkEnd w:id="142"/>
      <w:bookmarkEnd w:id="143"/>
    </w:p>
    <w:p w14:paraId="25EC816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firstLine="560" w:firstLineChars="200"/>
        <w:textAlignment w:val="auto"/>
        <w:rPr>
          <w:rFonts w:hint="eastAsia"/>
          <w:highlight w:val="none"/>
          <w:lang w:val="en-US"/>
        </w:rPr>
      </w:pPr>
      <w:r>
        <w:rPr>
          <w:rFonts w:hint="eastAsia"/>
          <w:highlight w:val="none"/>
          <w:lang w:val="en-US"/>
        </w:rPr>
        <w:t>投资分配合理聚焦项目核心环节。技术研发是项目创新与竞争力的关键，获得35%的投资，有助于推动隔震支座技术升级，提升产品性能。原材料购置占比20%，确保生产所需原材料的稳定供应，满足市场需求。专利布局和运营管理各占15%，专利布局为技术成果提供法律保护，运营管理则保障项目日常运作的高效性。营销推广占比15%，通过多渠道推广，提升产品知名度，拓展市场份额，各环节协同助力项目持续发展。</w:t>
      </w:r>
    </w:p>
    <w:p w14:paraId="2D9E447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color w:val="A7C963"/>
          <w:highlight w:val="none"/>
          <w:lang w:val="en-US" w:eastAsia="zh-CN"/>
        </w:rPr>
      </w:pPr>
      <w:r>
        <w:rPr>
          <w:rFonts w:hint="default"/>
          <w:color w:val="A7C963"/>
          <w:highlight w:val="none"/>
          <w:lang w:val="en-US" w:eastAsia="zh-CN"/>
        </w:rPr>
        <w:drawing>
          <wp:inline distT="0" distB="0" distL="114300" distR="114300">
            <wp:extent cx="4679950" cy="2425065"/>
            <wp:effectExtent l="0" t="0" r="6350" b="635"/>
            <wp:docPr id="46" name="图表 46" descr="7b0a202020202263686172745265734964223a202232303437363436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p w14:paraId="17568A18">
      <w:pPr>
        <w:pStyle w:val="5"/>
        <w:bidi w:val="0"/>
        <w:spacing w:line="360" w:lineRule="auto"/>
        <w:rPr>
          <w:rFonts w:hint="eastAsia"/>
          <w:highlight w:val="none"/>
          <w:lang w:val="en-US"/>
        </w:rPr>
      </w:pPr>
      <w:r>
        <w:rPr>
          <w:highlight w:val="none"/>
        </w:rPr>
        <w:t>图8-3</w:t>
      </w:r>
      <w:r>
        <w:rPr>
          <w:rFonts w:hint="eastAsia"/>
          <w:highlight w:val="none"/>
          <w:lang w:val="en-US" w:eastAsia="zh-CN"/>
        </w:rPr>
        <w:t xml:space="preserve"> </w:t>
      </w:r>
      <w:r>
        <w:rPr>
          <w:highlight w:val="none"/>
        </w:rPr>
        <w:t>投资分配情况</w:t>
      </w:r>
    </w:p>
    <w:p w14:paraId="22F032B7">
      <w:pPr>
        <w:pStyle w:val="4"/>
        <w:bidi w:val="0"/>
        <w:spacing w:before="0" w:beforeLines="0" w:beforeAutospacing="0" w:line="360" w:lineRule="auto"/>
        <w:rPr>
          <w:rFonts w:hint="eastAsia"/>
          <w:highlight w:val="none"/>
          <w:lang w:val="en-US"/>
        </w:rPr>
      </w:pPr>
      <w:bookmarkStart w:id="144" w:name="_Toc31317"/>
      <w:bookmarkStart w:id="145" w:name="_Toc13069"/>
      <w:r>
        <w:rPr>
          <w:rFonts w:hint="eastAsia"/>
          <w:highlight w:val="none"/>
          <w:lang w:val="en-US"/>
        </w:rPr>
        <w:t>8.1.3投资分析</w:t>
      </w:r>
      <w:bookmarkEnd w:id="144"/>
      <w:bookmarkEnd w:id="145"/>
    </w:p>
    <w:p w14:paraId="526D50DE">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560" w:firstLineChars="200"/>
        <w:textAlignment w:val="auto"/>
        <w:rPr>
          <w:rFonts w:hint="eastAsia"/>
          <w:highlight w:val="none"/>
          <w:lang w:val="en-US"/>
        </w:rPr>
      </w:pPr>
      <w:r>
        <w:rPr>
          <w:rFonts w:hint="eastAsia"/>
          <w:highlight w:val="none"/>
          <w:lang w:val="en-US"/>
        </w:rPr>
        <w:t>合理的投资结构为项目发展奠定坚实基础。技术研发投资将催生更多创新成果，如优化材料性能、改进安装工艺，增强产品竞争力。原材料购置投资保障生产连续性，避免供应短缺影响项目进度。专利布局投资维护项目技术权益，防止侵权风险。运营管理投资确保项目有序运营，提升整体效率。营销推广投资吸引客户，扩大市场规模，推动项目实现经济效益与社会效益的双丰收。</w:t>
      </w:r>
    </w:p>
    <w:p w14:paraId="72255457">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560" w:firstLineChars="200"/>
        <w:textAlignment w:val="auto"/>
        <w:rPr>
          <w:rFonts w:hint="eastAsia"/>
          <w:highlight w:val="none"/>
          <w:lang w:val="en-US"/>
        </w:rPr>
      </w:pPr>
      <w:r>
        <w:rPr>
          <w:rFonts w:hint="eastAsia"/>
          <w:highlight w:val="none"/>
          <w:lang w:val="en-US" w:eastAsia="zh-CN"/>
        </w:rPr>
        <w:t>本投资项目的净现值（NPV）为137,236.03元，表明在考虑资金时间价值后，项目预计能够为投资者带来超过13.7万元的净收益，这显示了项目具有良好的盈利潜力。内含报酬率（IRR）为15%，意味着项目自身能够产生的实际年化回报率为15%，这一比率高于设定的折现率10%，进一步证明了项目的投资价值较高。投资回收期为3.33年，即项目预计在3年多一点的时间内就能收回初始投资成本，这反映了项目具有较快的资金回收能力，降低了投资风险，增强了项目的吸引力。总体来看，这三个指标均表明该项目具有较高的投资价值和可行性。</w:t>
      </w:r>
    </w:p>
    <w:p w14:paraId="53FDBB74">
      <w:pPr>
        <w:pStyle w:val="5"/>
        <w:bidi w:val="0"/>
        <w:spacing w:afterAutospacing="0" w:line="360" w:lineRule="auto"/>
        <w:rPr>
          <w:rFonts w:hint="eastAsia"/>
          <w:highlight w:val="none"/>
          <w:lang w:val="en-US"/>
        </w:rPr>
      </w:pPr>
      <w:r>
        <w:rPr>
          <w:rFonts w:hint="eastAsia"/>
          <w:highlight w:val="none"/>
          <w:lang w:val="en-US"/>
        </w:rPr>
        <w:t>表8-2</w:t>
      </w:r>
      <w:r>
        <w:rPr>
          <w:rFonts w:hint="eastAsia"/>
          <w:highlight w:val="none"/>
          <w:lang w:val="en-US" w:eastAsia="zh-CN"/>
        </w:rPr>
        <w:t xml:space="preserve"> </w:t>
      </w:r>
      <w:r>
        <w:rPr>
          <w:rFonts w:hint="eastAsia"/>
          <w:highlight w:val="none"/>
          <w:lang w:val="en-US"/>
        </w:rPr>
        <w:t>投资分析表</w:t>
      </w:r>
    </w:p>
    <w:tbl>
      <w:tblPr>
        <w:tblStyle w:val="17"/>
        <w:tblW w:w="86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044"/>
        <w:gridCol w:w="3599"/>
        <w:gridCol w:w="3055"/>
      </w:tblGrid>
      <w:tr w14:paraId="129A92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7" w:hRule="atLeast"/>
          <w:jc w:val="center"/>
        </w:trPr>
        <w:tc>
          <w:tcPr>
            <w:tcW w:w="2044" w:type="dxa"/>
            <w:tcBorders>
              <w:top w:val="single" w:color="4F81BD" w:themeColor="accent1" w:sz="6" w:space="0"/>
              <w:left w:val="single" w:color="4F81BD" w:themeColor="accent1" w:sz="6" w:space="0"/>
              <w:bottom w:val="single" w:color="4F81BD" w:themeColor="accent1" w:sz="6" w:space="0"/>
              <w:right w:val="single" w:color="B8CCE4" w:themeColor="accent1" w:themeTint="66" w:sz="6" w:space="0"/>
            </w:tcBorders>
            <w:shd w:val="clear" w:color="auto" w:fill="4F81BD" w:themeFill="accent1"/>
            <w:vAlign w:val="center"/>
          </w:tcPr>
          <w:p w14:paraId="7936D0BC">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Lines="0" w:line="360" w:lineRule="auto"/>
              <w:ind w:left="0" w:leftChars="0" w:firstLine="0" w:firstLineChars="0"/>
              <w:jc w:val="center"/>
              <w:textAlignment w:val="auto"/>
              <w:rPr>
                <w:rFonts w:hint="eastAsia"/>
                <w:b/>
                <w:bCs/>
                <w:i w:val="0"/>
                <w:color w:val="FFFFFF"/>
                <w:highlight w:val="none"/>
                <w:lang w:val="en-US" w:eastAsia="zh-CN"/>
              </w:rPr>
            </w:pPr>
            <w:r>
              <w:rPr>
                <w:rFonts w:hint="eastAsia"/>
                <w:b/>
                <w:bCs/>
                <w:i w:val="0"/>
                <w:color w:val="FFFFFF"/>
                <w:highlight w:val="none"/>
                <w:lang w:val="en-US" w:eastAsia="zh-CN"/>
              </w:rPr>
              <w:t>项目</w:t>
            </w:r>
          </w:p>
        </w:tc>
        <w:tc>
          <w:tcPr>
            <w:tcW w:w="3599" w:type="dxa"/>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vAlign w:val="center"/>
          </w:tcPr>
          <w:p w14:paraId="134F64FA">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0" w:leftChars="0" w:firstLine="0" w:firstLineChars="0"/>
              <w:jc w:val="center"/>
              <w:textAlignment w:val="auto"/>
              <w:rPr>
                <w:rFonts w:hint="default" w:ascii="Arial" w:hAnsi="Arial" w:eastAsia="宋体" w:cs="Arial"/>
                <w:b/>
                <w:i w:val="0"/>
                <w:iCs w:val="0"/>
                <w:color w:val="FFFFFF" w:themeColor="background1"/>
                <w:kern w:val="0"/>
                <w:sz w:val="22"/>
                <w:szCs w:val="22"/>
                <w:highlight w:val="none"/>
                <w:u w:val="none"/>
                <w:lang w:val="en-US" w:eastAsia="zh-CN" w:bidi="ar"/>
                <w14:textFill>
                  <w14:solidFill>
                    <w14:schemeClr w14:val="bg1"/>
                  </w14:solidFill>
                </w14:textFill>
              </w:rPr>
            </w:pPr>
            <w:r>
              <w:rPr>
                <w:rFonts w:hint="eastAsia"/>
                <w:b/>
                <w:bCs/>
                <w:i w:val="0"/>
                <w:color w:val="FFFFFF" w:themeColor="background1"/>
                <w:highlight w:val="none"/>
                <w:lang w:val="en-US" w:eastAsia="zh-CN"/>
                <w14:textFill>
                  <w14:solidFill>
                    <w14:schemeClr w14:val="bg1"/>
                  </w14:solidFill>
                </w14:textFill>
              </w:rPr>
              <w:t>公式</w:t>
            </w:r>
          </w:p>
        </w:tc>
        <w:tc>
          <w:tcPr>
            <w:tcW w:w="3055" w:type="dxa"/>
            <w:tcBorders>
              <w:top w:val="single" w:color="4F81BD" w:themeColor="accent1" w:sz="6" w:space="0"/>
              <w:left w:val="single" w:color="B8CCE4" w:themeColor="accent1" w:themeTint="66" w:sz="6" w:space="0"/>
              <w:bottom w:val="single" w:color="4F81BD" w:themeColor="accent1" w:sz="6" w:space="0"/>
              <w:right w:val="single" w:color="4F81BD" w:themeColor="accent1" w:sz="6" w:space="0"/>
            </w:tcBorders>
            <w:shd w:val="clear" w:color="auto" w:fill="4F81BD" w:themeFill="accent1"/>
            <w:vAlign w:val="center"/>
          </w:tcPr>
          <w:p w14:paraId="1FFD430A">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0" w:leftChars="0" w:firstLine="0" w:firstLineChars="0"/>
              <w:jc w:val="center"/>
              <w:textAlignment w:val="auto"/>
              <w:rPr>
                <w:rFonts w:hint="default" w:ascii="Arial" w:hAnsi="Arial" w:eastAsia="宋体" w:cs="Arial"/>
                <w:b/>
                <w:i w:val="0"/>
                <w:iCs w:val="0"/>
                <w:color w:val="FFFFFF" w:themeColor="background1"/>
                <w:sz w:val="22"/>
                <w:szCs w:val="22"/>
                <w:highlight w:val="none"/>
                <w:u w:val="none"/>
                <w14:textFill>
                  <w14:solidFill>
                    <w14:schemeClr w14:val="bg1"/>
                  </w14:solidFill>
                </w14:textFill>
              </w:rPr>
            </w:pPr>
            <w:r>
              <w:rPr>
                <w:rFonts w:hint="eastAsia"/>
                <w:b/>
                <w:bCs/>
                <w:i w:val="0"/>
                <w:color w:val="FFFFFF" w:themeColor="background1"/>
                <w:highlight w:val="none"/>
                <w:lang w:val="en-US" w:eastAsia="zh-CN"/>
                <w14:textFill>
                  <w14:solidFill>
                    <w14:schemeClr w14:val="bg1"/>
                  </w14:solidFill>
                </w14:textFill>
              </w:rPr>
              <w:t>数值</w:t>
            </w:r>
          </w:p>
        </w:tc>
      </w:tr>
      <w:tr w14:paraId="207F7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347" w:hRule="atLeast"/>
          <w:jc w:val="center"/>
        </w:trPr>
        <w:tc>
          <w:tcPr>
            <w:tcW w:w="2044" w:type="dxa"/>
            <w:tcBorders>
              <w:top w:val="single" w:color="4F81BD" w:themeColor="accent1"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201881EA">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jc w:val="center"/>
              <w:textAlignment w:val="auto"/>
              <w:rPr>
                <w:rFonts w:hint="default"/>
                <w:b w:val="0"/>
                <w:bCs w:val="0"/>
                <w:i w:val="0"/>
                <w:color w:val="000000"/>
                <w:highlight w:val="none"/>
                <w:lang w:val="en-US" w:eastAsia="zh-CN"/>
              </w:rPr>
            </w:pPr>
            <w:r>
              <w:rPr>
                <w:rFonts w:hint="eastAsia"/>
                <w:b w:val="0"/>
                <w:bCs w:val="0"/>
                <w:i w:val="0"/>
                <w:color w:val="000000"/>
                <w:highlight w:val="none"/>
                <w:lang w:val="en-US" w:eastAsia="zh-CN"/>
              </w:rPr>
              <w:t>投资净现值</w:t>
            </w:r>
          </w:p>
        </w:tc>
        <w:tc>
          <w:tcPr>
            <w:tcW w:w="3599"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30906C88">
            <w:pPr>
              <w:keepNext w:val="0"/>
              <w:keepLines w:val="0"/>
              <w:widowControl/>
              <w:suppressLineNumbers w:val="0"/>
              <w:spacing w:before="0" w:beforeAutospacing="0" w:after="160" w:afterAutospacing="0" w:line="360" w:lineRule="auto"/>
              <w:ind w:left="0" w:leftChars="0" w:right="0" w:firstLine="0" w:firstLineChars="0"/>
              <w:jc w:val="center"/>
              <w:textAlignment w:val="center"/>
              <w:rPr>
                <w:rFonts w:hint="eastAsia" w:ascii="Arial" w:hAnsi="Arial" w:cs="Arial" w:eastAsiaTheme="minorEastAsia"/>
                <w:b w:val="0"/>
                <w:i w:val="0"/>
                <w:iCs w:val="0"/>
                <w:color w:val="000000"/>
                <w:kern w:val="0"/>
                <w:sz w:val="22"/>
                <w:szCs w:val="22"/>
                <w:highlight w:val="none"/>
                <w:u w:val="none"/>
                <w:lang w:val="en-US" w:bidi="ar"/>
              </w:rPr>
            </w:pPr>
            <w:r>
              <w:rPr>
                <w:rFonts w:hint="eastAsia" w:hAnsi="Cambria Math" w:cs="Arial"/>
                <w:b w:val="0"/>
                <w:bCs/>
                <w:i w:val="0"/>
                <w:iCs/>
                <w:color w:val="000000"/>
                <w:kern w:val="0"/>
                <w:sz w:val="22"/>
                <w:szCs w:val="22"/>
                <w:highlight w:val="none"/>
                <w:u w:val="none"/>
                <w:lang w:val="en-US" w:bidi="ar"/>
              </w:rPr>
              <w:drawing>
                <wp:inline distT="0" distB="0" distL="114300" distR="114300">
                  <wp:extent cx="760095" cy="494665"/>
                  <wp:effectExtent l="0" t="0" r="1905" b="635"/>
                  <wp:docPr id="96" name="E657119C-6982-421D-8BA7-E74DEB70A7DA-2"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E657119C-6982-421D-8BA7-E74DEB70A7DA-2" descr="latexmath"/>
                          <pic:cNvPicPr>
                            <a:picLocks noChangeAspect="1"/>
                          </pic:cNvPicPr>
                        </pic:nvPicPr>
                        <pic:blipFill>
                          <a:blip r:embed="rId64">
                            <a:extLst>
                              <a:ext uri="{96DAC541-7B7A-43D3-8B79-37D633B846F1}">
                                <asvg:svgBlip xmlns:asvg="http://schemas.microsoft.com/office/drawing/2016/SVG/main" r:embed="rId65"/>
                              </a:ext>
                            </a:extLst>
                          </a:blip>
                          <a:stretch>
                            <a:fillRect/>
                          </a:stretch>
                        </pic:blipFill>
                        <pic:spPr>
                          <a:xfrm>
                            <a:off x="0" y="0"/>
                            <a:ext cx="760095" cy="494665"/>
                          </a:xfrm>
                          <a:prstGeom prst="rect">
                            <a:avLst/>
                          </a:prstGeom>
                        </pic:spPr>
                      </pic:pic>
                    </a:graphicData>
                  </a:graphic>
                </wp:inline>
              </w:drawing>
            </w:r>
          </w:p>
        </w:tc>
        <w:tc>
          <w:tcPr>
            <w:tcW w:w="3055" w:type="dxa"/>
            <w:tcBorders>
              <w:top w:val="single" w:color="4F81BD" w:themeColor="accent1"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3DC3F529">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jc w:val="center"/>
              <w:textAlignment w:val="auto"/>
              <w:rPr>
                <w:rFonts w:hint="default"/>
                <w:b w:val="0"/>
                <w:bCs w:val="0"/>
                <w:i w:val="0"/>
                <w:color w:val="000000"/>
                <w:highlight w:val="none"/>
                <w:lang w:val="en-US" w:eastAsia="zh-CN"/>
              </w:rPr>
            </w:pPr>
            <w:r>
              <w:rPr>
                <w:rFonts w:hint="eastAsia"/>
                <w:b w:val="0"/>
                <w:bCs w:val="0"/>
                <w:i w:val="0"/>
                <w:color w:val="000000"/>
                <w:highlight w:val="none"/>
                <w:lang w:val="en-US" w:eastAsia="zh-CN"/>
              </w:rPr>
              <w:t>137236.03</w:t>
            </w:r>
          </w:p>
        </w:tc>
      </w:tr>
      <w:tr w14:paraId="0CD75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4" w:hRule="atLeast"/>
          <w:jc w:val="center"/>
        </w:trPr>
        <w:tc>
          <w:tcPr>
            <w:tcW w:w="2044"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69767A25">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jc w:val="center"/>
              <w:textAlignment w:val="auto"/>
              <w:rPr>
                <w:rFonts w:hint="default"/>
                <w:b w:val="0"/>
                <w:bCs w:val="0"/>
                <w:i w:val="0"/>
                <w:color w:val="000000"/>
                <w:highlight w:val="none"/>
                <w:lang w:val="en-US" w:eastAsia="zh-CN"/>
              </w:rPr>
            </w:pPr>
            <w:r>
              <w:rPr>
                <w:rFonts w:hint="eastAsia"/>
                <w:b w:val="0"/>
                <w:bCs w:val="0"/>
                <w:i w:val="0"/>
                <w:color w:val="000000"/>
                <w:highlight w:val="none"/>
                <w:lang w:val="en-US" w:eastAsia="zh-CN"/>
              </w:rPr>
              <w:t>内含报酬率</w:t>
            </w:r>
          </w:p>
        </w:tc>
        <w:tc>
          <w:tcPr>
            <w:tcW w:w="3599"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1F1755DF">
            <w:pPr>
              <w:keepNext w:val="0"/>
              <w:keepLines w:val="0"/>
              <w:widowControl/>
              <w:suppressLineNumbers w:val="0"/>
              <w:spacing w:before="0" w:beforeAutospacing="0" w:after="160" w:afterAutospacing="0" w:line="360" w:lineRule="auto"/>
              <w:ind w:left="0" w:leftChars="0" w:right="0" w:firstLine="0" w:firstLineChars="0"/>
              <w:jc w:val="center"/>
              <w:textAlignment w:val="center"/>
              <w:rPr>
                <w:rFonts w:hint="eastAsia" w:ascii="Arial" w:hAnsi="Arial" w:eastAsia="宋体" w:cs="Arial"/>
                <w:b w:val="0"/>
                <w:i w:val="0"/>
                <w:iCs w:val="0"/>
                <w:color w:val="000000"/>
                <w:kern w:val="0"/>
                <w:sz w:val="22"/>
                <w:szCs w:val="22"/>
                <w:highlight w:val="none"/>
                <w:u w:val="none"/>
                <w:lang w:val="en-US" w:eastAsia="zh-CN" w:bidi="ar"/>
              </w:rPr>
            </w:pPr>
            <w:r>
              <w:rPr>
                <w:rFonts w:hint="eastAsia" w:ascii="Arial" w:hAnsi="Arial" w:eastAsia="宋体" w:cs="Arial"/>
                <w:b w:val="0"/>
                <w:i w:val="0"/>
                <w:iCs w:val="0"/>
                <w:color w:val="000000"/>
                <w:kern w:val="0"/>
                <w:sz w:val="22"/>
                <w:szCs w:val="22"/>
                <w:highlight w:val="none"/>
                <w:u w:val="none"/>
                <w:lang w:val="en-US" w:eastAsia="zh-CN" w:bidi="ar"/>
              </w:rPr>
              <w:t>-</w:t>
            </w:r>
          </w:p>
        </w:tc>
        <w:tc>
          <w:tcPr>
            <w:tcW w:w="3055"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5FD3849D">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jc w:val="center"/>
              <w:textAlignment w:val="auto"/>
              <w:rPr>
                <w:rFonts w:hint="default"/>
                <w:b w:val="0"/>
                <w:bCs w:val="0"/>
                <w:i w:val="0"/>
                <w:color w:val="000000"/>
                <w:highlight w:val="none"/>
                <w:lang w:val="en-US" w:eastAsia="zh-CN"/>
              </w:rPr>
            </w:pPr>
            <w:r>
              <w:rPr>
                <w:rFonts w:hint="eastAsia"/>
                <w:b w:val="0"/>
                <w:bCs w:val="0"/>
                <w:i w:val="0"/>
                <w:color w:val="000000"/>
                <w:highlight w:val="none"/>
                <w:lang w:val="en-US" w:eastAsia="zh-CN"/>
              </w:rPr>
              <w:t>15%</w:t>
            </w:r>
          </w:p>
        </w:tc>
      </w:tr>
      <w:tr w14:paraId="08D71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81" w:hRule="atLeast"/>
          <w:jc w:val="center"/>
        </w:trPr>
        <w:tc>
          <w:tcPr>
            <w:tcW w:w="2044" w:type="dxa"/>
            <w:tcBorders>
              <w:top w:val="single" w:color="B8CCE4" w:themeColor="accent1" w:themeTint="66" w:sz="6" w:space="0"/>
              <w:left w:val="single" w:color="4F81BD" w:themeColor="accent1" w:sz="6" w:space="0"/>
              <w:bottom w:val="single" w:color="4F81BD" w:themeColor="accent1" w:sz="6" w:space="0"/>
              <w:right w:val="single" w:color="B8CCE4" w:themeColor="accent1" w:themeTint="66" w:sz="6" w:space="0"/>
            </w:tcBorders>
            <w:shd w:val="clear" w:color="auto" w:fill="EDF2F8" w:themeFill="accent1" w:themeFillTint="19"/>
            <w:vAlign w:val="center"/>
          </w:tcPr>
          <w:p w14:paraId="2453D9C7">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jc w:val="center"/>
              <w:textAlignment w:val="auto"/>
              <w:rPr>
                <w:rFonts w:hint="default"/>
                <w:b w:val="0"/>
                <w:bCs w:val="0"/>
                <w:i w:val="0"/>
                <w:color w:val="000000"/>
                <w:highlight w:val="none"/>
                <w:lang w:val="en-US" w:eastAsia="zh-CN"/>
              </w:rPr>
            </w:pPr>
            <w:r>
              <w:rPr>
                <w:rFonts w:hint="eastAsia"/>
                <w:b w:val="0"/>
                <w:bCs w:val="0"/>
                <w:i w:val="0"/>
                <w:color w:val="000000"/>
                <w:highlight w:val="none"/>
                <w:lang w:val="en-US" w:eastAsia="zh-CN"/>
              </w:rPr>
              <w:t>投资回收期</w:t>
            </w:r>
          </w:p>
        </w:tc>
        <w:tc>
          <w:tcPr>
            <w:tcW w:w="3599" w:type="dxa"/>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FFFFFF"/>
            <w:vAlign w:val="center"/>
          </w:tcPr>
          <w:p w14:paraId="567C1BFA">
            <w:pPr>
              <w:keepNext w:val="0"/>
              <w:keepLines w:val="0"/>
              <w:widowControl/>
              <w:suppressLineNumbers w:val="0"/>
              <w:spacing w:before="0" w:beforeAutospacing="0" w:after="160" w:afterAutospacing="0" w:line="360" w:lineRule="auto"/>
              <w:ind w:left="0" w:leftChars="0" w:right="0" w:firstLine="0" w:firstLineChars="0"/>
              <w:jc w:val="center"/>
              <w:textAlignment w:val="center"/>
              <w:rPr>
                <w:rFonts w:hint="eastAsia" w:ascii="Arial" w:hAnsi="Arial" w:eastAsia="宋体" w:cs="Arial"/>
                <w:b w:val="0"/>
                <w:i w:val="0"/>
                <w:iCs w:val="0"/>
                <w:color w:val="000000"/>
                <w:kern w:val="0"/>
                <w:sz w:val="22"/>
                <w:szCs w:val="22"/>
                <w:highlight w:val="none"/>
                <w:u w:val="none"/>
                <w:lang w:val="en-US" w:bidi="ar"/>
              </w:rPr>
            </w:pPr>
            <m:oMathPara>
              <m:oMath>
                <m:f>
                  <m:fPr>
                    <m:ctrlPr>
                      <w:rPr>
                        <w:rFonts w:hint="eastAsia" w:ascii="Cambria Math" w:hAnsi="Cambria Math"/>
                        <w:b w:val="0"/>
                        <w:bCs w:val="0"/>
                        <w:i w:val="0"/>
                        <w:color w:val="000000" w:themeColor="dark1"/>
                        <w:highlight w:val="none"/>
                        <w:lang w:val="en-US" w:eastAsia="zh-CN"/>
                        <w14:textFill>
                          <w14:solidFill>
                            <w14:schemeClr w14:val="dk1"/>
                          </w14:solidFill>
                        </w14:textFill>
                      </w:rPr>
                    </m:ctrlPr>
                  </m:fPr>
                  <m:num>
                    <m:r>
                      <m:rPr>
                        <m:sty m:val="p"/>
                      </m:rPr>
                      <w:rPr>
                        <w:rFonts w:hint="eastAsia" w:ascii="Cambria Math" w:hAnsi="Cambria Math"/>
                        <w:color w:val="000000" w:themeColor="dark1"/>
                        <w:highlight w:val="none"/>
                        <w:lang w:val="en-US" w:eastAsia="zh-CN"/>
                        <w14:textFill>
                          <w14:solidFill>
                            <w14:schemeClr w14:val="dk1"/>
                          </w14:solidFill>
                        </w14:textFill>
                      </w:rPr>
                      <m:t>初始投资</m:t>
                    </m:r>
                    <m:ctrlPr>
                      <w:rPr>
                        <w:rFonts w:hint="eastAsia" w:ascii="Cambria Math" w:hAnsi="Cambria Math"/>
                        <w:b w:val="0"/>
                        <w:bCs w:val="0"/>
                        <w:i w:val="0"/>
                        <w:color w:val="000000" w:themeColor="dark1"/>
                        <w:highlight w:val="none"/>
                        <w:lang w:val="en-US" w:eastAsia="zh-CN"/>
                        <w14:textFill>
                          <w14:solidFill>
                            <w14:schemeClr w14:val="dk1"/>
                          </w14:solidFill>
                        </w14:textFill>
                      </w:rPr>
                    </m:ctrlPr>
                  </m:num>
                  <m:den>
                    <m:r>
                      <m:rPr>
                        <m:sty m:val="p"/>
                      </m:rPr>
                      <w:rPr>
                        <w:rFonts w:hint="eastAsia" w:ascii="Cambria Math" w:hAnsi="Cambria Math"/>
                        <w:color w:val="000000" w:themeColor="dark1"/>
                        <w:highlight w:val="none"/>
                        <w:lang w:val="en-US" w:eastAsia="zh-CN"/>
                        <w14:textFill>
                          <w14:solidFill>
                            <w14:schemeClr w14:val="dk1"/>
                          </w14:solidFill>
                        </w14:textFill>
                      </w:rPr>
                      <m:t>年度现金流入</m:t>
                    </m:r>
                    <m:ctrlPr>
                      <w:rPr>
                        <w:rFonts w:hint="eastAsia" w:ascii="Cambria Math" w:hAnsi="Cambria Math"/>
                        <w:b w:val="0"/>
                        <w:bCs w:val="0"/>
                        <w:i w:val="0"/>
                        <w:color w:val="000000" w:themeColor="dark1"/>
                        <w:highlight w:val="none"/>
                        <w:lang w:val="en-US" w:eastAsia="zh-CN"/>
                        <w14:textFill>
                          <w14:solidFill>
                            <w14:schemeClr w14:val="dk1"/>
                          </w14:solidFill>
                        </w14:textFill>
                      </w:rPr>
                    </m:ctrlPr>
                  </m:den>
                </m:f>
              </m:oMath>
            </m:oMathPara>
          </w:p>
        </w:tc>
        <w:tc>
          <w:tcPr>
            <w:tcW w:w="3055" w:type="dxa"/>
            <w:tcBorders>
              <w:top w:val="single" w:color="B8CCE4" w:themeColor="accent1" w:themeTint="66" w:sz="6" w:space="0"/>
              <w:left w:val="single" w:color="B8CCE4" w:themeColor="accent1" w:themeTint="66" w:sz="6" w:space="0"/>
              <w:bottom w:val="single" w:color="4F81BD" w:themeColor="accent1" w:sz="6" w:space="0"/>
              <w:right w:val="single" w:color="4F81BD" w:themeColor="accent1" w:sz="6" w:space="0"/>
            </w:tcBorders>
            <w:shd w:val="clear" w:color="auto" w:fill="EDF2F8" w:themeFill="accent1" w:themeFillTint="19"/>
            <w:vAlign w:val="center"/>
          </w:tcPr>
          <w:p w14:paraId="60562F02">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jc w:val="center"/>
              <w:textAlignment w:val="auto"/>
              <w:rPr>
                <w:rFonts w:hint="default"/>
                <w:b w:val="0"/>
                <w:bCs w:val="0"/>
                <w:i w:val="0"/>
                <w:color w:val="000000"/>
                <w:highlight w:val="none"/>
                <w:lang w:val="en-US" w:eastAsia="zh-CN"/>
              </w:rPr>
            </w:pPr>
            <w:r>
              <w:rPr>
                <w:rFonts w:hint="eastAsia"/>
                <w:b w:val="0"/>
                <w:bCs w:val="0"/>
                <w:i w:val="0"/>
                <w:color w:val="000000"/>
                <w:highlight w:val="none"/>
                <w:lang w:val="en-US" w:eastAsia="zh-CN"/>
              </w:rPr>
              <w:t>3年</w:t>
            </w:r>
          </w:p>
        </w:tc>
      </w:tr>
    </w:tbl>
    <w:p w14:paraId="195B9895">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hint="eastAsia"/>
          <w:highlight w:val="none"/>
          <w:lang w:val="en-US" w:eastAsia="zh-CN"/>
        </w:rPr>
      </w:pPr>
    </w:p>
    <w:p w14:paraId="1C74857B">
      <w:pPr>
        <w:pStyle w:val="3"/>
        <w:bidi w:val="0"/>
        <w:spacing w:line="360" w:lineRule="auto"/>
        <w:rPr>
          <w:rFonts w:hint="eastAsia"/>
          <w:highlight w:val="none"/>
          <w:lang w:val="en-US"/>
        </w:rPr>
      </w:pPr>
      <w:bookmarkStart w:id="146" w:name="_Toc15654"/>
      <w:bookmarkStart w:id="147" w:name="_Toc13421"/>
      <w:r>
        <w:rPr>
          <w:rFonts w:hint="eastAsia"/>
          <w:highlight w:val="none"/>
          <w:lang w:val="en-US"/>
        </w:rPr>
        <w:t>8.2财务预算</w:t>
      </w:r>
      <w:bookmarkEnd w:id="146"/>
      <w:bookmarkEnd w:id="147"/>
    </w:p>
    <w:p w14:paraId="337C7916">
      <w:pPr>
        <w:pStyle w:val="4"/>
        <w:bidi w:val="0"/>
        <w:spacing w:after="0" w:afterLines="0" w:afterAutospacing="0" w:line="360" w:lineRule="auto"/>
        <w:rPr>
          <w:rFonts w:hint="eastAsia"/>
          <w:highlight w:val="none"/>
          <w:lang w:val="en-US"/>
        </w:rPr>
      </w:pPr>
      <w:bookmarkStart w:id="148" w:name="_Toc23564"/>
      <w:bookmarkStart w:id="149" w:name="_Toc554"/>
      <w:r>
        <w:rPr>
          <w:rFonts w:hint="eastAsia"/>
          <w:highlight w:val="none"/>
          <w:lang w:val="en-US"/>
        </w:rPr>
        <w:t>8.2.1收入成本分析</w:t>
      </w:r>
      <w:bookmarkEnd w:id="148"/>
      <w:bookmarkEnd w:id="149"/>
    </w:p>
    <w:p w14:paraId="2C7CED8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0" w:leftChars="0" w:firstLine="560" w:firstLineChars="200"/>
        <w:textAlignment w:val="auto"/>
        <w:rPr>
          <w:rFonts w:hint="default" w:eastAsia="楷体"/>
          <w:b w:val="0"/>
          <w:bCs w:val="0"/>
          <w:highlight w:val="none"/>
          <w:lang w:val="en-US" w:eastAsia="zh-CN"/>
        </w:rPr>
      </w:pPr>
      <w:r>
        <w:rPr>
          <w:rFonts w:hint="default" w:ascii="Times New Roman" w:hAnsi="Times New Roman" w:eastAsia="楷体" w:cs="宋体"/>
          <w:b w:val="0"/>
          <w:bCs w:val="0"/>
          <w:kern w:val="2"/>
          <w:sz w:val="28"/>
          <w:szCs w:val="22"/>
          <w:highlight w:val="none"/>
          <w:lang w:val="en-US" w:eastAsia="zh-CN" w:bidi="ar-SA"/>
        </w:rPr>
        <w:t>（1）</w:t>
      </w:r>
      <w:r>
        <w:rPr>
          <w:rFonts w:hint="eastAsia"/>
          <w:b/>
          <w:bCs/>
          <w:highlight w:val="none"/>
          <w:lang w:val="en-US" w:eastAsia="zh-CN"/>
        </w:rPr>
        <w:t>收入分析</w:t>
      </w:r>
      <w:r>
        <w:rPr>
          <w:rFonts w:hint="eastAsia"/>
          <w:b w:val="0"/>
          <w:bCs w:val="0"/>
          <w:highlight w:val="none"/>
          <w:lang w:val="en-US" w:eastAsia="zh-CN"/>
        </w:rPr>
        <w:t>（单位价格600-800元/个，取中值预测总收入）</w:t>
      </w:r>
    </w:p>
    <w:p w14:paraId="00EDDD7F">
      <w:pPr>
        <w:pStyle w:val="5"/>
        <w:bidi w:val="0"/>
        <w:spacing w:beforeAutospacing="0" w:after="86" w:afterLines="36" w:afterAutospacing="0" w:line="360" w:lineRule="auto"/>
        <w:rPr>
          <w:rFonts w:hint="eastAsia"/>
          <w:highlight w:val="none"/>
          <w:lang w:val="en-US"/>
        </w:rPr>
      </w:pPr>
      <w:r>
        <w:rPr>
          <w:rFonts w:hint="eastAsia"/>
          <w:highlight w:val="none"/>
          <w:lang w:val="en-US"/>
        </w:rPr>
        <w:t>表8-3</w:t>
      </w:r>
      <w:r>
        <w:rPr>
          <w:rFonts w:hint="eastAsia"/>
          <w:highlight w:val="none"/>
          <w:lang w:val="en-US" w:eastAsia="zh-CN"/>
        </w:rPr>
        <w:t xml:space="preserve"> </w:t>
      </w:r>
      <w:r>
        <w:rPr>
          <w:rFonts w:hint="eastAsia"/>
          <w:highlight w:val="none"/>
          <w:lang w:val="en-US"/>
        </w:rPr>
        <w:t>收入分析表</w:t>
      </w:r>
    </w:p>
    <w:tbl>
      <w:tblPr>
        <w:tblStyle w:val="18"/>
        <w:tblW w:w="472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46"/>
        <w:gridCol w:w="2639"/>
        <w:gridCol w:w="2198"/>
        <w:gridCol w:w="2198"/>
      </w:tblGrid>
      <w:tr w14:paraId="46F18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76" w:hRule="atLeast"/>
          <w:jc w:val="center"/>
        </w:trPr>
        <w:tc>
          <w:tcPr>
            <w:tcW w:w="994" w:type="pct"/>
            <w:tcBorders>
              <w:top w:val="single" w:color="4F81BD" w:themeColor="accent1" w:sz="6" w:space="0"/>
              <w:left w:val="single" w:color="4F81BD" w:themeColor="accent1" w:sz="6" w:space="0"/>
              <w:bottom w:val="single" w:color="4F81BD" w:themeColor="accent1" w:sz="6" w:space="0"/>
              <w:right w:val="single" w:color="B8CCE4" w:themeColor="accent1" w:themeTint="66" w:sz="6" w:space="0"/>
            </w:tcBorders>
            <w:shd w:val="clear" w:color="auto" w:fill="4F81BD" w:themeFill="accent1"/>
            <w:vAlign w:val="center"/>
          </w:tcPr>
          <w:p w14:paraId="6A24B68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b/>
                <w:bCs/>
                <w:i w:val="0"/>
                <w:color w:val="FFFFFF"/>
                <w:highlight w:val="none"/>
                <w:lang w:val="en-US"/>
              </w:rPr>
            </w:pPr>
            <w:r>
              <w:rPr>
                <w:rFonts w:hint="eastAsia"/>
                <w:b/>
                <w:bCs/>
                <w:i w:val="0"/>
                <w:color w:val="FFFFFF"/>
                <w:highlight w:val="none"/>
                <w:lang w:val="en-US" w:eastAsia="zh-CN"/>
              </w:rPr>
              <w:t>年份</w:t>
            </w:r>
          </w:p>
        </w:tc>
        <w:tc>
          <w:tcPr>
            <w:tcW w:w="1502" w:type="pct"/>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vAlign w:val="center"/>
          </w:tcPr>
          <w:p w14:paraId="435CDACA">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bCs/>
                <w:i w:val="0"/>
                <w:color w:val="FFFFFF"/>
                <w:highlight w:val="none"/>
                <w:lang w:val="en-US"/>
              </w:rPr>
            </w:pPr>
            <w:r>
              <w:rPr>
                <w:rFonts w:hint="eastAsia"/>
                <w:b/>
                <w:bCs/>
                <w:i w:val="0"/>
                <w:color w:val="FFFFFF"/>
                <w:highlight w:val="none"/>
                <w:lang w:val="en-US" w:eastAsia="zh-CN"/>
              </w:rPr>
              <w:t>单位价格（元</w:t>
            </w:r>
            <w:r>
              <w:rPr>
                <w:rFonts w:hint="default"/>
                <w:b/>
                <w:bCs/>
                <w:i w:val="0"/>
                <w:color w:val="FFFFFF"/>
                <w:highlight w:val="none"/>
                <w:lang w:val="en-US" w:eastAsia="zh-CN"/>
              </w:rPr>
              <w:t>/</w:t>
            </w:r>
            <w:r>
              <w:rPr>
                <w:rFonts w:hint="eastAsia"/>
                <w:b/>
                <w:bCs/>
                <w:i w:val="0"/>
                <w:color w:val="FFFFFF"/>
                <w:highlight w:val="none"/>
                <w:lang w:val="en-US" w:eastAsia="zh-CN"/>
              </w:rPr>
              <w:t>个）</w:t>
            </w:r>
          </w:p>
        </w:tc>
        <w:tc>
          <w:tcPr>
            <w:tcW w:w="1251" w:type="pct"/>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vAlign w:val="center"/>
          </w:tcPr>
          <w:p w14:paraId="4EE07397">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bCs/>
                <w:i w:val="0"/>
                <w:color w:val="FFFFFF"/>
                <w:highlight w:val="none"/>
                <w:lang w:val="en-US"/>
              </w:rPr>
            </w:pPr>
            <w:r>
              <w:rPr>
                <w:rFonts w:hint="eastAsia"/>
                <w:b/>
                <w:bCs/>
                <w:i w:val="0"/>
                <w:color w:val="FFFFFF"/>
                <w:highlight w:val="none"/>
                <w:lang w:val="en-US" w:eastAsia="zh-CN"/>
              </w:rPr>
              <w:t>销售量（个）</w:t>
            </w:r>
          </w:p>
        </w:tc>
        <w:tc>
          <w:tcPr>
            <w:tcW w:w="1251" w:type="pct"/>
            <w:tcBorders>
              <w:top w:val="single" w:color="4F81BD" w:themeColor="accent1" w:sz="6" w:space="0"/>
              <w:left w:val="single" w:color="B8CCE4" w:themeColor="accent1" w:themeTint="66" w:sz="6" w:space="0"/>
              <w:bottom w:val="single" w:color="4F81BD" w:themeColor="accent1" w:sz="6" w:space="0"/>
              <w:right w:val="single" w:color="4F81BD" w:themeColor="accent1" w:sz="6" w:space="0"/>
            </w:tcBorders>
            <w:shd w:val="clear" w:color="auto" w:fill="4F81BD" w:themeFill="accent1"/>
            <w:vAlign w:val="center"/>
          </w:tcPr>
          <w:p w14:paraId="7F5F0901">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bCs/>
                <w:i w:val="0"/>
                <w:color w:val="FFFFFF"/>
                <w:highlight w:val="none"/>
                <w:lang w:val="en-US"/>
              </w:rPr>
            </w:pPr>
            <w:r>
              <w:rPr>
                <w:rFonts w:hint="eastAsia"/>
                <w:b/>
                <w:bCs/>
                <w:i w:val="0"/>
                <w:color w:val="FFFFFF"/>
                <w:highlight w:val="none"/>
                <w:lang w:val="en-US" w:eastAsia="zh-CN"/>
              </w:rPr>
              <w:t>总收入（万元）</w:t>
            </w:r>
          </w:p>
        </w:tc>
      </w:tr>
      <w:tr w14:paraId="6F68C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46" w:hRule="atLeast"/>
          <w:jc w:val="center"/>
        </w:trPr>
        <w:tc>
          <w:tcPr>
            <w:tcW w:w="994" w:type="pct"/>
            <w:tcBorders>
              <w:top w:val="single" w:color="4F81BD" w:themeColor="accent1"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3F1DF0F7">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default"/>
                <w:b w:val="0"/>
                <w:i w:val="0"/>
                <w:color w:val="000000"/>
                <w:highlight w:val="none"/>
                <w:lang w:val="en-US" w:eastAsia="zh-CN"/>
              </w:rPr>
              <w:t>202</w:t>
            </w:r>
            <w:r>
              <w:rPr>
                <w:rFonts w:hint="eastAsia"/>
                <w:b w:val="0"/>
                <w:i w:val="0"/>
                <w:color w:val="000000"/>
                <w:highlight w:val="none"/>
                <w:lang w:val="en-US" w:eastAsia="zh-CN"/>
              </w:rPr>
              <w:t>6</w:t>
            </w:r>
          </w:p>
        </w:tc>
        <w:tc>
          <w:tcPr>
            <w:tcW w:w="1502" w:type="pct"/>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4ABE9E14">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eastAsia"/>
                <w:b w:val="0"/>
                <w:i w:val="0"/>
                <w:color w:val="000000"/>
                <w:highlight w:val="none"/>
                <w:lang w:val="en-US" w:eastAsia="zh-CN"/>
              </w:rPr>
              <w:t>700</w:t>
            </w:r>
          </w:p>
        </w:tc>
        <w:tc>
          <w:tcPr>
            <w:tcW w:w="1251" w:type="pct"/>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200369E2">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default"/>
                <w:b w:val="0"/>
                <w:i w:val="0"/>
                <w:color w:val="000000"/>
                <w:highlight w:val="none"/>
                <w:lang w:val="en-US" w:eastAsia="zh-CN"/>
              </w:rPr>
              <w:t>4800</w:t>
            </w:r>
          </w:p>
        </w:tc>
        <w:tc>
          <w:tcPr>
            <w:tcW w:w="1251" w:type="pct"/>
            <w:tcBorders>
              <w:top w:val="single" w:color="4F81BD" w:themeColor="accent1"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7217D24B">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eastAsia"/>
                <w:b w:val="0"/>
                <w:i w:val="0"/>
                <w:color w:val="000000"/>
                <w:highlight w:val="none"/>
                <w:lang w:val="en-US" w:eastAsia="zh-CN"/>
              </w:rPr>
              <w:t>336</w:t>
            </w:r>
          </w:p>
        </w:tc>
      </w:tr>
      <w:tr w14:paraId="47731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20" w:hRule="atLeast"/>
          <w:jc w:val="center"/>
        </w:trPr>
        <w:tc>
          <w:tcPr>
            <w:tcW w:w="994" w:type="pct"/>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54456F81">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default"/>
                <w:b w:val="0"/>
                <w:i w:val="0"/>
                <w:color w:val="000000"/>
                <w:highlight w:val="none"/>
                <w:lang w:val="en-US" w:eastAsia="zh-CN"/>
              </w:rPr>
              <w:t>202</w:t>
            </w:r>
            <w:r>
              <w:rPr>
                <w:rFonts w:hint="eastAsia"/>
                <w:b w:val="0"/>
                <w:i w:val="0"/>
                <w:color w:val="000000"/>
                <w:highlight w:val="none"/>
                <w:lang w:val="en-US" w:eastAsia="zh-CN"/>
              </w:rPr>
              <w:t>7</w:t>
            </w:r>
          </w:p>
        </w:tc>
        <w:tc>
          <w:tcPr>
            <w:tcW w:w="1502" w:type="pct"/>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7F3DB80C">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eastAsia"/>
                <w:b w:val="0"/>
                <w:i w:val="0"/>
                <w:color w:val="000000"/>
                <w:highlight w:val="none"/>
                <w:lang w:val="en-US" w:eastAsia="zh-CN"/>
              </w:rPr>
              <w:t>700</w:t>
            </w:r>
          </w:p>
        </w:tc>
        <w:tc>
          <w:tcPr>
            <w:tcW w:w="1251" w:type="pct"/>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7351C236">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default"/>
                <w:b w:val="0"/>
                <w:i w:val="0"/>
                <w:color w:val="000000"/>
                <w:highlight w:val="none"/>
                <w:lang w:val="en-US" w:eastAsia="zh-CN"/>
              </w:rPr>
              <w:t>5760</w:t>
            </w:r>
          </w:p>
        </w:tc>
        <w:tc>
          <w:tcPr>
            <w:tcW w:w="1251" w:type="pct"/>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66F0D931">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eastAsia"/>
                <w:b w:val="0"/>
                <w:i w:val="0"/>
                <w:color w:val="000000"/>
                <w:highlight w:val="none"/>
                <w:lang w:val="en-US" w:eastAsia="zh-CN"/>
              </w:rPr>
              <w:t>403</w:t>
            </w:r>
          </w:p>
        </w:tc>
      </w:tr>
      <w:tr w14:paraId="42DC7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994" w:type="pct"/>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7A634980">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default"/>
                <w:b w:val="0"/>
                <w:i w:val="0"/>
                <w:color w:val="000000"/>
                <w:highlight w:val="none"/>
                <w:lang w:val="en-US" w:eastAsia="zh-CN"/>
              </w:rPr>
              <w:t>202</w:t>
            </w:r>
            <w:r>
              <w:rPr>
                <w:rFonts w:hint="eastAsia"/>
                <w:b w:val="0"/>
                <w:i w:val="0"/>
                <w:color w:val="000000"/>
                <w:highlight w:val="none"/>
                <w:lang w:val="en-US" w:eastAsia="zh-CN"/>
              </w:rPr>
              <w:t>8</w:t>
            </w:r>
          </w:p>
        </w:tc>
        <w:tc>
          <w:tcPr>
            <w:tcW w:w="1502" w:type="pct"/>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0FB3C606">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eastAsia"/>
                <w:b w:val="0"/>
                <w:i w:val="0"/>
                <w:color w:val="000000"/>
                <w:highlight w:val="none"/>
                <w:lang w:val="en-US" w:eastAsia="zh-CN"/>
              </w:rPr>
              <w:t>700</w:t>
            </w:r>
          </w:p>
        </w:tc>
        <w:tc>
          <w:tcPr>
            <w:tcW w:w="1251" w:type="pct"/>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2C831B5C">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default"/>
                <w:b w:val="0"/>
                <w:i w:val="0"/>
                <w:color w:val="000000"/>
                <w:highlight w:val="none"/>
                <w:lang w:val="en-US" w:eastAsia="zh-CN"/>
              </w:rPr>
              <w:t>7216</w:t>
            </w:r>
          </w:p>
        </w:tc>
        <w:tc>
          <w:tcPr>
            <w:tcW w:w="1251" w:type="pct"/>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1D0B5F67">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eastAsia"/>
                <w:b w:val="0"/>
                <w:i w:val="0"/>
                <w:color w:val="000000"/>
                <w:highlight w:val="none"/>
                <w:lang w:val="en-US" w:eastAsia="zh-CN"/>
              </w:rPr>
              <w:t>505</w:t>
            </w:r>
          </w:p>
        </w:tc>
      </w:tr>
      <w:tr w14:paraId="16E4E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994" w:type="pct"/>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730A44E3">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default"/>
                <w:b w:val="0"/>
                <w:i w:val="0"/>
                <w:color w:val="000000"/>
                <w:highlight w:val="none"/>
                <w:lang w:val="en-US" w:eastAsia="zh-CN"/>
              </w:rPr>
              <w:t>202</w:t>
            </w:r>
            <w:r>
              <w:rPr>
                <w:rFonts w:hint="eastAsia"/>
                <w:b w:val="0"/>
                <w:i w:val="0"/>
                <w:color w:val="000000"/>
                <w:highlight w:val="none"/>
                <w:lang w:val="en-US" w:eastAsia="zh-CN"/>
              </w:rPr>
              <w:t>9</w:t>
            </w:r>
          </w:p>
        </w:tc>
        <w:tc>
          <w:tcPr>
            <w:tcW w:w="1502" w:type="pct"/>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7CA3372C">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eastAsia"/>
                <w:b w:val="0"/>
                <w:i w:val="0"/>
                <w:color w:val="000000"/>
                <w:highlight w:val="none"/>
                <w:lang w:val="en-US" w:eastAsia="zh-CN"/>
              </w:rPr>
              <w:t>700</w:t>
            </w:r>
          </w:p>
        </w:tc>
        <w:tc>
          <w:tcPr>
            <w:tcW w:w="1251" w:type="pct"/>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4DD048C2">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default"/>
                <w:b w:val="0"/>
                <w:i w:val="0"/>
                <w:color w:val="000000"/>
                <w:highlight w:val="none"/>
                <w:lang w:val="en-US" w:eastAsia="zh-CN"/>
              </w:rPr>
              <w:t>9380</w:t>
            </w:r>
          </w:p>
        </w:tc>
        <w:tc>
          <w:tcPr>
            <w:tcW w:w="1251" w:type="pct"/>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275A0F23">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eastAsia"/>
                <w:b w:val="0"/>
                <w:i w:val="0"/>
                <w:color w:val="000000"/>
                <w:highlight w:val="none"/>
                <w:lang w:val="en-US" w:eastAsia="zh-CN"/>
              </w:rPr>
              <w:t>657</w:t>
            </w:r>
          </w:p>
        </w:tc>
      </w:tr>
      <w:tr w14:paraId="5A8F2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jc w:val="center"/>
        </w:trPr>
        <w:tc>
          <w:tcPr>
            <w:tcW w:w="994" w:type="pct"/>
            <w:tcBorders>
              <w:top w:val="single" w:color="B8CCE4" w:themeColor="accent1" w:themeTint="66" w:sz="6" w:space="0"/>
              <w:left w:val="single" w:color="4F81BD" w:themeColor="accent1" w:sz="6" w:space="0"/>
              <w:bottom w:val="single" w:color="4F81BD" w:themeColor="accent1" w:sz="6" w:space="0"/>
              <w:right w:val="single" w:color="B8CCE4" w:themeColor="accent1" w:themeTint="66" w:sz="6" w:space="0"/>
            </w:tcBorders>
            <w:shd w:val="clear" w:color="auto" w:fill="EDF2F8" w:themeFill="accent1" w:themeFillTint="19"/>
            <w:vAlign w:val="center"/>
          </w:tcPr>
          <w:p w14:paraId="421CA289">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default"/>
                <w:b w:val="0"/>
                <w:i w:val="0"/>
                <w:color w:val="000000"/>
                <w:highlight w:val="none"/>
                <w:lang w:val="en-US" w:eastAsia="zh-CN"/>
              </w:rPr>
              <w:t>20</w:t>
            </w:r>
            <w:r>
              <w:rPr>
                <w:rFonts w:hint="eastAsia"/>
                <w:b w:val="0"/>
                <w:i w:val="0"/>
                <w:color w:val="000000"/>
                <w:highlight w:val="none"/>
                <w:lang w:val="en-US" w:eastAsia="zh-CN"/>
              </w:rPr>
              <w:t>30</w:t>
            </w:r>
          </w:p>
        </w:tc>
        <w:tc>
          <w:tcPr>
            <w:tcW w:w="1502" w:type="pct"/>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FFFFFF"/>
            <w:vAlign w:val="center"/>
          </w:tcPr>
          <w:p w14:paraId="339E172C">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eastAsia"/>
                <w:b w:val="0"/>
                <w:i w:val="0"/>
                <w:color w:val="000000"/>
                <w:highlight w:val="none"/>
                <w:lang w:val="en-US" w:eastAsia="zh-CN"/>
              </w:rPr>
              <w:t>700</w:t>
            </w:r>
          </w:p>
        </w:tc>
        <w:tc>
          <w:tcPr>
            <w:tcW w:w="1251" w:type="pct"/>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EDF2F8" w:themeFill="accent1" w:themeFillTint="19"/>
            <w:vAlign w:val="center"/>
          </w:tcPr>
          <w:p w14:paraId="24A69FED">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default"/>
                <w:b w:val="0"/>
                <w:i w:val="0"/>
                <w:color w:val="000000"/>
                <w:highlight w:val="none"/>
                <w:lang w:val="en-US" w:eastAsia="zh-CN"/>
              </w:rPr>
              <w:t>12663</w:t>
            </w:r>
          </w:p>
        </w:tc>
        <w:tc>
          <w:tcPr>
            <w:tcW w:w="1251" w:type="pct"/>
            <w:tcBorders>
              <w:top w:val="single" w:color="B8CCE4" w:themeColor="accent1" w:themeTint="66" w:sz="6" w:space="0"/>
              <w:left w:val="single" w:color="B8CCE4" w:themeColor="accent1" w:themeTint="66" w:sz="6" w:space="0"/>
              <w:bottom w:val="single" w:color="4F81BD" w:themeColor="accent1" w:sz="6" w:space="0"/>
              <w:right w:val="single" w:color="4F81BD" w:themeColor="accent1" w:sz="6" w:space="0"/>
            </w:tcBorders>
            <w:shd w:val="clear" w:color="auto" w:fill="FFFFFF"/>
            <w:vAlign w:val="center"/>
          </w:tcPr>
          <w:p w14:paraId="4643BB25">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eastAsia"/>
                <w:b w:val="0"/>
                <w:i w:val="0"/>
                <w:color w:val="000000"/>
                <w:highlight w:val="none"/>
                <w:lang w:val="en-US" w:eastAsia="zh-CN"/>
              </w:rPr>
              <w:t>886</w:t>
            </w:r>
          </w:p>
        </w:tc>
      </w:tr>
    </w:tbl>
    <w:p w14:paraId="02031CC9">
      <w:pPr>
        <w:keepNext w:val="0"/>
        <w:keepLines w:val="0"/>
        <w:widowControl w:val="0"/>
        <w:suppressLineNumbers w:val="0"/>
        <w:spacing w:before="182" w:beforeLines="76" w:beforeAutospacing="0" w:after="0" w:afterAutospacing="0" w:line="360" w:lineRule="auto"/>
        <w:ind w:left="0" w:right="0"/>
        <w:jc w:val="center"/>
        <w:rPr>
          <w:rFonts w:hint="default" w:ascii="Times New Roman" w:hAnsi="Times New Roman" w:eastAsia="楷体" w:cs="宋体"/>
          <w:kern w:val="2"/>
          <w:sz w:val="28"/>
          <w:szCs w:val="22"/>
          <w:highlight w:val="none"/>
          <w:lang w:val="en-US" w:eastAsia="zh-CN" w:bidi="ar-SA"/>
        </w:rPr>
      </w:pPr>
      <w:r>
        <w:rPr>
          <w:rFonts w:hint="default" w:ascii="Times New Roman" w:hAnsi="Times New Roman" w:eastAsia="楷体" w:cs="宋体"/>
          <w:kern w:val="2"/>
          <w:sz w:val="28"/>
          <w:szCs w:val="22"/>
          <w:highlight w:val="none"/>
          <w:lang w:val="en-US" w:eastAsia="zh-CN" w:bidi="ar-SA"/>
        </w:rPr>
        <w:drawing>
          <wp:inline distT="0" distB="0" distL="114300" distR="114300">
            <wp:extent cx="4723130" cy="2229485"/>
            <wp:effectExtent l="0" t="0" r="0" b="0"/>
            <wp:docPr id="47" name="图表 47"/>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inline>
        </w:drawing>
      </w:r>
    </w:p>
    <w:p w14:paraId="5D939529">
      <w:pPr>
        <w:pStyle w:val="5"/>
        <w:bidi w:val="0"/>
        <w:spacing w:line="360" w:lineRule="auto"/>
        <w:rPr>
          <w:rFonts w:hint="default"/>
          <w:highlight w:val="none"/>
          <w:lang w:val="en-US" w:eastAsia="zh-CN"/>
        </w:rPr>
      </w:pPr>
      <w:r>
        <w:rPr>
          <w:rFonts w:hint="eastAsia"/>
          <w:highlight w:val="none"/>
          <w:lang w:val="en-US"/>
        </w:rPr>
        <w:t>图8-4</w:t>
      </w:r>
      <w:r>
        <w:rPr>
          <w:rFonts w:hint="eastAsia"/>
          <w:highlight w:val="none"/>
          <w:lang w:val="en-US" w:eastAsia="zh-CN"/>
        </w:rPr>
        <w:t xml:space="preserve"> </w:t>
      </w:r>
      <w:r>
        <w:rPr>
          <w:rFonts w:hint="eastAsia"/>
          <w:highlight w:val="none"/>
          <w:lang w:val="en-US"/>
        </w:rPr>
        <w:t>收入趋势图</w:t>
      </w:r>
    </w:p>
    <w:p w14:paraId="7BDD066F">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562" w:firstLineChars="200"/>
        <w:textAlignment w:val="auto"/>
        <w:rPr>
          <w:rFonts w:hint="eastAsia"/>
          <w:b/>
          <w:bCs/>
          <w:highlight w:val="none"/>
          <w:lang w:val="en-US" w:eastAsia="zh-CN"/>
        </w:rPr>
      </w:pPr>
      <w:r>
        <w:rPr>
          <w:rFonts w:hint="eastAsia" w:ascii="Times New Roman" w:hAnsi="Times New Roman" w:eastAsia="楷体" w:cs="宋体"/>
          <w:b/>
          <w:bCs/>
          <w:kern w:val="2"/>
          <w:sz w:val="28"/>
          <w:szCs w:val="22"/>
          <w:highlight w:val="none"/>
          <w:lang w:val="en-US" w:eastAsia="zh-CN" w:bidi="ar-SA"/>
        </w:rPr>
        <w:t>（2）</w:t>
      </w:r>
      <w:r>
        <w:rPr>
          <w:rFonts w:hint="eastAsia"/>
          <w:b/>
          <w:bCs/>
          <w:highlight w:val="none"/>
          <w:lang w:val="en-US" w:eastAsia="zh-CN"/>
        </w:rPr>
        <w:t>成本费用分析</w:t>
      </w:r>
    </w:p>
    <w:p w14:paraId="7E0C2F86">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560" w:firstLineChars="200"/>
        <w:textAlignment w:val="auto"/>
        <w:rPr>
          <w:rFonts w:hint="eastAsia"/>
          <w:highlight w:val="none"/>
          <w:lang w:val="en-US" w:eastAsia="zh-CN"/>
        </w:rPr>
      </w:pPr>
      <w:r>
        <w:rPr>
          <w:rFonts w:hint="eastAsia"/>
          <w:highlight w:val="none"/>
          <w:lang w:val="en-US" w:eastAsia="zh-CN"/>
        </w:rPr>
        <w:t>项目的单位成本具体如下：</w:t>
      </w:r>
    </w:p>
    <w:p w14:paraId="56CF7B6E">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560" w:firstLineChars="200"/>
        <w:textAlignment w:val="auto"/>
        <w:rPr>
          <w:rFonts w:hint="eastAsia"/>
          <w:highlight w:val="none"/>
          <w:lang w:val="en-US"/>
        </w:rPr>
      </w:pPr>
      <w:r>
        <w:rPr>
          <w:rFonts w:hint="eastAsia"/>
          <w:highlight w:val="none"/>
          <w:lang w:val="en-US" w:eastAsia="zh-CN"/>
        </w:rPr>
        <w:t>每个新型简易隔震支座需要3kg的短切玻璃纤维，单价为74元；</w:t>
      </w:r>
    </w:p>
    <w:p w14:paraId="01F9BD8D">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560" w:firstLineChars="200"/>
        <w:textAlignment w:val="auto"/>
        <w:rPr>
          <w:rFonts w:hint="eastAsia"/>
          <w:highlight w:val="none"/>
          <w:lang w:val="en-US"/>
        </w:rPr>
      </w:pPr>
      <w:r>
        <w:rPr>
          <w:rFonts w:hint="eastAsia"/>
          <w:highlight w:val="none"/>
          <w:lang w:val="en-US" w:eastAsia="zh-CN"/>
        </w:rPr>
        <w:t>需要</w:t>
      </w:r>
      <w:r>
        <w:rPr>
          <w:rFonts w:hint="default"/>
          <w:highlight w:val="none"/>
          <w:lang w:val="en-US" w:eastAsia="zh-CN"/>
        </w:rPr>
        <w:t>3836.16cm³</w:t>
      </w:r>
      <w:r>
        <w:rPr>
          <w:rFonts w:hint="eastAsia"/>
          <w:highlight w:val="none"/>
          <w:lang w:val="en-US" w:eastAsia="zh-CN"/>
        </w:rPr>
        <w:t>的天然橡胶，单价为31元；</w:t>
      </w:r>
    </w:p>
    <w:p w14:paraId="43930869">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560" w:firstLineChars="200"/>
        <w:textAlignment w:val="auto"/>
        <w:rPr>
          <w:rFonts w:hint="eastAsia"/>
          <w:highlight w:val="none"/>
          <w:lang w:val="en-US" w:eastAsia="zh-CN"/>
        </w:rPr>
      </w:pPr>
      <w:r>
        <w:rPr>
          <w:rFonts w:hint="eastAsia"/>
          <w:highlight w:val="none"/>
          <w:lang w:val="en-US" w:eastAsia="zh-CN"/>
        </w:rPr>
        <w:t>需要</w:t>
      </w:r>
      <w:r>
        <w:rPr>
          <w:rFonts w:hint="default"/>
          <w:highlight w:val="none"/>
          <w:lang w:val="en-US" w:eastAsia="zh-CN"/>
        </w:rPr>
        <w:t>7kg</w:t>
      </w:r>
      <w:r>
        <w:rPr>
          <w:rFonts w:hint="eastAsia"/>
          <w:highlight w:val="none"/>
          <w:lang w:val="en-US" w:eastAsia="zh-CN"/>
        </w:rPr>
        <w:t>的聚丙烯酸酯，单价为104元；</w:t>
      </w:r>
    </w:p>
    <w:p w14:paraId="12D25E20">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560" w:firstLineChars="200"/>
        <w:textAlignment w:val="auto"/>
        <w:rPr>
          <w:rFonts w:hint="eastAsia"/>
          <w:highlight w:val="none"/>
          <w:lang w:val="en-US" w:eastAsia="zh-CN"/>
        </w:rPr>
      </w:pPr>
      <w:r>
        <w:rPr>
          <w:rFonts w:hint="eastAsia"/>
          <w:highlight w:val="none"/>
          <w:lang w:val="en-US" w:eastAsia="zh-CN"/>
        </w:rPr>
        <w:t>需要</w:t>
      </w:r>
      <w:r>
        <w:rPr>
          <w:rFonts w:hint="default"/>
          <w:highlight w:val="none"/>
          <w:lang w:val="en-US" w:eastAsia="zh-CN"/>
        </w:rPr>
        <w:t>0.25kg</w:t>
      </w:r>
      <w:r>
        <w:rPr>
          <w:rFonts w:hint="eastAsia"/>
          <w:highlight w:val="none"/>
          <w:lang w:val="en-US" w:eastAsia="zh-CN"/>
        </w:rPr>
        <w:t>的粘黏剂，单价为2元；</w:t>
      </w:r>
    </w:p>
    <w:p w14:paraId="6EB47611">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560" w:firstLineChars="200"/>
        <w:textAlignment w:val="auto"/>
        <w:rPr>
          <w:rFonts w:hint="eastAsia"/>
          <w:highlight w:val="none"/>
          <w:lang w:val="en-US" w:eastAsia="zh-CN"/>
        </w:rPr>
      </w:pPr>
      <w:r>
        <w:rPr>
          <w:rFonts w:hint="eastAsia"/>
          <w:highlight w:val="none"/>
          <w:lang w:val="en-US" w:eastAsia="zh-CN"/>
        </w:rPr>
        <w:t>耗费代工人工费3—5h，单位价格为62元；</w:t>
      </w:r>
    </w:p>
    <w:p w14:paraId="6B8C9234">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560" w:firstLineChars="200"/>
        <w:textAlignment w:val="auto"/>
        <w:rPr>
          <w:rFonts w:hint="eastAsia"/>
          <w:highlight w:val="none"/>
          <w:lang w:val="en-US"/>
        </w:rPr>
      </w:pPr>
      <w:r>
        <w:rPr>
          <w:rFonts w:hint="eastAsia"/>
          <w:highlight w:val="none"/>
          <w:lang w:val="en-US" w:eastAsia="zh-CN"/>
        </w:rPr>
        <w:t>其他（水电及设备损耗）为77元；</w:t>
      </w:r>
    </w:p>
    <w:p w14:paraId="4D359050">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560" w:firstLineChars="200"/>
        <w:textAlignment w:val="auto"/>
        <w:rPr>
          <w:rFonts w:hint="eastAsia"/>
          <w:b/>
          <w:bCs/>
          <w:highlight w:val="none"/>
          <w:lang w:val="en-US" w:eastAsia="zh-CN"/>
        </w:rPr>
      </w:pPr>
      <w:r>
        <w:rPr>
          <w:rFonts w:hint="eastAsia"/>
          <w:highlight w:val="none"/>
          <w:lang w:val="en-US" w:eastAsia="zh-CN"/>
        </w:rPr>
        <w:t>因此每个新型简易隔震支座的价格为350元/个。</w:t>
      </w:r>
    </w:p>
    <w:p w14:paraId="5B39EE3D">
      <w:pPr>
        <w:pStyle w:val="5"/>
        <w:bidi w:val="0"/>
        <w:spacing w:after="53" w:afterLines="22" w:afterAutospacing="0" w:line="360" w:lineRule="auto"/>
        <w:rPr>
          <w:rFonts w:hint="eastAsia"/>
          <w:highlight w:val="none"/>
          <w:lang w:val="en-US"/>
        </w:rPr>
      </w:pPr>
      <w:r>
        <w:rPr>
          <w:rFonts w:hint="eastAsia"/>
          <w:highlight w:val="none"/>
          <w:lang w:val="en-US"/>
        </w:rPr>
        <w:t>表8-4</w:t>
      </w:r>
      <w:r>
        <w:rPr>
          <w:rFonts w:hint="eastAsia"/>
          <w:highlight w:val="none"/>
          <w:lang w:val="en-US" w:eastAsia="zh-CN"/>
        </w:rPr>
        <w:t xml:space="preserve"> 总</w:t>
      </w:r>
      <w:r>
        <w:rPr>
          <w:rFonts w:hint="eastAsia"/>
          <w:highlight w:val="none"/>
          <w:lang w:val="en-US"/>
        </w:rPr>
        <w:t>成本表</w:t>
      </w: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3097"/>
        <w:gridCol w:w="3097"/>
        <w:gridCol w:w="3098"/>
      </w:tblGrid>
      <w:tr w14:paraId="6ADB1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666" w:type="pct"/>
            <w:tcBorders>
              <w:top w:val="single" w:color="4F81BD" w:themeColor="accent1" w:sz="6" w:space="0"/>
              <w:left w:val="single" w:color="4F81BD" w:themeColor="accent1" w:sz="6" w:space="0"/>
              <w:bottom w:val="single" w:color="4F81BD" w:themeColor="accent1" w:sz="6" w:space="0"/>
              <w:right w:val="single" w:color="B8CCE4" w:themeColor="accent1" w:themeTint="66" w:sz="6" w:space="0"/>
            </w:tcBorders>
            <w:shd w:val="clear" w:color="auto" w:fill="4F81BD" w:themeFill="accent1"/>
            <w:vAlign w:val="center"/>
          </w:tcPr>
          <w:p w14:paraId="73FB51B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b/>
                <w:bCs/>
                <w:i w:val="0"/>
                <w:color w:val="FFFFFF"/>
                <w:highlight w:val="none"/>
                <w:lang w:val="en-US"/>
              </w:rPr>
            </w:pPr>
            <w:r>
              <w:rPr>
                <w:rFonts w:hint="eastAsia"/>
                <w:b/>
                <w:bCs/>
                <w:i w:val="0"/>
                <w:color w:val="FFFFFF"/>
                <w:highlight w:val="none"/>
                <w:lang w:val="en-US" w:eastAsia="zh-CN"/>
              </w:rPr>
              <w:t>项目</w:t>
            </w:r>
          </w:p>
        </w:tc>
        <w:tc>
          <w:tcPr>
            <w:tcW w:w="1666" w:type="pct"/>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vAlign w:val="center"/>
          </w:tcPr>
          <w:p w14:paraId="2370859C">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bCs/>
                <w:i w:val="0"/>
                <w:color w:val="FFFFFF"/>
                <w:highlight w:val="none"/>
                <w:lang w:val="en-US"/>
              </w:rPr>
            </w:pPr>
            <w:r>
              <w:rPr>
                <w:rFonts w:hint="eastAsia"/>
                <w:b/>
                <w:bCs/>
                <w:i w:val="0"/>
                <w:color w:val="FFFFFF"/>
                <w:highlight w:val="none"/>
                <w:lang w:val="en-US" w:eastAsia="zh-CN"/>
              </w:rPr>
              <w:t>每个产品用料</w:t>
            </w:r>
          </w:p>
        </w:tc>
        <w:tc>
          <w:tcPr>
            <w:tcW w:w="1666" w:type="pct"/>
            <w:tcBorders>
              <w:top w:val="single" w:color="4F81BD" w:themeColor="accent1" w:sz="6" w:space="0"/>
              <w:left w:val="single" w:color="B8CCE4" w:themeColor="accent1" w:themeTint="66" w:sz="6" w:space="0"/>
              <w:bottom w:val="single" w:color="4F81BD" w:themeColor="accent1" w:sz="6" w:space="0"/>
              <w:right w:val="single" w:color="4F81BD" w:themeColor="accent1" w:sz="6" w:space="0"/>
            </w:tcBorders>
            <w:shd w:val="clear" w:color="auto" w:fill="4F81BD" w:themeFill="accent1"/>
            <w:vAlign w:val="center"/>
          </w:tcPr>
          <w:p w14:paraId="3350C2DC">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bCs/>
                <w:i w:val="0"/>
                <w:color w:val="FFFFFF"/>
                <w:highlight w:val="none"/>
                <w:lang w:val="en-US"/>
              </w:rPr>
            </w:pPr>
            <w:r>
              <w:rPr>
                <w:rFonts w:hint="eastAsia"/>
                <w:b/>
                <w:bCs/>
                <w:i w:val="0"/>
                <w:color w:val="FFFFFF"/>
                <w:highlight w:val="none"/>
                <w:lang w:val="en-US" w:eastAsia="zh-CN"/>
              </w:rPr>
              <w:t>单位价格（元）</w:t>
            </w:r>
          </w:p>
        </w:tc>
      </w:tr>
      <w:tr w14:paraId="2677C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Borders>
              <w:top w:val="single" w:color="4F81BD" w:themeColor="accent1"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0B5066CE">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eastAsia"/>
                <w:b w:val="0"/>
                <w:i w:val="0"/>
                <w:color w:val="000000"/>
                <w:highlight w:val="none"/>
                <w:lang w:val="en-US" w:eastAsia="zh-CN"/>
              </w:rPr>
              <w:t>短切玻璃纤维</w:t>
            </w:r>
          </w:p>
        </w:tc>
        <w:tc>
          <w:tcPr>
            <w:tcW w:w="1666" w:type="pct"/>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169FD773">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default"/>
                <w:b w:val="0"/>
                <w:i w:val="0"/>
                <w:color w:val="000000"/>
                <w:highlight w:val="none"/>
                <w:lang w:val="en-US" w:eastAsia="zh-CN"/>
              </w:rPr>
              <w:t>3kg</w:t>
            </w:r>
          </w:p>
        </w:tc>
        <w:tc>
          <w:tcPr>
            <w:tcW w:w="1666" w:type="pct"/>
            <w:tcBorders>
              <w:top w:val="single" w:color="4F81BD" w:themeColor="accent1"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7EC6C71B">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eastAsia"/>
                <w:b w:val="0"/>
                <w:i w:val="0"/>
                <w:color w:val="000000"/>
                <w:highlight w:val="none"/>
                <w:lang w:val="en-US" w:eastAsia="zh-CN"/>
              </w:rPr>
              <w:t>74</w:t>
            </w:r>
          </w:p>
        </w:tc>
      </w:tr>
      <w:tr w14:paraId="2BD40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56A4CE79">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eastAsia"/>
                <w:b w:val="0"/>
                <w:i w:val="0"/>
                <w:color w:val="000000"/>
                <w:highlight w:val="none"/>
                <w:lang w:val="en-US" w:eastAsia="zh-CN"/>
              </w:rPr>
              <w:t>天然橡胶</w:t>
            </w:r>
          </w:p>
        </w:tc>
        <w:tc>
          <w:tcPr>
            <w:tcW w:w="1666" w:type="pct"/>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722DC255">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default"/>
                <w:b w:val="0"/>
                <w:i w:val="0"/>
                <w:color w:val="000000"/>
                <w:highlight w:val="none"/>
                <w:lang w:val="en-US" w:eastAsia="zh-CN"/>
              </w:rPr>
              <w:t>3836.16cm³</w:t>
            </w:r>
          </w:p>
        </w:tc>
        <w:tc>
          <w:tcPr>
            <w:tcW w:w="1666" w:type="pct"/>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1B564AC5">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eastAsia"/>
                <w:b w:val="0"/>
                <w:i w:val="0"/>
                <w:color w:val="000000"/>
                <w:highlight w:val="none"/>
                <w:lang w:val="en-US" w:eastAsia="zh-CN"/>
              </w:rPr>
              <w:t>31</w:t>
            </w:r>
          </w:p>
        </w:tc>
      </w:tr>
      <w:tr w14:paraId="5AE7A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51CA98C2">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eastAsia"/>
                <w:b w:val="0"/>
                <w:i w:val="0"/>
                <w:color w:val="000000"/>
                <w:highlight w:val="none"/>
                <w:lang w:val="en-US" w:eastAsia="zh-CN"/>
              </w:rPr>
              <w:t>聚丙烯酸酯</w:t>
            </w:r>
          </w:p>
        </w:tc>
        <w:tc>
          <w:tcPr>
            <w:tcW w:w="1666" w:type="pct"/>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31D4B826">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default"/>
                <w:b w:val="0"/>
                <w:i w:val="0"/>
                <w:color w:val="000000"/>
                <w:highlight w:val="none"/>
                <w:lang w:val="en-US" w:eastAsia="zh-CN"/>
              </w:rPr>
              <w:t>7kg</w:t>
            </w:r>
          </w:p>
        </w:tc>
        <w:tc>
          <w:tcPr>
            <w:tcW w:w="1666" w:type="pct"/>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5A2837BA">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eastAsia"/>
                <w:b w:val="0"/>
                <w:i w:val="0"/>
                <w:color w:val="000000"/>
                <w:highlight w:val="none"/>
                <w:lang w:val="en-US" w:eastAsia="zh-CN"/>
              </w:rPr>
              <w:t>104</w:t>
            </w:r>
          </w:p>
        </w:tc>
      </w:tr>
      <w:tr w14:paraId="296C9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7A35DE71">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eastAsia"/>
                <w:b w:val="0"/>
                <w:i w:val="0"/>
                <w:color w:val="000000"/>
                <w:highlight w:val="none"/>
                <w:lang w:val="en-US" w:eastAsia="zh-CN"/>
              </w:rPr>
              <w:t>粘黏剂</w:t>
            </w:r>
          </w:p>
        </w:tc>
        <w:tc>
          <w:tcPr>
            <w:tcW w:w="1666" w:type="pct"/>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44C6338F">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default"/>
                <w:b w:val="0"/>
                <w:i w:val="0"/>
                <w:color w:val="000000"/>
                <w:highlight w:val="none"/>
                <w:lang w:val="en-US" w:eastAsia="zh-CN"/>
              </w:rPr>
              <w:t>0.25kg</w:t>
            </w:r>
          </w:p>
        </w:tc>
        <w:tc>
          <w:tcPr>
            <w:tcW w:w="1666" w:type="pct"/>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28494F14">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eastAsia"/>
                <w:b w:val="0"/>
                <w:i w:val="0"/>
                <w:color w:val="000000"/>
                <w:highlight w:val="none"/>
                <w:lang w:val="en-US" w:eastAsia="zh-CN"/>
              </w:rPr>
              <w:t>2</w:t>
            </w:r>
          </w:p>
        </w:tc>
      </w:tr>
      <w:tr w14:paraId="0E5C9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47695056">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eastAsia"/>
                <w:b w:val="0"/>
                <w:i w:val="0"/>
                <w:color w:val="000000"/>
                <w:highlight w:val="none"/>
                <w:lang w:val="en-US" w:eastAsia="zh-CN"/>
              </w:rPr>
              <w:t>代工费</w:t>
            </w:r>
          </w:p>
        </w:tc>
        <w:tc>
          <w:tcPr>
            <w:tcW w:w="1666" w:type="pct"/>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2344A72C">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default"/>
                <w:b w:val="0"/>
                <w:i w:val="0"/>
                <w:color w:val="000000"/>
                <w:highlight w:val="none"/>
                <w:lang w:val="en-US" w:eastAsia="zh-CN"/>
              </w:rPr>
              <w:t>3-5h</w:t>
            </w:r>
          </w:p>
        </w:tc>
        <w:tc>
          <w:tcPr>
            <w:tcW w:w="1666" w:type="pct"/>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47434355">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eastAsia"/>
                <w:b w:val="0"/>
                <w:i w:val="0"/>
                <w:color w:val="000000"/>
                <w:highlight w:val="none"/>
                <w:lang w:val="en-US" w:eastAsia="zh-CN"/>
              </w:rPr>
              <w:t>62</w:t>
            </w:r>
          </w:p>
        </w:tc>
      </w:tr>
      <w:tr w14:paraId="17754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60" w:hRule="atLeast"/>
          <w:jc w:val="center"/>
        </w:trPr>
        <w:tc>
          <w:tcPr>
            <w:tcW w:w="1666" w:type="pct"/>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184FABA8">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eastAsia"/>
                <w:b w:val="0"/>
                <w:i w:val="0"/>
                <w:color w:val="000000"/>
                <w:highlight w:val="none"/>
                <w:lang w:val="en-US" w:eastAsia="zh-CN"/>
              </w:rPr>
              <w:t>其他费用</w:t>
            </w:r>
          </w:p>
        </w:tc>
        <w:tc>
          <w:tcPr>
            <w:tcW w:w="1666" w:type="pct"/>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260CD915">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eastAsia"/>
                <w:b w:val="0"/>
                <w:i w:val="0"/>
                <w:color w:val="000000"/>
                <w:highlight w:val="none"/>
                <w:lang w:val="en-US" w:eastAsia="zh-CN"/>
              </w:rPr>
              <w:t>——</w:t>
            </w:r>
          </w:p>
        </w:tc>
        <w:tc>
          <w:tcPr>
            <w:tcW w:w="1666" w:type="pct"/>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6EE4114E">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eastAsia"/>
                <w:b w:val="0"/>
                <w:i w:val="0"/>
                <w:color w:val="000000"/>
                <w:highlight w:val="none"/>
                <w:lang w:val="en-US" w:eastAsia="zh-CN"/>
              </w:rPr>
              <w:t>77</w:t>
            </w:r>
          </w:p>
        </w:tc>
      </w:tr>
      <w:tr w14:paraId="22819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Borders>
              <w:top w:val="single" w:color="B8CCE4" w:themeColor="accent1" w:themeTint="66" w:sz="6" w:space="0"/>
              <w:left w:val="single" w:color="4F81BD" w:themeColor="accent1" w:sz="6" w:space="0"/>
              <w:bottom w:val="single" w:color="4F81BD" w:themeColor="accent1" w:sz="6" w:space="0"/>
              <w:right w:val="single" w:color="B8CCE4" w:themeColor="accent1" w:themeTint="66" w:sz="6" w:space="0"/>
            </w:tcBorders>
            <w:shd w:val="clear" w:color="auto" w:fill="EDF2F8" w:themeFill="accent1" w:themeFillTint="19"/>
            <w:vAlign w:val="center"/>
          </w:tcPr>
          <w:p w14:paraId="4BE518BC">
            <w:pPr>
              <w:keepNext w:val="0"/>
              <w:keepLines w:val="0"/>
              <w:pageBreakBefore w:val="0"/>
              <w:widowControl w:val="0"/>
              <w:numPr>
                <w:ilvl w:val="0"/>
                <w:numId w:val="0"/>
              </w:numPr>
              <w:kinsoku/>
              <w:wordWrap/>
              <w:overflowPunct/>
              <w:topLinePunct w:val="0"/>
              <w:autoSpaceDE/>
              <w:autoSpaceDN/>
              <w:bidi w:val="0"/>
              <w:adjustRightInd/>
              <w:snapToGrid/>
              <w:spacing w:afterAutospacing="0" w:line="240" w:lineRule="auto"/>
              <w:jc w:val="center"/>
              <w:textAlignment w:val="auto"/>
              <w:rPr>
                <w:rFonts w:hint="default"/>
                <w:b w:val="0"/>
                <w:i w:val="0"/>
                <w:color w:val="000000"/>
                <w:highlight w:val="none"/>
                <w:lang w:val="en-US"/>
              </w:rPr>
            </w:pPr>
            <w:r>
              <w:rPr>
                <w:rFonts w:hint="eastAsia"/>
                <w:b w:val="0"/>
                <w:i w:val="0"/>
                <w:color w:val="000000"/>
                <w:highlight w:val="none"/>
                <w:lang w:val="en-US" w:eastAsia="zh-CN"/>
              </w:rPr>
              <w:t>合计</w:t>
            </w:r>
          </w:p>
        </w:tc>
        <w:tc>
          <w:tcPr>
            <w:tcW w:w="1666" w:type="pct"/>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FFFFFF"/>
            <w:vAlign w:val="center"/>
          </w:tcPr>
          <w:p w14:paraId="1013D482">
            <w:pPr>
              <w:keepNext w:val="0"/>
              <w:keepLines w:val="0"/>
              <w:pageBreakBefore w:val="0"/>
              <w:widowControl w:val="0"/>
              <w:numPr>
                <w:ilvl w:val="0"/>
                <w:numId w:val="0"/>
              </w:numPr>
              <w:kinsoku/>
              <w:wordWrap/>
              <w:overflowPunct/>
              <w:topLinePunct w:val="0"/>
              <w:autoSpaceDE/>
              <w:autoSpaceDN/>
              <w:bidi w:val="0"/>
              <w:adjustRightInd/>
              <w:snapToGrid/>
              <w:spacing w:afterAutospacing="0" w:line="240" w:lineRule="auto"/>
              <w:jc w:val="center"/>
              <w:textAlignment w:val="auto"/>
              <w:rPr>
                <w:rFonts w:hint="default"/>
                <w:b w:val="0"/>
                <w:i w:val="0"/>
                <w:color w:val="000000"/>
                <w:highlight w:val="none"/>
                <w:lang w:val="en-US"/>
              </w:rPr>
            </w:pPr>
            <w:r>
              <w:rPr>
                <w:rFonts w:hint="eastAsia"/>
                <w:b w:val="0"/>
                <w:i w:val="0"/>
                <w:color w:val="000000"/>
                <w:highlight w:val="none"/>
                <w:lang w:val="en-US" w:eastAsia="zh-CN"/>
              </w:rPr>
              <w:t>——</w:t>
            </w:r>
          </w:p>
        </w:tc>
        <w:tc>
          <w:tcPr>
            <w:tcW w:w="1666" w:type="pct"/>
            <w:tcBorders>
              <w:top w:val="single" w:color="B8CCE4" w:themeColor="accent1" w:themeTint="66" w:sz="6" w:space="0"/>
              <w:left w:val="single" w:color="B8CCE4" w:themeColor="accent1" w:themeTint="66" w:sz="6" w:space="0"/>
              <w:bottom w:val="single" w:color="4F81BD" w:themeColor="accent1" w:sz="6" w:space="0"/>
              <w:right w:val="single" w:color="4F81BD" w:themeColor="accent1" w:sz="6" w:space="0"/>
            </w:tcBorders>
            <w:shd w:val="clear" w:color="auto" w:fill="EDF2F8" w:themeFill="accent1" w:themeFillTint="19"/>
            <w:vAlign w:val="center"/>
          </w:tcPr>
          <w:p w14:paraId="1EDBC36B">
            <w:pPr>
              <w:keepNext w:val="0"/>
              <w:keepLines w:val="0"/>
              <w:pageBreakBefore w:val="0"/>
              <w:widowControl w:val="0"/>
              <w:numPr>
                <w:ilvl w:val="0"/>
                <w:numId w:val="0"/>
              </w:numPr>
              <w:kinsoku/>
              <w:wordWrap/>
              <w:overflowPunct/>
              <w:topLinePunct w:val="0"/>
              <w:autoSpaceDE/>
              <w:autoSpaceDN/>
              <w:bidi w:val="0"/>
              <w:adjustRightInd/>
              <w:snapToGrid/>
              <w:spacing w:afterAutospacing="0" w:line="240" w:lineRule="auto"/>
              <w:jc w:val="center"/>
              <w:textAlignment w:val="auto"/>
              <w:rPr>
                <w:rFonts w:hint="default"/>
                <w:b w:val="0"/>
                <w:i w:val="0"/>
                <w:color w:val="000000"/>
                <w:highlight w:val="none"/>
                <w:lang w:val="en-US"/>
              </w:rPr>
            </w:pPr>
            <w:r>
              <w:rPr>
                <w:rFonts w:hint="eastAsia"/>
                <w:b w:val="0"/>
                <w:i w:val="0"/>
                <w:color w:val="000000"/>
                <w:highlight w:val="none"/>
                <w:lang w:val="en-US" w:eastAsia="zh-CN"/>
              </w:rPr>
              <w:t>350</w:t>
            </w:r>
          </w:p>
        </w:tc>
      </w:tr>
    </w:tbl>
    <w:p w14:paraId="32A06519">
      <w:pPr>
        <w:keepNext w:val="0"/>
        <w:keepLines w:val="0"/>
        <w:pageBreakBefore w:val="0"/>
        <w:widowControl w:val="0"/>
        <w:numPr>
          <w:ilvl w:val="0"/>
          <w:numId w:val="0"/>
        </w:numPr>
        <w:kinsoku/>
        <w:wordWrap/>
        <w:overflowPunct/>
        <w:topLinePunct w:val="0"/>
        <w:autoSpaceDE/>
        <w:autoSpaceDN/>
        <w:bidi w:val="0"/>
        <w:adjustRightInd/>
        <w:snapToGrid/>
        <w:spacing w:afterAutospacing="0" w:line="240" w:lineRule="auto"/>
        <w:textAlignment w:val="auto"/>
        <w:rPr>
          <w:rFonts w:hint="eastAsia"/>
          <w:highlight w:val="none"/>
          <w:lang w:val="en-US" w:eastAsia="zh-CN"/>
        </w:rPr>
      </w:pPr>
    </w:p>
    <w:p w14:paraId="5B016741">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560" w:firstLineChars="200"/>
        <w:textAlignment w:val="auto"/>
        <w:rPr>
          <w:rFonts w:hint="eastAsia"/>
          <w:highlight w:val="none"/>
          <w:lang w:val="en-US" w:eastAsia="zh-CN"/>
        </w:rPr>
      </w:pPr>
      <w:r>
        <w:rPr>
          <w:rFonts w:hint="eastAsia"/>
          <w:highlight w:val="none"/>
          <w:lang w:val="en-US" w:eastAsia="zh-CN"/>
        </w:rPr>
        <w:t>第一年的销售量根据预测大概为400个，未来5年按照20%左右的增长速度不规律增长，最后得到以下如图未来5年项目的总成本预测。</w:t>
      </w:r>
    </w:p>
    <w:p w14:paraId="4C98BC7F">
      <w:pPr>
        <w:pStyle w:val="5"/>
        <w:bidi w:val="0"/>
        <w:spacing w:before="120" w:beforeLines="50" w:beforeAutospacing="0" w:after="120" w:afterLines="50" w:afterAutospacing="0" w:line="360" w:lineRule="auto"/>
        <w:rPr>
          <w:rFonts w:hint="eastAsia"/>
          <w:highlight w:val="none"/>
          <w:lang w:val="en-US" w:eastAsia="zh-CN"/>
        </w:rPr>
      </w:pPr>
      <w:r>
        <w:rPr>
          <w:rFonts w:hint="eastAsia"/>
          <w:highlight w:val="none"/>
          <w:lang w:val="en-US"/>
        </w:rPr>
        <w:t>表8-5</w:t>
      </w:r>
      <w:r>
        <w:rPr>
          <w:rFonts w:hint="eastAsia"/>
          <w:highlight w:val="none"/>
          <w:lang w:val="en-US" w:eastAsia="zh-CN"/>
        </w:rPr>
        <w:t xml:space="preserve"> </w:t>
      </w:r>
      <w:r>
        <w:rPr>
          <w:rFonts w:hint="eastAsia"/>
          <w:highlight w:val="none"/>
          <w:lang w:val="en-US"/>
        </w:rPr>
        <w:t>总成本预测表</w:t>
      </w:r>
    </w:p>
    <w:tbl>
      <w:tblPr>
        <w:tblStyle w:val="18"/>
        <w:tblW w:w="494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657"/>
        <w:gridCol w:w="2890"/>
        <w:gridCol w:w="2278"/>
        <w:gridCol w:w="2357"/>
      </w:tblGrid>
      <w:tr w14:paraId="00CB7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29" w:hRule="atLeast"/>
          <w:jc w:val="center"/>
        </w:trPr>
        <w:tc>
          <w:tcPr>
            <w:tcW w:w="902" w:type="pct"/>
            <w:tcBorders>
              <w:top w:val="single" w:color="4F81BD" w:themeColor="accent1" w:sz="6" w:space="0"/>
              <w:left w:val="single" w:color="4F81BD" w:themeColor="accent1" w:sz="6" w:space="0"/>
              <w:bottom w:val="single" w:color="4F81BD" w:themeColor="accent1" w:sz="6" w:space="0"/>
              <w:right w:val="single" w:color="B8CCE4" w:themeColor="accent1" w:themeTint="66" w:sz="6" w:space="0"/>
            </w:tcBorders>
            <w:shd w:val="clear" w:color="auto" w:fill="4F81BD" w:themeFill="accent1"/>
            <w:vAlign w:val="center"/>
          </w:tcPr>
          <w:p w14:paraId="292BF6B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b/>
                <w:i w:val="0"/>
                <w:color w:val="FFFFFF"/>
                <w:highlight w:val="none"/>
                <w:lang w:val="en-US" w:eastAsia="zh-CN"/>
              </w:rPr>
            </w:pPr>
            <w:r>
              <w:rPr>
                <w:rFonts w:hint="eastAsia"/>
                <w:b/>
                <w:i w:val="0"/>
                <w:color w:val="FFFFFF"/>
                <w:highlight w:val="none"/>
                <w:lang w:val="en-US" w:eastAsia="zh-CN"/>
              </w:rPr>
              <w:t>年份</w:t>
            </w:r>
          </w:p>
        </w:tc>
        <w:tc>
          <w:tcPr>
            <w:tcW w:w="1573" w:type="pct"/>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vAlign w:val="center"/>
          </w:tcPr>
          <w:p w14:paraId="7ADAC5EC">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i w:val="0"/>
                <w:color w:val="FFFFFF"/>
                <w:highlight w:val="none"/>
                <w:lang w:val="en-US" w:eastAsia="zh-CN"/>
              </w:rPr>
            </w:pPr>
            <w:r>
              <w:rPr>
                <w:rFonts w:hint="eastAsia"/>
                <w:b/>
                <w:i w:val="0"/>
                <w:color w:val="FFFFFF"/>
                <w:highlight w:val="none"/>
                <w:lang w:val="en-US" w:eastAsia="zh-CN"/>
              </w:rPr>
              <w:t>单位成本（元/个）</w:t>
            </w:r>
          </w:p>
        </w:tc>
        <w:tc>
          <w:tcPr>
            <w:tcW w:w="1240" w:type="pct"/>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vAlign w:val="center"/>
          </w:tcPr>
          <w:p w14:paraId="3677F2AF">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i w:val="0"/>
                <w:color w:val="FFFFFF"/>
                <w:highlight w:val="none"/>
                <w:lang w:val="en-US" w:eastAsia="zh-CN"/>
              </w:rPr>
            </w:pPr>
            <w:r>
              <w:rPr>
                <w:rFonts w:hint="eastAsia"/>
                <w:b/>
                <w:i w:val="0"/>
                <w:color w:val="FFFFFF"/>
                <w:highlight w:val="none"/>
                <w:lang w:val="en-US" w:eastAsia="zh-CN"/>
              </w:rPr>
              <w:t>销售量（个）</w:t>
            </w:r>
          </w:p>
        </w:tc>
        <w:tc>
          <w:tcPr>
            <w:tcW w:w="1283" w:type="pct"/>
            <w:tcBorders>
              <w:top w:val="single" w:color="4F81BD" w:themeColor="accent1" w:sz="6" w:space="0"/>
              <w:left w:val="single" w:color="B8CCE4" w:themeColor="accent1" w:themeTint="66" w:sz="6" w:space="0"/>
              <w:bottom w:val="single" w:color="4F81BD" w:themeColor="accent1" w:sz="6" w:space="0"/>
              <w:right w:val="single" w:color="4F81BD" w:themeColor="accent1" w:sz="6" w:space="0"/>
            </w:tcBorders>
            <w:shd w:val="clear" w:color="auto" w:fill="4F81BD" w:themeFill="accent1"/>
            <w:vAlign w:val="center"/>
          </w:tcPr>
          <w:p w14:paraId="727D67A1">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i w:val="0"/>
                <w:color w:val="FFFFFF"/>
                <w:highlight w:val="none"/>
                <w:lang w:val="en-US" w:eastAsia="zh-CN"/>
              </w:rPr>
            </w:pPr>
            <w:r>
              <w:rPr>
                <w:rFonts w:hint="eastAsia"/>
                <w:b/>
                <w:i w:val="0"/>
                <w:color w:val="FFFFFF"/>
                <w:highlight w:val="none"/>
                <w:lang w:val="en-US" w:eastAsia="zh-CN"/>
              </w:rPr>
              <w:t>总成本（万元）</w:t>
            </w:r>
          </w:p>
        </w:tc>
      </w:tr>
      <w:tr w14:paraId="5E8B6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24" w:hRule="atLeast"/>
          <w:jc w:val="center"/>
        </w:trPr>
        <w:tc>
          <w:tcPr>
            <w:tcW w:w="902" w:type="pct"/>
            <w:tcBorders>
              <w:top w:val="single" w:color="4F81BD" w:themeColor="accent1"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0CE25A8C">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eastAsia="zh-CN"/>
              </w:rPr>
            </w:pPr>
            <w:r>
              <w:rPr>
                <w:rFonts w:hint="default"/>
                <w:b w:val="0"/>
                <w:i w:val="0"/>
                <w:color w:val="000000"/>
                <w:highlight w:val="none"/>
                <w:lang w:val="en-US" w:eastAsia="zh-CN"/>
              </w:rPr>
              <w:t>202</w:t>
            </w:r>
            <w:r>
              <w:rPr>
                <w:rFonts w:hint="eastAsia"/>
                <w:b w:val="0"/>
                <w:i w:val="0"/>
                <w:color w:val="000000"/>
                <w:highlight w:val="none"/>
                <w:lang w:val="en-US" w:eastAsia="zh-CN"/>
              </w:rPr>
              <w:t>6</w:t>
            </w:r>
          </w:p>
        </w:tc>
        <w:tc>
          <w:tcPr>
            <w:tcW w:w="1573" w:type="pct"/>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1E295BCB">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eastAsia="zh-CN"/>
              </w:rPr>
            </w:pPr>
            <w:r>
              <w:rPr>
                <w:rFonts w:hint="eastAsia"/>
                <w:b w:val="0"/>
                <w:i w:val="0"/>
                <w:color w:val="000000"/>
                <w:highlight w:val="none"/>
                <w:lang w:val="en-US" w:eastAsia="zh-CN"/>
              </w:rPr>
              <w:t>350</w:t>
            </w:r>
          </w:p>
        </w:tc>
        <w:tc>
          <w:tcPr>
            <w:tcW w:w="1240" w:type="pct"/>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287B971D">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eastAsia="zh-CN"/>
              </w:rPr>
            </w:pPr>
            <w:r>
              <w:rPr>
                <w:rFonts w:hint="default"/>
                <w:b w:val="0"/>
                <w:i w:val="0"/>
                <w:color w:val="000000"/>
                <w:highlight w:val="none"/>
                <w:lang w:val="en-US" w:eastAsia="zh-CN"/>
              </w:rPr>
              <w:t>4800</w:t>
            </w:r>
          </w:p>
        </w:tc>
        <w:tc>
          <w:tcPr>
            <w:tcW w:w="1283" w:type="pct"/>
            <w:tcBorders>
              <w:top w:val="single" w:color="4F81BD" w:themeColor="accent1"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50E1416A">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eastAsia="zh-CN"/>
              </w:rPr>
            </w:pPr>
            <w:r>
              <w:rPr>
                <w:rFonts w:hint="eastAsia"/>
                <w:b w:val="0"/>
                <w:i w:val="0"/>
                <w:color w:val="000000"/>
                <w:highlight w:val="none"/>
                <w:lang w:val="en-US" w:eastAsia="zh-CN"/>
              </w:rPr>
              <w:t>168</w:t>
            </w:r>
          </w:p>
        </w:tc>
      </w:tr>
      <w:tr w14:paraId="568F1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902" w:type="pct"/>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6D0C84D2">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eastAsia="zh-CN"/>
              </w:rPr>
            </w:pPr>
            <w:r>
              <w:rPr>
                <w:rFonts w:hint="default"/>
                <w:b w:val="0"/>
                <w:i w:val="0"/>
                <w:color w:val="000000"/>
                <w:highlight w:val="none"/>
                <w:lang w:val="en-US" w:eastAsia="zh-CN"/>
              </w:rPr>
              <w:t>202</w:t>
            </w:r>
            <w:r>
              <w:rPr>
                <w:rFonts w:hint="eastAsia"/>
                <w:b w:val="0"/>
                <w:i w:val="0"/>
                <w:color w:val="000000"/>
                <w:highlight w:val="none"/>
                <w:lang w:val="en-US" w:eastAsia="zh-CN"/>
              </w:rPr>
              <w:t>7</w:t>
            </w:r>
          </w:p>
        </w:tc>
        <w:tc>
          <w:tcPr>
            <w:tcW w:w="1573" w:type="pct"/>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04DA6EBE">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eastAsia="zh-CN"/>
              </w:rPr>
            </w:pPr>
            <w:r>
              <w:rPr>
                <w:rFonts w:hint="eastAsia"/>
                <w:b w:val="0"/>
                <w:i w:val="0"/>
                <w:color w:val="000000"/>
                <w:highlight w:val="none"/>
                <w:lang w:val="en-US" w:eastAsia="zh-CN"/>
              </w:rPr>
              <w:t>350</w:t>
            </w:r>
          </w:p>
        </w:tc>
        <w:tc>
          <w:tcPr>
            <w:tcW w:w="1240" w:type="pct"/>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349DFB63">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eastAsia="zh-CN"/>
              </w:rPr>
            </w:pPr>
            <w:r>
              <w:rPr>
                <w:rFonts w:hint="default"/>
                <w:b w:val="0"/>
                <w:i w:val="0"/>
                <w:color w:val="000000"/>
                <w:highlight w:val="none"/>
                <w:lang w:val="en-US" w:eastAsia="zh-CN"/>
              </w:rPr>
              <w:t>5760</w:t>
            </w:r>
          </w:p>
        </w:tc>
        <w:tc>
          <w:tcPr>
            <w:tcW w:w="1283" w:type="pct"/>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5EF80F39">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eastAsia="zh-CN"/>
              </w:rPr>
            </w:pPr>
            <w:r>
              <w:rPr>
                <w:rFonts w:hint="eastAsia"/>
                <w:b w:val="0"/>
                <w:i w:val="0"/>
                <w:color w:val="000000"/>
                <w:highlight w:val="none"/>
                <w:lang w:val="en-US" w:eastAsia="zh-CN"/>
              </w:rPr>
              <w:t>202</w:t>
            </w:r>
          </w:p>
        </w:tc>
      </w:tr>
      <w:tr w14:paraId="32823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902" w:type="pct"/>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2236CD8A">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eastAsia="zh-CN"/>
              </w:rPr>
            </w:pPr>
            <w:r>
              <w:rPr>
                <w:rFonts w:hint="default"/>
                <w:b w:val="0"/>
                <w:i w:val="0"/>
                <w:color w:val="000000"/>
                <w:highlight w:val="none"/>
                <w:lang w:val="en-US" w:eastAsia="zh-CN"/>
              </w:rPr>
              <w:t>202</w:t>
            </w:r>
            <w:r>
              <w:rPr>
                <w:rFonts w:hint="eastAsia"/>
                <w:b w:val="0"/>
                <w:i w:val="0"/>
                <w:color w:val="000000"/>
                <w:highlight w:val="none"/>
                <w:lang w:val="en-US" w:eastAsia="zh-CN"/>
              </w:rPr>
              <w:t>8</w:t>
            </w:r>
          </w:p>
        </w:tc>
        <w:tc>
          <w:tcPr>
            <w:tcW w:w="1573" w:type="pct"/>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7636986D">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eastAsia="zh-CN"/>
              </w:rPr>
            </w:pPr>
            <w:r>
              <w:rPr>
                <w:rFonts w:hint="eastAsia"/>
                <w:b w:val="0"/>
                <w:i w:val="0"/>
                <w:color w:val="000000"/>
                <w:highlight w:val="none"/>
                <w:lang w:val="en-US" w:eastAsia="zh-CN"/>
              </w:rPr>
              <w:t>350</w:t>
            </w:r>
          </w:p>
        </w:tc>
        <w:tc>
          <w:tcPr>
            <w:tcW w:w="1240" w:type="pct"/>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4646E8B1">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eastAsia="zh-CN"/>
              </w:rPr>
            </w:pPr>
            <w:r>
              <w:rPr>
                <w:rFonts w:hint="default"/>
                <w:b w:val="0"/>
                <w:i w:val="0"/>
                <w:color w:val="000000"/>
                <w:highlight w:val="none"/>
                <w:lang w:val="en-US" w:eastAsia="zh-CN"/>
              </w:rPr>
              <w:t>7216</w:t>
            </w:r>
          </w:p>
        </w:tc>
        <w:tc>
          <w:tcPr>
            <w:tcW w:w="1283" w:type="pct"/>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25665DE6">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eastAsia="zh-CN"/>
              </w:rPr>
            </w:pPr>
            <w:r>
              <w:rPr>
                <w:rFonts w:hint="eastAsia"/>
                <w:b w:val="0"/>
                <w:i w:val="0"/>
                <w:color w:val="000000"/>
                <w:highlight w:val="none"/>
                <w:lang w:val="en-US" w:eastAsia="zh-CN"/>
              </w:rPr>
              <w:t>253</w:t>
            </w:r>
          </w:p>
        </w:tc>
      </w:tr>
      <w:tr w14:paraId="4E091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00" w:hRule="atLeast"/>
          <w:jc w:val="center"/>
        </w:trPr>
        <w:tc>
          <w:tcPr>
            <w:tcW w:w="902" w:type="pct"/>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6BAB6543">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eastAsia="zh-CN"/>
              </w:rPr>
            </w:pPr>
            <w:r>
              <w:rPr>
                <w:rFonts w:hint="default"/>
                <w:b w:val="0"/>
                <w:i w:val="0"/>
                <w:color w:val="000000"/>
                <w:highlight w:val="none"/>
                <w:lang w:val="en-US" w:eastAsia="zh-CN"/>
              </w:rPr>
              <w:t>202</w:t>
            </w:r>
            <w:r>
              <w:rPr>
                <w:rFonts w:hint="eastAsia"/>
                <w:b w:val="0"/>
                <w:i w:val="0"/>
                <w:color w:val="000000"/>
                <w:highlight w:val="none"/>
                <w:lang w:val="en-US" w:eastAsia="zh-CN"/>
              </w:rPr>
              <w:t>9</w:t>
            </w:r>
          </w:p>
        </w:tc>
        <w:tc>
          <w:tcPr>
            <w:tcW w:w="1573" w:type="pct"/>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5906F29A">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eastAsia="zh-CN"/>
              </w:rPr>
            </w:pPr>
            <w:r>
              <w:rPr>
                <w:rFonts w:hint="eastAsia"/>
                <w:b w:val="0"/>
                <w:i w:val="0"/>
                <w:color w:val="000000"/>
                <w:highlight w:val="none"/>
                <w:lang w:val="en-US" w:eastAsia="zh-CN"/>
              </w:rPr>
              <w:t>350</w:t>
            </w:r>
          </w:p>
        </w:tc>
        <w:tc>
          <w:tcPr>
            <w:tcW w:w="1240" w:type="pct"/>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61C7D9AD">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eastAsia="zh-CN"/>
              </w:rPr>
            </w:pPr>
            <w:r>
              <w:rPr>
                <w:rFonts w:hint="default"/>
                <w:b w:val="0"/>
                <w:i w:val="0"/>
                <w:color w:val="000000"/>
                <w:highlight w:val="none"/>
                <w:lang w:val="en-US" w:eastAsia="zh-CN"/>
              </w:rPr>
              <w:t>9380</w:t>
            </w:r>
          </w:p>
        </w:tc>
        <w:tc>
          <w:tcPr>
            <w:tcW w:w="1283" w:type="pct"/>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3754C00F">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eastAsia="zh-CN"/>
              </w:rPr>
            </w:pPr>
            <w:r>
              <w:rPr>
                <w:rFonts w:hint="eastAsia"/>
                <w:b w:val="0"/>
                <w:i w:val="0"/>
                <w:color w:val="000000"/>
                <w:highlight w:val="none"/>
                <w:lang w:val="en-US" w:eastAsia="zh-CN"/>
              </w:rPr>
              <w:t>328</w:t>
            </w:r>
          </w:p>
        </w:tc>
      </w:tr>
      <w:tr w14:paraId="44742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94" w:hRule="atLeast"/>
          <w:jc w:val="center"/>
        </w:trPr>
        <w:tc>
          <w:tcPr>
            <w:tcW w:w="902" w:type="pct"/>
            <w:tcBorders>
              <w:top w:val="single" w:color="B8CCE4" w:themeColor="accent1" w:themeTint="66" w:sz="6" w:space="0"/>
              <w:left w:val="single" w:color="4F81BD" w:themeColor="accent1" w:sz="6" w:space="0"/>
              <w:bottom w:val="single" w:color="4F81BD" w:themeColor="accent1" w:sz="6" w:space="0"/>
              <w:right w:val="single" w:color="B8CCE4" w:themeColor="accent1" w:themeTint="66" w:sz="6" w:space="0"/>
            </w:tcBorders>
            <w:shd w:val="clear" w:color="auto" w:fill="EDF2F8" w:themeFill="accent1" w:themeFillTint="19"/>
            <w:vAlign w:val="center"/>
          </w:tcPr>
          <w:p w14:paraId="02A985B4">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eastAsia="zh-CN"/>
              </w:rPr>
            </w:pPr>
            <w:r>
              <w:rPr>
                <w:rFonts w:hint="default"/>
                <w:b w:val="0"/>
                <w:i w:val="0"/>
                <w:color w:val="000000"/>
                <w:highlight w:val="none"/>
                <w:lang w:val="en-US" w:eastAsia="zh-CN"/>
              </w:rPr>
              <w:t>20</w:t>
            </w:r>
            <w:r>
              <w:rPr>
                <w:rFonts w:hint="eastAsia"/>
                <w:b w:val="0"/>
                <w:i w:val="0"/>
                <w:color w:val="000000"/>
                <w:highlight w:val="none"/>
                <w:lang w:val="en-US" w:eastAsia="zh-CN"/>
              </w:rPr>
              <w:t>30</w:t>
            </w:r>
          </w:p>
        </w:tc>
        <w:tc>
          <w:tcPr>
            <w:tcW w:w="1573" w:type="pct"/>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FFFFFF"/>
            <w:vAlign w:val="center"/>
          </w:tcPr>
          <w:p w14:paraId="50F3E40B">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eastAsia="zh-CN"/>
              </w:rPr>
            </w:pPr>
            <w:r>
              <w:rPr>
                <w:rFonts w:hint="eastAsia"/>
                <w:b w:val="0"/>
                <w:i w:val="0"/>
                <w:color w:val="000000"/>
                <w:highlight w:val="none"/>
                <w:lang w:val="en-US" w:eastAsia="zh-CN"/>
              </w:rPr>
              <w:t>350</w:t>
            </w:r>
          </w:p>
        </w:tc>
        <w:tc>
          <w:tcPr>
            <w:tcW w:w="1240" w:type="pct"/>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EDF2F8" w:themeFill="accent1" w:themeFillTint="19"/>
            <w:vAlign w:val="center"/>
          </w:tcPr>
          <w:p w14:paraId="46AC94B1">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eastAsia="zh-CN"/>
              </w:rPr>
            </w:pPr>
            <w:r>
              <w:rPr>
                <w:rFonts w:hint="default"/>
                <w:b w:val="0"/>
                <w:i w:val="0"/>
                <w:color w:val="000000"/>
                <w:highlight w:val="none"/>
                <w:lang w:val="en-US" w:eastAsia="zh-CN"/>
              </w:rPr>
              <w:t>12663</w:t>
            </w:r>
          </w:p>
        </w:tc>
        <w:tc>
          <w:tcPr>
            <w:tcW w:w="1283" w:type="pct"/>
            <w:tcBorders>
              <w:top w:val="single" w:color="B8CCE4" w:themeColor="accent1" w:themeTint="66" w:sz="6" w:space="0"/>
              <w:left w:val="single" w:color="B8CCE4" w:themeColor="accent1" w:themeTint="66" w:sz="6" w:space="0"/>
              <w:bottom w:val="single" w:color="4F81BD" w:themeColor="accent1" w:sz="6" w:space="0"/>
              <w:right w:val="single" w:color="4F81BD" w:themeColor="accent1" w:sz="6" w:space="0"/>
            </w:tcBorders>
            <w:shd w:val="clear" w:color="auto" w:fill="FFFFFF"/>
            <w:vAlign w:val="center"/>
          </w:tcPr>
          <w:p w14:paraId="3F27E01C">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eastAsia="zh-CN"/>
              </w:rPr>
            </w:pPr>
            <w:r>
              <w:rPr>
                <w:rFonts w:hint="eastAsia"/>
                <w:b w:val="0"/>
                <w:i w:val="0"/>
                <w:color w:val="000000"/>
                <w:highlight w:val="none"/>
                <w:lang w:val="en-US" w:eastAsia="zh-CN"/>
              </w:rPr>
              <w:t>443</w:t>
            </w:r>
          </w:p>
        </w:tc>
      </w:tr>
    </w:tbl>
    <w:p w14:paraId="02C01A77">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hint="eastAsia"/>
          <w:highlight w:val="none"/>
          <w:lang w:val="en-US" w:eastAsia="zh-CN"/>
        </w:rPr>
      </w:pPr>
    </w:p>
    <w:p w14:paraId="5D868320">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560" w:firstLineChars="200"/>
        <w:textAlignment w:val="auto"/>
        <w:rPr>
          <w:rFonts w:hint="eastAsia"/>
          <w:highlight w:val="none"/>
          <w:lang w:val="en-US" w:eastAsia="zh-CN"/>
        </w:rPr>
      </w:pPr>
      <w:r>
        <w:rPr>
          <w:rFonts w:hint="eastAsia"/>
          <w:highlight w:val="none"/>
          <w:lang w:val="en-US" w:eastAsia="zh-CN"/>
        </w:rPr>
        <w:t>假设本产品的单位成本在未来五年内单价不变，销售量以接近20%左右的增速增长，则其未来的单位成本预测如图所示。</w:t>
      </w:r>
    </w:p>
    <w:p w14:paraId="2A1862F8">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560" w:firstLineChars="200"/>
        <w:jc w:val="center"/>
        <w:textAlignment w:val="auto"/>
        <w:rPr>
          <w:rFonts w:hint="default"/>
          <w:highlight w:val="none"/>
          <w:lang w:val="en-US" w:eastAsia="zh-CN"/>
        </w:rPr>
      </w:pPr>
      <w:r>
        <w:rPr>
          <w:rFonts w:hint="default"/>
          <w:highlight w:val="none"/>
          <w:lang w:val="en-US" w:eastAsia="zh-CN"/>
        </w:rPr>
        <w:drawing>
          <wp:inline distT="0" distB="0" distL="114300" distR="114300">
            <wp:extent cx="4679950" cy="2520315"/>
            <wp:effectExtent l="0" t="0" r="6350" b="6985"/>
            <wp:docPr id="48" name="图表 48"/>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p>
    <w:p w14:paraId="1A87EBD6">
      <w:pPr>
        <w:pStyle w:val="5"/>
        <w:bidi w:val="0"/>
        <w:spacing w:before="120" w:beforeLines="50" w:beforeAutospacing="0" w:after="120" w:afterLines="50" w:afterAutospacing="0" w:line="360" w:lineRule="auto"/>
        <w:rPr>
          <w:rFonts w:hint="eastAsia"/>
          <w:highlight w:val="none"/>
          <w:lang w:val="en-US" w:eastAsia="zh-CN"/>
        </w:rPr>
      </w:pPr>
      <w:r>
        <w:rPr>
          <w:rFonts w:hint="eastAsia"/>
          <w:highlight w:val="none"/>
          <w:lang w:val="en-US"/>
        </w:rPr>
        <w:t>图8-5</w:t>
      </w:r>
      <w:r>
        <w:rPr>
          <w:rFonts w:hint="eastAsia"/>
          <w:highlight w:val="none"/>
          <w:lang w:val="en-US" w:eastAsia="zh-CN"/>
        </w:rPr>
        <w:t xml:space="preserve"> </w:t>
      </w:r>
      <w:r>
        <w:rPr>
          <w:rFonts w:hint="eastAsia"/>
          <w:highlight w:val="none"/>
          <w:lang w:val="en-US"/>
        </w:rPr>
        <w:t>成本预测图</w:t>
      </w:r>
    </w:p>
    <w:p w14:paraId="437BAF34">
      <w:pPr>
        <w:spacing w:beforeAutospacing="0" w:line="360" w:lineRule="auto"/>
        <w:rPr>
          <w:rFonts w:hint="eastAsia"/>
          <w:highlight w:val="none"/>
          <w:lang w:val="en-US"/>
        </w:rPr>
      </w:pPr>
      <w:r>
        <w:rPr>
          <w:rFonts w:hint="eastAsia"/>
          <w:highlight w:val="none"/>
          <w:lang w:val="en-US"/>
        </w:rPr>
        <w:br w:type="page"/>
      </w:r>
    </w:p>
    <w:p w14:paraId="64C926D8">
      <w:pPr>
        <w:pStyle w:val="4"/>
        <w:bidi w:val="0"/>
        <w:spacing w:after="0" w:afterLines="0" w:afterAutospacing="0" w:line="360" w:lineRule="auto"/>
        <w:rPr>
          <w:rFonts w:hint="eastAsia"/>
          <w:highlight w:val="none"/>
          <w:lang w:val="en-US"/>
        </w:rPr>
      </w:pPr>
      <w:bookmarkStart w:id="150" w:name="_Toc31599"/>
      <w:bookmarkStart w:id="151" w:name="_Toc32096"/>
      <w:r>
        <w:rPr>
          <w:rFonts w:hint="eastAsia"/>
          <w:highlight w:val="none"/>
          <w:lang w:val="en-US"/>
        </w:rPr>
        <w:t>8.2.2资产负债表</w:t>
      </w:r>
      <w:bookmarkEnd w:id="150"/>
      <w:bookmarkEnd w:id="151"/>
    </w:p>
    <w:tbl>
      <w:tblPr>
        <w:tblStyle w:val="17"/>
        <w:tblpPr w:leftFromText="180" w:rightFromText="180" w:vertAnchor="text" w:horzAnchor="page" w:tblpXSpec="center" w:tblpY="913"/>
        <w:tblOverlap w:val="never"/>
        <w:tblW w:w="972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79"/>
        <w:gridCol w:w="1669"/>
        <w:gridCol w:w="1669"/>
        <w:gridCol w:w="1669"/>
        <w:gridCol w:w="1669"/>
        <w:gridCol w:w="1669"/>
      </w:tblGrid>
      <w:tr w14:paraId="3C368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2"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4F81BD" w:themeFill="accent1"/>
            <w:vAlign w:val="center"/>
          </w:tcPr>
          <w:p w14:paraId="3F9DFDC0">
            <w:pPr>
              <w:keepNext w:val="0"/>
              <w:keepLines w:val="0"/>
              <w:widowControl/>
              <w:suppressLineNumbers w:val="0"/>
              <w:spacing w:beforeAutospacing="0" w:line="360" w:lineRule="auto"/>
              <w:jc w:val="center"/>
              <w:textAlignment w:val="top"/>
              <w:rPr>
                <w:rFonts w:hint="eastAsia" w:ascii="Times New Roman" w:hAnsi="Times New Roman" w:eastAsia="楷体" w:cs="楷体"/>
                <w:b/>
                <w:i w:val="0"/>
                <w:iCs w:val="0"/>
                <w:color w:val="FFFFFF"/>
                <w:sz w:val="24"/>
                <w:szCs w:val="24"/>
                <w:highlight w:val="none"/>
                <w:u w:val="none"/>
              </w:rPr>
            </w:pPr>
            <w:r>
              <w:rPr>
                <w:rFonts w:hint="eastAsia" w:ascii="Times New Roman" w:hAnsi="Times New Roman" w:eastAsia="楷体" w:cs="楷体"/>
                <w:b/>
                <w:i w:val="0"/>
                <w:iCs w:val="0"/>
                <w:color w:val="FFFFFF"/>
                <w:kern w:val="0"/>
                <w:sz w:val="24"/>
                <w:szCs w:val="24"/>
                <w:highlight w:val="none"/>
                <w:u w:val="none"/>
                <w:lang w:val="en-US" w:eastAsia="zh-CN" w:bidi="ar"/>
              </w:rPr>
              <w:t>项目</w:t>
            </w:r>
          </w:p>
        </w:tc>
        <w:tc>
          <w:tcPr>
            <w:tcW w:w="1669" w:type="dxa"/>
            <w:tcBorders>
              <w:top w:val="single" w:color="FFFFFF" w:sz="8" w:space="0"/>
              <w:left w:val="single" w:color="FFFFFF" w:sz="8" w:space="0"/>
              <w:bottom w:val="single" w:color="FFFFFF" w:sz="8" w:space="0"/>
              <w:right w:val="single" w:color="FFFFFF" w:sz="8" w:space="0"/>
            </w:tcBorders>
            <w:shd w:val="clear" w:color="auto" w:fill="4F81BD" w:themeFill="accent1"/>
            <w:vAlign w:val="center"/>
          </w:tcPr>
          <w:p w14:paraId="3B38BA75">
            <w:pPr>
              <w:keepNext w:val="0"/>
              <w:keepLines w:val="0"/>
              <w:widowControl/>
              <w:suppressLineNumbers w:val="0"/>
              <w:spacing w:line="360" w:lineRule="auto"/>
              <w:jc w:val="center"/>
              <w:textAlignment w:val="top"/>
              <w:rPr>
                <w:rFonts w:hint="default" w:ascii="Times New Roman" w:hAnsi="Times New Roman" w:eastAsia="楷体" w:cs="楷体"/>
                <w:b/>
                <w:i w:val="0"/>
                <w:iCs w:val="0"/>
                <w:color w:val="FFFFFF"/>
                <w:sz w:val="24"/>
                <w:szCs w:val="24"/>
                <w:highlight w:val="none"/>
                <w:u w:val="none"/>
                <w:lang w:val="en-US"/>
              </w:rPr>
            </w:pPr>
            <w:r>
              <w:rPr>
                <w:rFonts w:hint="eastAsia" w:ascii="Times New Roman" w:hAnsi="Times New Roman" w:eastAsia="楷体" w:cs="楷体"/>
                <w:b/>
                <w:i w:val="0"/>
                <w:iCs w:val="0"/>
                <w:color w:val="FFFFFF"/>
                <w:kern w:val="0"/>
                <w:sz w:val="24"/>
                <w:szCs w:val="24"/>
                <w:highlight w:val="none"/>
                <w:u w:val="none"/>
                <w:lang w:val="en-US" w:eastAsia="zh-CN" w:bidi="ar"/>
              </w:rPr>
              <w:t>初</w:t>
            </w:r>
            <w:r>
              <w:rPr>
                <w:rFonts w:hint="eastAsia" w:ascii="Times New Roman" w:hAnsi="Times New Roman" w:cs="楷体"/>
                <w:b/>
                <w:i w:val="0"/>
                <w:iCs w:val="0"/>
                <w:color w:val="FFFFFF"/>
                <w:kern w:val="0"/>
                <w:sz w:val="24"/>
                <w:szCs w:val="24"/>
                <w:highlight w:val="none"/>
                <w:u w:val="none"/>
                <w:lang w:val="en-US" w:eastAsia="zh-CN" w:bidi="ar"/>
              </w:rPr>
              <w:t>期</w:t>
            </w:r>
          </w:p>
        </w:tc>
        <w:tc>
          <w:tcPr>
            <w:tcW w:w="1669" w:type="dxa"/>
            <w:tcBorders>
              <w:top w:val="single" w:color="FFFFFF" w:sz="8" w:space="0"/>
              <w:left w:val="single" w:color="FFFFFF" w:sz="8" w:space="0"/>
              <w:bottom w:val="single" w:color="FFFFFF" w:sz="8" w:space="0"/>
              <w:right w:val="single" w:color="FFFFFF" w:sz="8" w:space="0"/>
            </w:tcBorders>
            <w:shd w:val="clear" w:color="auto" w:fill="4F81BD" w:themeFill="accent1"/>
            <w:vAlign w:val="center"/>
          </w:tcPr>
          <w:p w14:paraId="36E32DCB">
            <w:pPr>
              <w:keepNext w:val="0"/>
              <w:keepLines w:val="0"/>
              <w:widowControl/>
              <w:suppressLineNumbers w:val="0"/>
              <w:spacing w:line="360" w:lineRule="auto"/>
              <w:jc w:val="center"/>
              <w:textAlignment w:val="top"/>
              <w:rPr>
                <w:rFonts w:hint="eastAsia" w:ascii="Times New Roman" w:hAnsi="Times New Roman" w:eastAsia="楷体" w:cs="楷体"/>
                <w:b/>
                <w:i w:val="0"/>
                <w:iCs w:val="0"/>
                <w:color w:val="FFFFFF"/>
                <w:sz w:val="24"/>
                <w:szCs w:val="24"/>
                <w:highlight w:val="none"/>
                <w:u w:val="none"/>
              </w:rPr>
            </w:pPr>
            <w:r>
              <w:rPr>
                <w:rFonts w:hint="eastAsia" w:ascii="Times New Roman" w:hAnsi="Times New Roman" w:cs="楷体"/>
                <w:b/>
                <w:i w:val="0"/>
                <w:iCs w:val="0"/>
                <w:color w:val="FFFFFF"/>
                <w:kern w:val="0"/>
                <w:sz w:val="24"/>
                <w:szCs w:val="24"/>
                <w:highlight w:val="none"/>
                <w:u w:val="none"/>
                <w:lang w:val="en-US" w:eastAsia="zh-CN" w:bidi="ar"/>
              </w:rPr>
              <w:t>第一年</w:t>
            </w:r>
            <w:r>
              <w:rPr>
                <w:rFonts w:hint="eastAsia" w:ascii="Times New Roman" w:hAnsi="Times New Roman" w:eastAsia="楷体" w:cs="楷体"/>
                <w:b/>
                <w:i w:val="0"/>
                <w:iCs w:val="0"/>
                <w:color w:val="FFFFFF"/>
                <w:kern w:val="0"/>
                <w:sz w:val="24"/>
                <w:szCs w:val="24"/>
                <w:highlight w:val="none"/>
                <w:u w:val="none"/>
                <w:lang w:val="en-US" w:eastAsia="zh-CN" w:bidi="ar"/>
              </w:rPr>
              <w:t>末</w:t>
            </w:r>
          </w:p>
        </w:tc>
        <w:tc>
          <w:tcPr>
            <w:tcW w:w="1669" w:type="dxa"/>
            <w:tcBorders>
              <w:top w:val="single" w:color="FFFFFF" w:sz="8" w:space="0"/>
              <w:left w:val="single" w:color="FFFFFF" w:sz="8" w:space="0"/>
              <w:bottom w:val="single" w:color="FFFFFF" w:sz="8" w:space="0"/>
              <w:right w:val="single" w:color="FFFFFF" w:sz="8" w:space="0"/>
            </w:tcBorders>
            <w:shd w:val="clear" w:color="auto" w:fill="4F81BD" w:themeFill="accent1"/>
            <w:vAlign w:val="center"/>
          </w:tcPr>
          <w:p w14:paraId="4C4BAB2C">
            <w:pPr>
              <w:keepNext w:val="0"/>
              <w:keepLines w:val="0"/>
              <w:widowControl/>
              <w:suppressLineNumbers w:val="0"/>
              <w:spacing w:line="360" w:lineRule="auto"/>
              <w:jc w:val="center"/>
              <w:textAlignment w:val="top"/>
              <w:rPr>
                <w:rFonts w:hint="eastAsia" w:ascii="Times New Roman" w:hAnsi="Times New Roman" w:eastAsia="楷体" w:cs="楷体"/>
                <w:b/>
                <w:i w:val="0"/>
                <w:iCs w:val="0"/>
                <w:color w:val="FFFFFF"/>
                <w:sz w:val="24"/>
                <w:szCs w:val="24"/>
                <w:highlight w:val="none"/>
                <w:u w:val="none"/>
              </w:rPr>
            </w:pPr>
            <w:r>
              <w:rPr>
                <w:rFonts w:hint="eastAsia" w:ascii="Times New Roman" w:hAnsi="Times New Roman" w:cs="楷体"/>
                <w:b/>
                <w:i w:val="0"/>
                <w:iCs w:val="0"/>
                <w:color w:val="FFFFFF"/>
                <w:kern w:val="0"/>
                <w:sz w:val="24"/>
                <w:szCs w:val="24"/>
                <w:highlight w:val="none"/>
                <w:u w:val="none"/>
                <w:lang w:val="en-US" w:eastAsia="zh-CN" w:bidi="ar"/>
              </w:rPr>
              <w:t>第</w:t>
            </w:r>
            <w:r>
              <w:rPr>
                <w:rFonts w:hint="eastAsia" w:cs="楷体"/>
                <w:b/>
                <w:i w:val="0"/>
                <w:iCs w:val="0"/>
                <w:color w:val="FFFFFF"/>
                <w:kern w:val="0"/>
                <w:sz w:val="24"/>
                <w:szCs w:val="24"/>
                <w:highlight w:val="none"/>
                <w:u w:val="none"/>
                <w:lang w:val="en-US" w:eastAsia="zh-CN" w:bidi="ar"/>
              </w:rPr>
              <w:t>二</w:t>
            </w:r>
            <w:r>
              <w:rPr>
                <w:rFonts w:hint="eastAsia" w:ascii="Times New Roman" w:hAnsi="Times New Roman" w:cs="楷体"/>
                <w:b/>
                <w:i w:val="0"/>
                <w:iCs w:val="0"/>
                <w:color w:val="FFFFFF"/>
                <w:kern w:val="0"/>
                <w:sz w:val="24"/>
                <w:szCs w:val="24"/>
                <w:highlight w:val="none"/>
                <w:u w:val="none"/>
                <w:lang w:val="en-US" w:eastAsia="zh-CN" w:bidi="ar"/>
              </w:rPr>
              <w:t>年</w:t>
            </w:r>
            <w:r>
              <w:rPr>
                <w:rFonts w:hint="eastAsia" w:ascii="Times New Roman" w:hAnsi="Times New Roman" w:eastAsia="楷体" w:cs="楷体"/>
                <w:b/>
                <w:i w:val="0"/>
                <w:iCs w:val="0"/>
                <w:color w:val="FFFFFF"/>
                <w:kern w:val="0"/>
                <w:sz w:val="24"/>
                <w:szCs w:val="24"/>
                <w:highlight w:val="none"/>
                <w:u w:val="none"/>
                <w:lang w:val="en-US" w:eastAsia="zh-CN" w:bidi="ar"/>
              </w:rPr>
              <w:t>末</w:t>
            </w:r>
          </w:p>
        </w:tc>
        <w:tc>
          <w:tcPr>
            <w:tcW w:w="1669" w:type="dxa"/>
            <w:tcBorders>
              <w:top w:val="single" w:color="FFFFFF" w:sz="8" w:space="0"/>
              <w:left w:val="single" w:color="FFFFFF" w:sz="8" w:space="0"/>
              <w:bottom w:val="single" w:color="FFFFFF" w:sz="8" w:space="0"/>
              <w:right w:val="single" w:color="FFFFFF" w:sz="8" w:space="0"/>
            </w:tcBorders>
            <w:shd w:val="clear" w:color="auto" w:fill="4F81BD" w:themeFill="accent1"/>
            <w:vAlign w:val="center"/>
          </w:tcPr>
          <w:p w14:paraId="6F519232">
            <w:pPr>
              <w:keepNext w:val="0"/>
              <w:keepLines w:val="0"/>
              <w:widowControl/>
              <w:suppressLineNumbers w:val="0"/>
              <w:spacing w:line="360" w:lineRule="auto"/>
              <w:jc w:val="center"/>
              <w:textAlignment w:val="top"/>
              <w:rPr>
                <w:rFonts w:hint="eastAsia" w:ascii="Times New Roman" w:hAnsi="Times New Roman" w:eastAsia="楷体" w:cs="楷体"/>
                <w:b/>
                <w:i w:val="0"/>
                <w:iCs w:val="0"/>
                <w:color w:val="FFFFFF"/>
                <w:sz w:val="24"/>
                <w:szCs w:val="24"/>
                <w:highlight w:val="none"/>
                <w:u w:val="none"/>
              </w:rPr>
            </w:pPr>
            <w:r>
              <w:rPr>
                <w:rFonts w:hint="eastAsia" w:ascii="Times New Roman" w:hAnsi="Times New Roman" w:cs="楷体"/>
                <w:b/>
                <w:i w:val="0"/>
                <w:iCs w:val="0"/>
                <w:color w:val="FFFFFF"/>
                <w:kern w:val="0"/>
                <w:sz w:val="24"/>
                <w:szCs w:val="24"/>
                <w:highlight w:val="none"/>
                <w:u w:val="none"/>
                <w:lang w:val="en-US" w:eastAsia="zh-CN" w:bidi="ar"/>
              </w:rPr>
              <w:t>第</w:t>
            </w:r>
            <w:r>
              <w:rPr>
                <w:rFonts w:hint="eastAsia" w:cs="楷体"/>
                <w:b/>
                <w:i w:val="0"/>
                <w:iCs w:val="0"/>
                <w:color w:val="FFFFFF"/>
                <w:kern w:val="0"/>
                <w:sz w:val="24"/>
                <w:szCs w:val="24"/>
                <w:highlight w:val="none"/>
                <w:u w:val="none"/>
                <w:lang w:val="en-US" w:eastAsia="zh-CN" w:bidi="ar"/>
              </w:rPr>
              <w:t>三</w:t>
            </w:r>
            <w:r>
              <w:rPr>
                <w:rFonts w:hint="eastAsia" w:ascii="Times New Roman" w:hAnsi="Times New Roman" w:cs="楷体"/>
                <w:b/>
                <w:i w:val="0"/>
                <w:iCs w:val="0"/>
                <w:color w:val="FFFFFF"/>
                <w:kern w:val="0"/>
                <w:sz w:val="24"/>
                <w:szCs w:val="24"/>
                <w:highlight w:val="none"/>
                <w:u w:val="none"/>
                <w:lang w:val="en-US" w:eastAsia="zh-CN" w:bidi="ar"/>
              </w:rPr>
              <w:t>年</w:t>
            </w:r>
            <w:r>
              <w:rPr>
                <w:rFonts w:hint="eastAsia" w:ascii="Times New Roman" w:hAnsi="Times New Roman" w:eastAsia="楷体" w:cs="楷体"/>
                <w:b/>
                <w:i w:val="0"/>
                <w:iCs w:val="0"/>
                <w:color w:val="FFFFFF"/>
                <w:kern w:val="0"/>
                <w:sz w:val="24"/>
                <w:szCs w:val="24"/>
                <w:highlight w:val="none"/>
                <w:u w:val="none"/>
                <w:lang w:val="en-US" w:eastAsia="zh-CN" w:bidi="ar"/>
              </w:rPr>
              <w:t>末</w:t>
            </w:r>
          </w:p>
        </w:tc>
        <w:tc>
          <w:tcPr>
            <w:tcW w:w="1669" w:type="dxa"/>
            <w:tcBorders>
              <w:top w:val="single" w:color="FFFFFF" w:sz="8" w:space="0"/>
              <w:left w:val="single" w:color="FFFFFF" w:sz="8" w:space="0"/>
              <w:bottom w:val="single" w:color="FFFFFF" w:sz="8" w:space="0"/>
              <w:right w:val="single" w:color="FFFFFF" w:sz="8" w:space="0"/>
            </w:tcBorders>
            <w:shd w:val="clear" w:color="auto" w:fill="4F81BD" w:themeFill="accent1"/>
            <w:vAlign w:val="center"/>
          </w:tcPr>
          <w:p w14:paraId="1E86CD24">
            <w:pPr>
              <w:keepNext w:val="0"/>
              <w:keepLines w:val="0"/>
              <w:widowControl/>
              <w:suppressLineNumbers w:val="0"/>
              <w:spacing w:line="360" w:lineRule="auto"/>
              <w:jc w:val="center"/>
              <w:textAlignment w:val="top"/>
              <w:rPr>
                <w:rFonts w:hint="eastAsia" w:ascii="Times New Roman" w:hAnsi="Times New Roman" w:eastAsia="楷体" w:cs="楷体"/>
                <w:b/>
                <w:i w:val="0"/>
                <w:iCs w:val="0"/>
                <w:color w:val="FFFFFF"/>
                <w:sz w:val="24"/>
                <w:szCs w:val="24"/>
                <w:highlight w:val="none"/>
                <w:u w:val="none"/>
              </w:rPr>
            </w:pPr>
            <w:r>
              <w:rPr>
                <w:rFonts w:hint="eastAsia" w:ascii="Times New Roman" w:hAnsi="Times New Roman" w:cs="楷体"/>
                <w:b/>
                <w:i w:val="0"/>
                <w:iCs w:val="0"/>
                <w:color w:val="FFFFFF"/>
                <w:kern w:val="0"/>
                <w:sz w:val="24"/>
                <w:szCs w:val="24"/>
                <w:highlight w:val="none"/>
                <w:u w:val="none"/>
                <w:lang w:val="en-US" w:eastAsia="zh-CN" w:bidi="ar"/>
              </w:rPr>
              <w:t>第</w:t>
            </w:r>
            <w:r>
              <w:rPr>
                <w:rFonts w:hint="eastAsia" w:cs="楷体"/>
                <w:b/>
                <w:i w:val="0"/>
                <w:iCs w:val="0"/>
                <w:color w:val="FFFFFF"/>
                <w:kern w:val="0"/>
                <w:sz w:val="24"/>
                <w:szCs w:val="24"/>
                <w:highlight w:val="none"/>
                <w:u w:val="none"/>
                <w:lang w:val="en-US" w:eastAsia="zh-CN" w:bidi="ar"/>
              </w:rPr>
              <w:t>四</w:t>
            </w:r>
            <w:r>
              <w:rPr>
                <w:rFonts w:hint="eastAsia" w:ascii="Times New Roman" w:hAnsi="Times New Roman" w:cs="楷体"/>
                <w:b/>
                <w:i w:val="0"/>
                <w:iCs w:val="0"/>
                <w:color w:val="FFFFFF"/>
                <w:kern w:val="0"/>
                <w:sz w:val="24"/>
                <w:szCs w:val="24"/>
                <w:highlight w:val="none"/>
                <w:u w:val="none"/>
                <w:lang w:val="en-US" w:eastAsia="zh-CN" w:bidi="ar"/>
              </w:rPr>
              <w:t>年</w:t>
            </w:r>
            <w:r>
              <w:rPr>
                <w:rFonts w:hint="eastAsia" w:ascii="Times New Roman" w:hAnsi="Times New Roman" w:eastAsia="楷体" w:cs="楷体"/>
                <w:b/>
                <w:i w:val="0"/>
                <w:iCs w:val="0"/>
                <w:color w:val="FFFFFF"/>
                <w:kern w:val="0"/>
                <w:sz w:val="24"/>
                <w:szCs w:val="24"/>
                <w:highlight w:val="none"/>
                <w:u w:val="none"/>
                <w:lang w:val="en-US" w:eastAsia="zh-CN" w:bidi="ar"/>
              </w:rPr>
              <w:t>末</w:t>
            </w:r>
          </w:p>
        </w:tc>
      </w:tr>
      <w:tr w14:paraId="0E6602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0E68C51E">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流动资产：</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1744FE2D">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1A1BE07F">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635B59EC">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6DF48C2D">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495C1636">
            <w:pPr>
              <w:spacing w:line="360" w:lineRule="auto"/>
              <w:jc w:val="center"/>
              <w:rPr>
                <w:rFonts w:hint="eastAsia" w:ascii="Times New Roman" w:hAnsi="Times New Roman" w:eastAsia="楷体" w:cs="楷体"/>
                <w:b w:val="0"/>
                <w:i w:val="0"/>
                <w:iCs w:val="0"/>
                <w:color w:val="000000"/>
                <w:sz w:val="24"/>
                <w:szCs w:val="21"/>
                <w:highlight w:val="none"/>
                <w:u w:val="none"/>
              </w:rPr>
            </w:pPr>
          </w:p>
        </w:tc>
      </w:tr>
      <w:tr w14:paraId="4646A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09FFD7D4">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货币资金</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3D5B6632">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2,352,000.00</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1EB9D59">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2,258,570.00</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5613149A">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2,348,912.80</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7C692DB">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2,442,869.31</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5209DECF">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2,540,584.08</w:t>
            </w:r>
          </w:p>
        </w:tc>
      </w:tr>
      <w:tr w14:paraId="7CD08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2281FCF1">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应收票据</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49653E6C">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5AEFE022">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40,968.61</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2F89DDFB">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42,607.35</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3B4D793E">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44,311.65</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686005B6">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46,084.11</w:t>
            </w:r>
          </w:p>
        </w:tc>
      </w:tr>
      <w:tr w14:paraId="448EB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0DAED7CD">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应收账款</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BC4C0FC">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1DA02BA9">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819,360.00</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731188DE">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852,134.40</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2F0643B3">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886,219.78</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141EA53B">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921,668.57</w:t>
            </w:r>
          </w:p>
        </w:tc>
      </w:tr>
      <w:tr w14:paraId="7AAB3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2F099AE3">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预付款项</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65979A13">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158,490.00</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04B8BFCE">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194,450.00</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4ABB401E">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202,228.00</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5AA01BE1">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210,317.12</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315C62FA">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218,729.80</w:t>
            </w:r>
          </w:p>
        </w:tc>
      </w:tr>
      <w:tr w14:paraId="06B84E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7F63BDC">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其他应收款</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434D3ABC">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34131B52">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579B188A">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113613E9">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16A9CBF">
            <w:pPr>
              <w:spacing w:line="360" w:lineRule="auto"/>
              <w:jc w:val="center"/>
              <w:rPr>
                <w:rFonts w:hint="eastAsia" w:ascii="Times New Roman" w:hAnsi="Times New Roman" w:eastAsia="楷体" w:cs="楷体"/>
                <w:b w:val="0"/>
                <w:i w:val="0"/>
                <w:iCs w:val="0"/>
                <w:color w:val="000000"/>
                <w:sz w:val="24"/>
                <w:szCs w:val="21"/>
                <w:highlight w:val="none"/>
                <w:u w:val="none"/>
              </w:rPr>
            </w:pPr>
          </w:p>
        </w:tc>
      </w:tr>
      <w:tr w14:paraId="71FD7B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1FD146F8">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存货</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2C028AE0">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318,000.00</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45DA4368">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358,485.60</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2D1EB01C">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372,825.02</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76027AD1">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387,738.02</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7FA6894E">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403,247.55</w:t>
            </w:r>
          </w:p>
        </w:tc>
      </w:tr>
      <w:tr w14:paraId="09AAE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0F993589">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一年内到期的非流动资产</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19028E19">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3CA2614C">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0DC84926">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5672CAB">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2A85676B">
            <w:pPr>
              <w:spacing w:line="360" w:lineRule="auto"/>
              <w:jc w:val="center"/>
              <w:rPr>
                <w:rFonts w:hint="eastAsia" w:ascii="Times New Roman" w:hAnsi="Times New Roman" w:eastAsia="楷体" w:cs="楷体"/>
                <w:b w:val="0"/>
                <w:i w:val="0"/>
                <w:iCs w:val="0"/>
                <w:color w:val="000000"/>
                <w:sz w:val="24"/>
                <w:szCs w:val="21"/>
                <w:highlight w:val="none"/>
                <w:u w:val="none"/>
              </w:rPr>
            </w:pPr>
          </w:p>
        </w:tc>
      </w:tr>
      <w:tr w14:paraId="000289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696BA089">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流动资产合计</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70279713">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2,828,490.00</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5B50E0E5">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3,671,834.21</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0D6EA468">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3,818,707.58</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1B7728B0">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3,971,455.88</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073D8586">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4,130,314.12</w:t>
            </w:r>
          </w:p>
        </w:tc>
      </w:tr>
      <w:tr w14:paraId="0C301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76529A9C">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非流动资产：</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1CE04F1">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2530231C">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3F6CB01A">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879469A">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7BC41CAB">
            <w:pPr>
              <w:spacing w:line="360" w:lineRule="auto"/>
              <w:jc w:val="center"/>
              <w:rPr>
                <w:rFonts w:hint="eastAsia" w:ascii="Times New Roman" w:hAnsi="Times New Roman" w:eastAsia="楷体" w:cs="楷体"/>
                <w:b w:val="0"/>
                <w:i w:val="0"/>
                <w:iCs w:val="0"/>
                <w:color w:val="000000"/>
                <w:sz w:val="24"/>
                <w:szCs w:val="21"/>
                <w:highlight w:val="none"/>
                <w:u w:val="none"/>
              </w:rPr>
            </w:pPr>
          </w:p>
        </w:tc>
      </w:tr>
      <w:tr w14:paraId="3E4A2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1CD2DA1D">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固定资产</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514ABE7B">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235,070.00</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62C6604F">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1,200,000.00</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3C8EDC67">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1,248,000.00</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16377B16">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1,297,920.00</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3777C3E3">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1,349,836.80</w:t>
            </w:r>
          </w:p>
        </w:tc>
      </w:tr>
      <w:tr w14:paraId="2B29E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468877E5">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在建工程</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2BE49DB4">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964,930.00</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1E151650">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0065BC39">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7496EA5E">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4B36D49">
            <w:pPr>
              <w:spacing w:line="360" w:lineRule="auto"/>
              <w:jc w:val="center"/>
              <w:rPr>
                <w:rFonts w:hint="eastAsia" w:ascii="Times New Roman" w:hAnsi="Times New Roman" w:eastAsia="楷体" w:cs="楷体"/>
                <w:b w:val="0"/>
                <w:i w:val="0"/>
                <w:iCs w:val="0"/>
                <w:color w:val="000000"/>
                <w:sz w:val="24"/>
                <w:szCs w:val="21"/>
                <w:highlight w:val="none"/>
                <w:u w:val="none"/>
              </w:rPr>
            </w:pPr>
          </w:p>
        </w:tc>
      </w:tr>
      <w:tr w14:paraId="10C55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02563CE7">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无形资产</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1E12CBAD">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400,000.00</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3C2F35DF">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330,000.00</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76551397">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343,200.00</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5A4E2C5B">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356,928.00</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541AA371">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371,205.12</w:t>
            </w:r>
          </w:p>
        </w:tc>
      </w:tr>
      <w:tr w14:paraId="71A92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23BCA8D4">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其中：数据资源</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001F05FC">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90,000.00</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30AAAFF7">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527E16F3">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3F71585F">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3B78FF93">
            <w:pPr>
              <w:spacing w:line="360" w:lineRule="auto"/>
              <w:jc w:val="center"/>
              <w:rPr>
                <w:rFonts w:hint="eastAsia" w:ascii="Times New Roman" w:hAnsi="Times New Roman" w:eastAsia="楷体" w:cs="楷体"/>
                <w:b w:val="0"/>
                <w:i w:val="0"/>
                <w:iCs w:val="0"/>
                <w:color w:val="000000"/>
                <w:sz w:val="24"/>
                <w:szCs w:val="21"/>
                <w:highlight w:val="none"/>
                <w:u w:val="none"/>
              </w:rPr>
            </w:pPr>
          </w:p>
        </w:tc>
      </w:tr>
      <w:tr w14:paraId="215C2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0F15BB2C">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非流动资产合计</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1B80A5DA">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1,600,000.00</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7D82624D">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1,530,000.00</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39705517">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1,591,200.00</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3BF56B18">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1,654,848.00</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7E807AF1">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1,721,041.92</w:t>
            </w:r>
          </w:p>
        </w:tc>
      </w:tr>
      <w:tr w14:paraId="1EB3A4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4F89223A">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资产总计</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70C3CD7D">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4,428,490.00</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A845656">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5,201,834.21</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5F194982">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5,409,907.58</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7755DAA4">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5,626,303.88</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3B81AE1A">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5,851,356.04</w:t>
            </w:r>
          </w:p>
        </w:tc>
      </w:tr>
      <w:tr w14:paraId="77E2A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67053A03">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流动负债：</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06694C51">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069CD677">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7E940B98">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7542C592">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4C64B446">
            <w:pPr>
              <w:spacing w:line="360" w:lineRule="auto"/>
              <w:jc w:val="center"/>
              <w:rPr>
                <w:rFonts w:hint="eastAsia" w:ascii="Times New Roman" w:hAnsi="Times New Roman" w:eastAsia="楷体" w:cs="楷体"/>
                <w:b w:val="0"/>
                <w:i w:val="0"/>
                <w:iCs w:val="0"/>
                <w:color w:val="000000"/>
                <w:sz w:val="24"/>
                <w:szCs w:val="21"/>
                <w:highlight w:val="none"/>
                <w:u w:val="none"/>
              </w:rPr>
            </w:pPr>
          </w:p>
        </w:tc>
      </w:tr>
      <w:tr w14:paraId="04EE3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57297ECC">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短期借款</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4BE7823C">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500,000.00</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409E61B9">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350,000.00</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43EE775C">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364,000.00</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7853BBA3">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378,560.00</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520863A1">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393,702.40</w:t>
            </w:r>
          </w:p>
        </w:tc>
      </w:tr>
      <w:tr w14:paraId="7A419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2BD29CED">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应付票据</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4754AE8E">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52,250.00</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52F2E82D">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19,845.35</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7C96BA8B">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20,639.16</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6B7041C9">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21,464.73</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7B498603">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22,323.32</w:t>
            </w:r>
          </w:p>
        </w:tc>
      </w:tr>
      <w:tr w14:paraId="16590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4F698475">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应付账款</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DAC3ECD">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347,750.00</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5897094D">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283,505.00</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38AE5160">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294,845.20</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12D384CE">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306,639.01</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1A76EBA9">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318,904.57</w:t>
            </w:r>
          </w:p>
        </w:tc>
      </w:tr>
      <w:tr w14:paraId="729C8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25F44612">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预收款项</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4DB1D4D7">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4AB87478">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33B4C369">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2A3267BE">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507FB35F">
            <w:pPr>
              <w:spacing w:line="360" w:lineRule="auto"/>
              <w:jc w:val="center"/>
              <w:rPr>
                <w:rFonts w:hint="eastAsia" w:ascii="Times New Roman" w:hAnsi="Times New Roman" w:eastAsia="楷体" w:cs="楷体"/>
                <w:b w:val="0"/>
                <w:i w:val="0"/>
                <w:iCs w:val="0"/>
                <w:color w:val="000000"/>
                <w:sz w:val="24"/>
                <w:szCs w:val="21"/>
                <w:highlight w:val="none"/>
                <w:u w:val="none"/>
              </w:rPr>
            </w:pPr>
          </w:p>
        </w:tc>
      </w:tr>
      <w:tr w14:paraId="69A54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1EAD4762">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应付职工薪酬</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2597AF7A">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38,490.00</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48B7BA4F">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840,000.00</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04E8717D">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873,600.00</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03A85592">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908,544.00</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2EE3C74D">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944,885.76</w:t>
            </w:r>
          </w:p>
        </w:tc>
      </w:tr>
      <w:tr w14:paraId="1A946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142F1489">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应交税费</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36767B03">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7C1B69ED">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20A7244B">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02B5ACE7">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0EA6C4F6">
            <w:pPr>
              <w:spacing w:line="360" w:lineRule="auto"/>
              <w:jc w:val="center"/>
              <w:rPr>
                <w:rFonts w:hint="eastAsia" w:ascii="Times New Roman" w:hAnsi="Times New Roman" w:eastAsia="楷体" w:cs="楷体"/>
                <w:b w:val="0"/>
                <w:i w:val="0"/>
                <w:iCs w:val="0"/>
                <w:color w:val="000000"/>
                <w:sz w:val="24"/>
                <w:szCs w:val="21"/>
                <w:highlight w:val="none"/>
                <w:u w:val="none"/>
              </w:rPr>
            </w:pPr>
          </w:p>
        </w:tc>
      </w:tr>
      <w:tr w14:paraId="0AFD2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7CE51115">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其他应付款</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06BECB22">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05969E36">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DE00E41">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2DF0A8A8">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29CB592E">
            <w:pPr>
              <w:spacing w:line="360" w:lineRule="auto"/>
              <w:jc w:val="center"/>
              <w:rPr>
                <w:rFonts w:hint="eastAsia" w:ascii="Times New Roman" w:hAnsi="Times New Roman" w:eastAsia="楷体" w:cs="楷体"/>
                <w:b w:val="0"/>
                <w:i w:val="0"/>
                <w:iCs w:val="0"/>
                <w:color w:val="000000"/>
                <w:sz w:val="24"/>
                <w:szCs w:val="21"/>
                <w:highlight w:val="none"/>
                <w:u w:val="none"/>
              </w:rPr>
            </w:pPr>
          </w:p>
        </w:tc>
      </w:tr>
      <w:tr w14:paraId="6198E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0685C255">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其中：应付利息</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7FB48B6C">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5A9B6319">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44,496.80</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29D50C2D">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46,276.67</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0ACD7DB7">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48,127.74</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577EB614">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50,052.85</w:t>
            </w:r>
          </w:p>
        </w:tc>
      </w:tr>
      <w:tr w14:paraId="4FB03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72149F2C">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应付股利</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70D390E4">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3385DFDD">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17C3798F">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080891FD">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0EF62838">
            <w:pPr>
              <w:spacing w:line="360" w:lineRule="auto"/>
              <w:jc w:val="center"/>
              <w:rPr>
                <w:rFonts w:hint="eastAsia" w:ascii="Times New Roman" w:hAnsi="Times New Roman" w:eastAsia="楷体" w:cs="楷体"/>
                <w:b w:val="0"/>
                <w:i w:val="0"/>
                <w:iCs w:val="0"/>
                <w:color w:val="000000"/>
                <w:sz w:val="24"/>
                <w:szCs w:val="21"/>
                <w:highlight w:val="none"/>
                <w:u w:val="none"/>
              </w:rPr>
            </w:pPr>
          </w:p>
        </w:tc>
      </w:tr>
      <w:tr w14:paraId="0DDC1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35425E3B">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流动负债合计</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57FFD9EE">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938,490.00</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6FEB414E">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1,537,847.15</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16E43344">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1,599,361.04</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268E917D">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1,663,335.48</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77657D0D">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1,729,868.90</w:t>
            </w:r>
          </w:p>
        </w:tc>
      </w:tr>
      <w:tr w14:paraId="1320B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4BDA602">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非流动负债：</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28FFBF05">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3D5EA91D">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0B2DF49C">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232D3B25">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48A96EF4">
            <w:pPr>
              <w:spacing w:line="360" w:lineRule="auto"/>
              <w:jc w:val="center"/>
              <w:rPr>
                <w:rFonts w:hint="eastAsia" w:ascii="Times New Roman" w:hAnsi="Times New Roman" w:eastAsia="楷体" w:cs="楷体"/>
                <w:b w:val="0"/>
                <w:i w:val="0"/>
                <w:iCs w:val="0"/>
                <w:color w:val="000000"/>
                <w:sz w:val="24"/>
                <w:szCs w:val="21"/>
                <w:highlight w:val="none"/>
                <w:u w:val="none"/>
              </w:rPr>
            </w:pPr>
          </w:p>
        </w:tc>
      </w:tr>
      <w:tr w14:paraId="7590D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4E1B9DF3">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长期借款</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01847866">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1,600,000.00</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6209FC63">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800,000.00</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48750C4A">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568,800.00</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2ED4CBBA">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430,552.00</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0880A0B6">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402,334.00</w:t>
            </w:r>
          </w:p>
        </w:tc>
      </w:tr>
      <w:tr w14:paraId="44C17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79DF9A57">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租赁负债</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7E7DA5AF">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150,000.00</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0E36B8EC">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150,000.00</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13D28549">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160,000.00</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5146F92B">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160,000.00</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7F45D7A7">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160,000.00</w:t>
            </w:r>
          </w:p>
        </w:tc>
      </w:tr>
      <w:tr w14:paraId="17560A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49A0515B">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预计负债</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74DA699C">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7F7DDFE4">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270,000.00</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516999A0">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540,000.00</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7699D95E">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729,000.00</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44A76F65">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810,000.00</w:t>
            </w:r>
          </w:p>
        </w:tc>
      </w:tr>
      <w:tr w14:paraId="374E7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237C9F75">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非流动负债合计</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0C971829">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1,750,000.00</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599C4DAD">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1,220,000.00</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46678578">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1,268,800.00</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3F09F502">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1,319,552.00</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7145B785">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1,372,334.00</w:t>
            </w:r>
          </w:p>
        </w:tc>
      </w:tr>
      <w:tr w14:paraId="2B5EB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712F282B">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负债合计</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1A6CBB21">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2,688,490.00</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4EBD17CF">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2,757,847.15</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65034169">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2,868,161.04</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590FCA15">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2,982,887.48</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78491669">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3,102,202.90</w:t>
            </w:r>
          </w:p>
        </w:tc>
      </w:tr>
      <w:tr w14:paraId="55941C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1405EE1B">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所有者权益：</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4276247B">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EDDAF71">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4C092155">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44000309">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46717812">
            <w:pPr>
              <w:spacing w:line="360" w:lineRule="auto"/>
              <w:jc w:val="center"/>
              <w:rPr>
                <w:rFonts w:hint="eastAsia" w:ascii="Times New Roman" w:hAnsi="Times New Roman" w:eastAsia="楷体" w:cs="楷体"/>
                <w:b w:val="0"/>
                <w:i w:val="0"/>
                <w:iCs w:val="0"/>
                <w:color w:val="000000"/>
                <w:sz w:val="24"/>
                <w:szCs w:val="21"/>
                <w:highlight w:val="none"/>
                <w:u w:val="none"/>
              </w:rPr>
            </w:pPr>
          </w:p>
        </w:tc>
      </w:tr>
      <w:tr w14:paraId="51340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6CA70106">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股本</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196E6905">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435,000.00</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54E790C7">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475,000.00</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33342751">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494,000.00</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2AAF3434">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513,760.00</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3379AC78">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534,310.40</w:t>
            </w:r>
          </w:p>
        </w:tc>
      </w:tr>
      <w:tr w14:paraId="32C062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71BBD3C2">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其他权益工具</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7B6425B4">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1DBE28EF">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3BAFB556">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29C91AA7">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53CE1EA3">
            <w:pPr>
              <w:spacing w:line="360" w:lineRule="auto"/>
              <w:jc w:val="center"/>
              <w:rPr>
                <w:rFonts w:hint="eastAsia" w:ascii="Times New Roman" w:hAnsi="Times New Roman" w:eastAsia="楷体" w:cs="楷体"/>
                <w:b w:val="0"/>
                <w:i w:val="0"/>
                <w:iCs w:val="0"/>
                <w:color w:val="000000"/>
                <w:sz w:val="24"/>
                <w:szCs w:val="21"/>
                <w:highlight w:val="none"/>
                <w:u w:val="none"/>
              </w:rPr>
            </w:pPr>
          </w:p>
        </w:tc>
      </w:tr>
      <w:tr w14:paraId="7E3A9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26051CA0">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资本公积</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72536F9D">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1,305,000.00</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2FEDCA42">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1,365,000.00</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6A339811">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1,419,600.00</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280F3C80">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1,476,384.00</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3D150E5A">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1,535,439.44</w:t>
            </w:r>
          </w:p>
        </w:tc>
      </w:tr>
      <w:tr w14:paraId="1BCDE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3A75B40B">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盈余公积</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2C050B3">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3D4C34DD">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60,398.71</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9E9BCC1">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62,814.66</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548E41B7">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65,327.24</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243699D0">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67,940.33</w:t>
            </w:r>
          </w:p>
        </w:tc>
      </w:tr>
      <w:tr w14:paraId="467BB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33A33CD1">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未分配利润</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75565C6D">
            <w:pPr>
              <w:spacing w:line="360" w:lineRule="auto"/>
              <w:jc w:val="center"/>
              <w:rPr>
                <w:rFonts w:hint="eastAsia" w:ascii="Times New Roman" w:hAnsi="Times New Roman" w:eastAsia="楷体" w:cs="楷体"/>
                <w:b w:val="0"/>
                <w:i w:val="0"/>
                <w:iCs w:val="0"/>
                <w:color w:val="000000"/>
                <w:sz w:val="24"/>
                <w:szCs w:val="21"/>
                <w:highlight w:val="none"/>
                <w:u w:val="none"/>
              </w:rPr>
            </w:pP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5FED6F70">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543,588.35</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641272BA">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565,331.89</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61A9609F">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587,945.16</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0729D678">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611,462.97</w:t>
            </w:r>
          </w:p>
        </w:tc>
      </w:tr>
      <w:tr w14:paraId="0C027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5"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9C4E57F">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所有者权益合计</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08B85496">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1,740,000.00</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47C9B5F3">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2,443,987.06</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303A19C6">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2,541,746.55</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4C25D65F">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2,643,416.41</w:t>
            </w:r>
          </w:p>
        </w:tc>
        <w:tc>
          <w:tcPr>
            <w:tcW w:w="166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4C27F8C3">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2,749,153.14</w:t>
            </w:r>
          </w:p>
        </w:tc>
      </w:tr>
      <w:tr w14:paraId="0E2949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5" w:hRule="atLeast"/>
          <w:jc w:val="center"/>
        </w:trPr>
        <w:tc>
          <w:tcPr>
            <w:tcW w:w="137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4E70D581">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18"/>
                <w:highlight w:val="none"/>
                <w:u w:val="none"/>
              </w:rPr>
            </w:pPr>
            <w:r>
              <w:rPr>
                <w:rFonts w:hint="eastAsia" w:ascii="Times New Roman" w:hAnsi="Times New Roman" w:eastAsia="楷体" w:cs="楷体"/>
                <w:b w:val="0"/>
                <w:i w:val="0"/>
                <w:iCs w:val="0"/>
                <w:color w:val="000000"/>
                <w:kern w:val="0"/>
                <w:sz w:val="24"/>
                <w:szCs w:val="18"/>
                <w:highlight w:val="none"/>
                <w:u w:val="none"/>
                <w:lang w:val="en-US" w:eastAsia="zh-CN" w:bidi="ar"/>
              </w:rPr>
              <w:t>负债和所有者权益总计</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3B425536">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4,428,490.00</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69C68CE1">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5,201,834.21</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075837E3">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5,409,907.58</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18AE8958">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5,626,303.89</w:t>
            </w:r>
          </w:p>
        </w:tc>
        <w:tc>
          <w:tcPr>
            <w:tcW w:w="166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37AF95A4">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sz w:val="24"/>
                <w:szCs w:val="21"/>
                <w:highlight w:val="none"/>
                <w:u w:val="none"/>
              </w:rPr>
            </w:pPr>
            <w:r>
              <w:rPr>
                <w:rFonts w:hint="eastAsia" w:ascii="Times New Roman" w:hAnsi="Times New Roman" w:eastAsia="楷体" w:cs="楷体"/>
                <w:b w:val="0"/>
                <w:i w:val="0"/>
                <w:iCs w:val="0"/>
                <w:color w:val="000000"/>
                <w:kern w:val="0"/>
                <w:sz w:val="24"/>
                <w:szCs w:val="21"/>
                <w:highlight w:val="none"/>
                <w:u w:val="none"/>
                <w:lang w:val="en-US" w:eastAsia="zh-CN" w:bidi="ar"/>
              </w:rPr>
              <w:t>5,851,356.04</w:t>
            </w:r>
          </w:p>
        </w:tc>
      </w:tr>
    </w:tbl>
    <w:p w14:paraId="588834AB">
      <w:pPr>
        <w:spacing w:line="360" w:lineRule="auto"/>
        <w:rPr>
          <w:rFonts w:hint="eastAsia"/>
          <w:highlight w:val="none"/>
          <w:lang w:val="en-US"/>
        </w:rPr>
      </w:pPr>
      <w:r>
        <w:rPr>
          <w:rFonts w:hint="eastAsia"/>
          <w:highlight w:val="none"/>
          <w:lang w:val="en-US"/>
        </w:rPr>
        <w:br w:type="page"/>
      </w:r>
    </w:p>
    <w:p w14:paraId="22AD7E28">
      <w:pPr>
        <w:pStyle w:val="4"/>
        <w:bidi w:val="0"/>
        <w:spacing w:before="0" w:beforeLines="0" w:beforeAutospacing="0" w:line="360" w:lineRule="auto"/>
        <w:rPr>
          <w:rFonts w:hint="eastAsia"/>
          <w:highlight w:val="none"/>
          <w:lang w:val="en-US"/>
        </w:rPr>
      </w:pPr>
      <w:bookmarkStart w:id="152" w:name="_Toc4200"/>
      <w:bookmarkStart w:id="153" w:name="_Toc21173"/>
      <w:r>
        <w:rPr>
          <w:rFonts w:hint="eastAsia"/>
          <w:highlight w:val="none"/>
          <w:lang w:val="en-US"/>
        </w:rPr>
        <w:t>8.2.3现金流表</w:t>
      </w:r>
      <w:bookmarkEnd w:id="152"/>
      <w:bookmarkEnd w:id="153"/>
    </w:p>
    <w:tbl>
      <w:tblPr>
        <w:tblStyle w:val="17"/>
        <w:tblW w:w="1025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66"/>
        <w:gridCol w:w="1685"/>
        <w:gridCol w:w="1618"/>
        <w:gridCol w:w="1602"/>
        <w:gridCol w:w="1685"/>
        <w:gridCol w:w="1697"/>
      </w:tblGrid>
      <w:tr w14:paraId="26373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jc w:val="center"/>
        </w:trPr>
        <w:tc>
          <w:tcPr>
            <w:tcW w:w="1966" w:type="dxa"/>
            <w:tcBorders>
              <w:top w:val="single" w:color="FFFFFF" w:sz="8" w:space="0"/>
              <w:left w:val="single" w:color="FFFFFF" w:sz="8" w:space="0"/>
              <w:bottom w:val="single" w:color="FFFFFF" w:sz="8" w:space="0"/>
              <w:right w:val="single" w:color="FFFFFF" w:sz="8" w:space="0"/>
            </w:tcBorders>
            <w:shd w:val="clear" w:color="auto" w:fill="4F81BD" w:themeFill="accent1"/>
            <w:vAlign w:val="center"/>
          </w:tcPr>
          <w:p w14:paraId="6C4AB567">
            <w:pPr>
              <w:keepNext w:val="0"/>
              <w:keepLines w:val="0"/>
              <w:widowControl/>
              <w:suppressLineNumbers w:val="0"/>
              <w:spacing w:line="360" w:lineRule="auto"/>
              <w:jc w:val="center"/>
              <w:textAlignment w:val="top"/>
              <w:rPr>
                <w:rFonts w:hint="eastAsia" w:ascii="Times New Roman" w:hAnsi="Times New Roman" w:eastAsia="楷体" w:cs="楷体"/>
                <w:b/>
                <w:bCs/>
                <w:i w:val="0"/>
                <w:iCs w:val="0"/>
                <w:color w:val="FFFFFF"/>
                <w:kern w:val="0"/>
                <w:sz w:val="24"/>
                <w:szCs w:val="18"/>
                <w:highlight w:val="none"/>
                <w:u w:val="none"/>
                <w:lang w:val="en-US" w:eastAsia="zh-CN" w:bidi="ar"/>
              </w:rPr>
            </w:pPr>
            <w:r>
              <w:rPr>
                <w:rFonts w:hint="eastAsia" w:ascii="Times New Roman" w:hAnsi="Times New Roman" w:eastAsia="楷体" w:cs="楷体"/>
                <w:b/>
                <w:bCs/>
                <w:i w:val="0"/>
                <w:iCs w:val="0"/>
                <w:color w:val="FFFFFF"/>
                <w:kern w:val="0"/>
                <w:sz w:val="24"/>
                <w:szCs w:val="18"/>
                <w:highlight w:val="none"/>
                <w:u w:val="none"/>
                <w:lang w:val="en-US" w:eastAsia="zh-CN" w:bidi="ar"/>
              </w:rPr>
              <w:t>项目</w:t>
            </w:r>
          </w:p>
        </w:tc>
        <w:tc>
          <w:tcPr>
            <w:tcW w:w="1685" w:type="dxa"/>
            <w:tcBorders>
              <w:top w:val="single" w:color="FFFFFF" w:sz="8" w:space="0"/>
              <w:left w:val="single" w:color="FFFFFF" w:sz="8" w:space="0"/>
              <w:bottom w:val="single" w:color="FFFFFF" w:sz="8" w:space="0"/>
              <w:right w:val="single" w:color="FFFFFF" w:sz="8" w:space="0"/>
            </w:tcBorders>
            <w:shd w:val="clear" w:color="auto" w:fill="4F81BD" w:themeFill="accent1"/>
            <w:vAlign w:val="center"/>
          </w:tcPr>
          <w:p w14:paraId="032CF323">
            <w:pPr>
              <w:keepNext w:val="0"/>
              <w:keepLines w:val="0"/>
              <w:widowControl/>
              <w:suppressLineNumbers w:val="0"/>
              <w:spacing w:line="360" w:lineRule="auto"/>
              <w:jc w:val="center"/>
              <w:textAlignment w:val="top"/>
              <w:rPr>
                <w:rFonts w:hint="eastAsia" w:ascii="Times New Roman" w:hAnsi="Times New Roman" w:eastAsia="楷体" w:cs="楷体"/>
                <w:b/>
                <w:bCs/>
                <w:i w:val="0"/>
                <w:iCs w:val="0"/>
                <w:color w:val="FFFFFF"/>
                <w:kern w:val="0"/>
                <w:sz w:val="24"/>
                <w:szCs w:val="18"/>
                <w:highlight w:val="none"/>
                <w:u w:val="none"/>
                <w:lang w:val="en-US" w:eastAsia="zh-CN" w:bidi="ar"/>
              </w:rPr>
            </w:pPr>
            <w:r>
              <w:rPr>
                <w:rFonts w:hint="eastAsia" w:ascii="Times New Roman" w:hAnsi="Times New Roman" w:eastAsia="楷体" w:cs="楷体"/>
                <w:b/>
                <w:bCs/>
                <w:i w:val="0"/>
                <w:iCs w:val="0"/>
                <w:color w:val="FFFFFF"/>
                <w:kern w:val="0"/>
                <w:sz w:val="24"/>
                <w:szCs w:val="18"/>
                <w:highlight w:val="none"/>
                <w:u w:val="none"/>
                <w:lang w:val="en-US" w:eastAsia="zh-CN" w:bidi="ar"/>
              </w:rPr>
              <w:t>202</w:t>
            </w:r>
            <w:r>
              <w:rPr>
                <w:rFonts w:hint="eastAsia" w:cs="楷体"/>
                <w:b/>
                <w:bCs/>
                <w:i w:val="0"/>
                <w:iCs w:val="0"/>
                <w:color w:val="FFFFFF"/>
                <w:kern w:val="0"/>
                <w:sz w:val="24"/>
                <w:szCs w:val="18"/>
                <w:highlight w:val="none"/>
                <w:u w:val="none"/>
                <w:lang w:val="en-US" w:eastAsia="zh-CN" w:bidi="ar"/>
              </w:rPr>
              <w:t>6</w:t>
            </w:r>
            <w:r>
              <w:rPr>
                <w:rFonts w:hint="eastAsia" w:ascii="Times New Roman" w:hAnsi="Times New Roman" w:eastAsia="楷体" w:cs="楷体"/>
                <w:b/>
                <w:bCs/>
                <w:i w:val="0"/>
                <w:iCs w:val="0"/>
                <w:color w:val="FFFFFF"/>
                <w:kern w:val="0"/>
                <w:sz w:val="24"/>
                <w:szCs w:val="18"/>
                <w:highlight w:val="none"/>
                <w:u w:val="none"/>
                <w:lang w:val="en-US" w:eastAsia="zh-CN" w:bidi="ar"/>
              </w:rPr>
              <w:t>年度</w:t>
            </w:r>
          </w:p>
        </w:tc>
        <w:tc>
          <w:tcPr>
            <w:tcW w:w="1618" w:type="dxa"/>
            <w:tcBorders>
              <w:top w:val="single" w:color="FFFFFF" w:sz="8" w:space="0"/>
              <w:left w:val="single" w:color="FFFFFF" w:sz="8" w:space="0"/>
              <w:bottom w:val="single" w:color="FFFFFF" w:sz="8" w:space="0"/>
              <w:right w:val="single" w:color="FFFFFF" w:sz="8" w:space="0"/>
            </w:tcBorders>
            <w:shd w:val="clear" w:color="auto" w:fill="4F81BD" w:themeFill="accent1"/>
            <w:vAlign w:val="center"/>
          </w:tcPr>
          <w:p w14:paraId="06368C8F">
            <w:pPr>
              <w:keepNext w:val="0"/>
              <w:keepLines w:val="0"/>
              <w:widowControl/>
              <w:suppressLineNumbers w:val="0"/>
              <w:spacing w:line="360" w:lineRule="auto"/>
              <w:jc w:val="center"/>
              <w:textAlignment w:val="top"/>
              <w:rPr>
                <w:rFonts w:hint="eastAsia" w:ascii="Times New Roman" w:hAnsi="Times New Roman" w:eastAsia="楷体" w:cs="楷体"/>
                <w:b/>
                <w:bCs/>
                <w:i w:val="0"/>
                <w:iCs w:val="0"/>
                <w:color w:val="FFFFFF"/>
                <w:kern w:val="0"/>
                <w:sz w:val="24"/>
                <w:szCs w:val="18"/>
                <w:highlight w:val="none"/>
                <w:u w:val="none"/>
                <w:lang w:val="en-US" w:eastAsia="zh-CN" w:bidi="ar"/>
              </w:rPr>
            </w:pPr>
            <w:r>
              <w:rPr>
                <w:rFonts w:hint="eastAsia" w:ascii="Times New Roman" w:hAnsi="Times New Roman" w:eastAsia="楷体" w:cs="楷体"/>
                <w:b/>
                <w:bCs/>
                <w:i w:val="0"/>
                <w:iCs w:val="0"/>
                <w:color w:val="FFFFFF"/>
                <w:kern w:val="0"/>
                <w:sz w:val="24"/>
                <w:szCs w:val="18"/>
                <w:highlight w:val="none"/>
                <w:u w:val="none"/>
                <w:lang w:val="en-US" w:eastAsia="zh-CN" w:bidi="ar"/>
              </w:rPr>
              <w:t>202</w:t>
            </w:r>
            <w:r>
              <w:rPr>
                <w:rFonts w:hint="eastAsia" w:cs="楷体"/>
                <w:b/>
                <w:bCs/>
                <w:i w:val="0"/>
                <w:iCs w:val="0"/>
                <w:color w:val="FFFFFF"/>
                <w:kern w:val="0"/>
                <w:sz w:val="24"/>
                <w:szCs w:val="18"/>
                <w:highlight w:val="none"/>
                <w:u w:val="none"/>
                <w:lang w:val="en-US" w:eastAsia="zh-CN" w:bidi="ar"/>
              </w:rPr>
              <w:t>7</w:t>
            </w:r>
            <w:r>
              <w:rPr>
                <w:rFonts w:hint="eastAsia" w:ascii="Times New Roman" w:hAnsi="Times New Roman" w:eastAsia="楷体" w:cs="楷体"/>
                <w:b/>
                <w:bCs/>
                <w:i w:val="0"/>
                <w:iCs w:val="0"/>
                <w:color w:val="FFFFFF"/>
                <w:kern w:val="0"/>
                <w:sz w:val="24"/>
                <w:szCs w:val="18"/>
                <w:highlight w:val="none"/>
                <w:u w:val="none"/>
                <w:lang w:val="en-US" w:eastAsia="zh-CN" w:bidi="ar"/>
              </w:rPr>
              <w:t>年度</w:t>
            </w:r>
          </w:p>
        </w:tc>
        <w:tc>
          <w:tcPr>
            <w:tcW w:w="1602" w:type="dxa"/>
            <w:tcBorders>
              <w:top w:val="single" w:color="FFFFFF" w:sz="8" w:space="0"/>
              <w:left w:val="single" w:color="FFFFFF" w:sz="8" w:space="0"/>
              <w:bottom w:val="single" w:color="FFFFFF" w:sz="8" w:space="0"/>
              <w:right w:val="single" w:color="FFFFFF" w:sz="8" w:space="0"/>
            </w:tcBorders>
            <w:shd w:val="clear" w:color="auto" w:fill="4F81BD" w:themeFill="accent1"/>
            <w:vAlign w:val="center"/>
          </w:tcPr>
          <w:p w14:paraId="68736F5D">
            <w:pPr>
              <w:keepNext w:val="0"/>
              <w:keepLines w:val="0"/>
              <w:widowControl/>
              <w:suppressLineNumbers w:val="0"/>
              <w:spacing w:line="360" w:lineRule="auto"/>
              <w:jc w:val="center"/>
              <w:textAlignment w:val="top"/>
              <w:rPr>
                <w:rFonts w:hint="eastAsia" w:ascii="Times New Roman" w:hAnsi="Times New Roman" w:eastAsia="楷体" w:cs="楷体"/>
                <w:b/>
                <w:bCs/>
                <w:i w:val="0"/>
                <w:iCs w:val="0"/>
                <w:color w:val="FFFFFF"/>
                <w:kern w:val="0"/>
                <w:sz w:val="24"/>
                <w:szCs w:val="18"/>
                <w:highlight w:val="none"/>
                <w:u w:val="none"/>
                <w:lang w:val="en-US" w:eastAsia="zh-CN" w:bidi="ar"/>
              </w:rPr>
            </w:pPr>
            <w:r>
              <w:rPr>
                <w:rFonts w:hint="eastAsia" w:ascii="Times New Roman" w:hAnsi="Times New Roman" w:eastAsia="楷体" w:cs="楷体"/>
                <w:b/>
                <w:bCs/>
                <w:i w:val="0"/>
                <w:iCs w:val="0"/>
                <w:color w:val="FFFFFF"/>
                <w:kern w:val="0"/>
                <w:sz w:val="24"/>
                <w:szCs w:val="18"/>
                <w:highlight w:val="none"/>
                <w:u w:val="none"/>
                <w:lang w:val="en-US" w:eastAsia="zh-CN" w:bidi="ar"/>
              </w:rPr>
              <w:t>202</w:t>
            </w:r>
            <w:r>
              <w:rPr>
                <w:rFonts w:hint="eastAsia" w:cs="楷体"/>
                <w:b/>
                <w:bCs/>
                <w:i w:val="0"/>
                <w:iCs w:val="0"/>
                <w:color w:val="FFFFFF"/>
                <w:kern w:val="0"/>
                <w:sz w:val="24"/>
                <w:szCs w:val="18"/>
                <w:highlight w:val="none"/>
                <w:u w:val="none"/>
                <w:lang w:val="en-US" w:eastAsia="zh-CN" w:bidi="ar"/>
              </w:rPr>
              <w:t>8</w:t>
            </w:r>
            <w:r>
              <w:rPr>
                <w:rFonts w:hint="eastAsia" w:ascii="Times New Roman" w:hAnsi="Times New Roman" w:eastAsia="楷体" w:cs="楷体"/>
                <w:b/>
                <w:bCs/>
                <w:i w:val="0"/>
                <w:iCs w:val="0"/>
                <w:color w:val="FFFFFF"/>
                <w:kern w:val="0"/>
                <w:sz w:val="24"/>
                <w:szCs w:val="18"/>
                <w:highlight w:val="none"/>
                <w:u w:val="none"/>
                <w:lang w:val="en-US" w:eastAsia="zh-CN" w:bidi="ar"/>
              </w:rPr>
              <w:t>年度</w:t>
            </w:r>
          </w:p>
        </w:tc>
        <w:tc>
          <w:tcPr>
            <w:tcW w:w="1685" w:type="dxa"/>
            <w:tcBorders>
              <w:top w:val="single" w:color="FFFFFF" w:sz="8" w:space="0"/>
              <w:left w:val="single" w:color="FFFFFF" w:sz="8" w:space="0"/>
              <w:bottom w:val="single" w:color="FFFFFF" w:sz="8" w:space="0"/>
              <w:right w:val="single" w:color="FFFFFF" w:sz="8" w:space="0"/>
            </w:tcBorders>
            <w:shd w:val="clear" w:color="auto" w:fill="4F81BD" w:themeFill="accent1"/>
            <w:vAlign w:val="center"/>
          </w:tcPr>
          <w:p w14:paraId="2ACA9DD1">
            <w:pPr>
              <w:keepNext w:val="0"/>
              <w:keepLines w:val="0"/>
              <w:widowControl/>
              <w:suppressLineNumbers w:val="0"/>
              <w:spacing w:line="360" w:lineRule="auto"/>
              <w:jc w:val="center"/>
              <w:textAlignment w:val="top"/>
              <w:rPr>
                <w:rFonts w:hint="eastAsia" w:ascii="Times New Roman" w:hAnsi="Times New Roman" w:eastAsia="楷体" w:cs="楷体"/>
                <w:b/>
                <w:bCs/>
                <w:i w:val="0"/>
                <w:iCs w:val="0"/>
                <w:color w:val="FFFFFF"/>
                <w:kern w:val="0"/>
                <w:sz w:val="24"/>
                <w:szCs w:val="18"/>
                <w:highlight w:val="none"/>
                <w:u w:val="none"/>
                <w:lang w:val="en-US" w:eastAsia="zh-CN" w:bidi="ar"/>
              </w:rPr>
            </w:pPr>
            <w:r>
              <w:rPr>
                <w:rFonts w:hint="eastAsia" w:ascii="Times New Roman" w:hAnsi="Times New Roman" w:eastAsia="楷体" w:cs="楷体"/>
                <w:b/>
                <w:bCs/>
                <w:i w:val="0"/>
                <w:iCs w:val="0"/>
                <w:color w:val="FFFFFF"/>
                <w:kern w:val="0"/>
                <w:sz w:val="24"/>
                <w:szCs w:val="18"/>
                <w:highlight w:val="none"/>
                <w:u w:val="none"/>
                <w:lang w:val="en-US" w:eastAsia="zh-CN" w:bidi="ar"/>
              </w:rPr>
              <w:t>202</w:t>
            </w:r>
            <w:r>
              <w:rPr>
                <w:rFonts w:hint="eastAsia" w:cs="楷体"/>
                <w:b/>
                <w:bCs/>
                <w:i w:val="0"/>
                <w:iCs w:val="0"/>
                <w:color w:val="FFFFFF"/>
                <w:kern w:val="0"/>
                <w:sz w:val="24"/>
                <w:szCs w:val="18"/>
                <w:highlight w:val="none"/>
                <w:u w:val="none"/>
                <w:lang w:val="en-US" w:eastAsia="zh-CN" w:bidi="ar"/>
              </w:rPr>
              <w:t>9</w:t>
            </w:r>
            <w:r>
              <w:rPr>
                <w:rFonts w:hint="eastAsia" w:ascii="Times New Roman" w:hAnsi="Times New Roman" w:eastAsia="楷体" w:cs="楷体"/>
                <w:b/>
                <w:bCs/>
                <w:i w:val="0"/>
                <w:iCs w:val="0"/>
                <w:color w:val="FFFFFF"/>
                <w:kern w:val="0"/>
                <w:sz w:val="24"/>
                <w:szCs w:val="18"/>
                <w:highlight w:val="none"/>
                <w:u w:val="none"/>
                <w:lang w:val="en-US" w:eastAsia="zh-CN" w:bidi="ar"/>
              </w:rPr>
              <w:t>年度</w:t>
            </w:r>
          </w:p>
        </w:tc>
        <w:tc>
          <w:tcPr>
            <w:tcW w:w="1697" w:type="dxa"/>
            <w:tcBorders>
              <w:top w:val="single" w:color="FFFFFF" w:sz="8" w:space="0"/>
              <w:left w:val="single" w:color="FFFFFF" w:sz="8" w:space="0"/>
              <w:bottom w:val="single" w:color="FFFFFF" w:sz="8" w:space="0"/>
              <w:right w:val="single" w:color="FFFFFF" w:sz="8" w:space="0"/>
            </w:tcBorders>
            <w:shd w:val="clear" w:color="auto" w:fill="4F81BD" w:themeFill="accent1"/>
            <w:vAlign w:val="center"/>
          </w:tcPr>
          <w:p w14:paraId="01052104">
            <w:pPr>
              <w:keepNext w:val="0"/>
              <w:keepLines w:val="0"/>
              <w:widowControl/>
              <w:suppressLineNumbers w:val="0"/>
              <w:spacing w:line="360" w:lineRule="auto"/>
              <w:jc w:val="center"/>
              <w:textAlignment w:val="top"/>
              <w:rPr>
                <w:rFonts w:hint="eastAsia" w:ascii="Times New Roman" w:hAnsi="Times New Roman" w:eastAsia="楷体" w:cs="楷体"/>
                <w:b/>
                <w:bCs/>
                <w:i w:val="0"/>
                <w:iCs w:val="0"/>
                <w:color w:val="FFFFFF"/>
                <w:kern w:val="0"/>
                <w:sz w:val="24"/>
                <w:szCs w:val="18"/>
                <w:highlight w:val="none"/>
                <w:u w:val="none"/>
                <w:lang w:val="en-US" w:eastAsia="zh-CN" w:bidi="ar"/>
              </w:rPr>
            </w:pPr>
            <w:r>
              <w:rPr>
                <w:rFonts w:hint="eastAsia" w:ascii="Times New Roman" w:hAnsi="Times New Roman" w:eastAsia="楷体" w:cs="楷体"/>
                <w:b/>
                <w:bCs/>
                <w:i w:val="0"/>
                <w:iCs w:val="0"/>
                <w:color w:val="FFFFFF"/>
                <w:kern w:val="0"/>
                <w:sz w:val="24"/>
                <w:szCs w:val="18"/>
                <w:highlight w:val="none"/>
                <w:u w:val="none"/>
                <w:lang w:val="en-US" w:eastAsia="zh-CN" w:bidi="ar"/>
              </w:rPr>
              <w:t>20</w:t>
            </w:r>
            <w:r>
              <w:rPr>
                <w:rFonts w:hint="eastAsia" w:cs="楷体"/>
                <w:b/>
                <w:bCs/>
                <w:i w:val="0"/>
                <w:iCs w:val="0"/>
                <w:color w:val="FFFFFF"/>
                <w:kern w:val="0"/>
                <w:sz w:val="24"/>
                <w:szCs w:val="18"/>
                <w:highlight w:val="none"/>
                <w:u w:val="none"/>
                <w:lang w:val="en-US" w:eastAsia="zh-CN" w:bidi="ar"/>
              </w:rPr>
              <w:t>30</w:t>
            </w:r>
            <w:r>
              <w:rPr>
                <w:rFonts w:hint="eastAsia" w:ascii="Times New Roman" w:hAnsi="Times New Roman" w:eastAsia="楷体" w:cs="楷体"/>
                <w:b/>
                <w:bCs/>
                <w:i w:val="0"/>
                <w:iCs w:val="0"/>
                <w:color w:val="FFFFFF"/>
                <w:kern w:val="0"/>
                <w:sz w:val="24"/>
                <w:szCs w:val="18"/>
                <w:highlight w:val="none"/>
                <w:u w:val="none"/>
                <w:lang w:val="en-US" w:eastAsia="zh-CN" w:bidi="ar"/>
              </w:rPr>
              <w:t>年度</w:t>
            </w:r>
          </w:p>
        </w:tc>
      </w:tr>
      <w:tr w14:paraId="303254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jc w:val="center"/>
        </w:trPr>
        <w:tc>
          <w:tcPr>
            <w:tcW w:w="1966"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14CF1502">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一、经营活动产生的现金流量：</w:t>
            </w:r>
          </w:p>
        </w:tc>
        <w:tc>
          <w:tcPr>
            <w:tcW w:w="1685"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4969B0D9">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18"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565665F5">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02"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3EFD82B1">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85"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116985D5">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97"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15E4CD2C">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r>
      <w:tr w14:paraId="31C35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jc w:val="center"/>
        </w:trPr>
        <w:tc>
          <w:tcPr>
            <w:tcW w:w="1966"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3D603AEE">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销售商品、提供劳务收到的现金</w:t>
            </w:r>
          </w:p>
        </w:tc>
        <w:tc>
          <w:tcPr>
            <w:tcW w:w="1685"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1C2F3632">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1,870,871.39</w:t>
            </w:r>
          </w:p>
        </w:tc>
        <w:tc>
          <w:tcPr>
            <w:tcW w:w="1618"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30907E05">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2,417,111.39</w:t>
            </w:r>
          </w:p>
        </w:tc>
        <w:tc>
          <w:tcPr>
            <w:tcW w:w="1602"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46B09BD1">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3,211,162.25</w:t>
            </w:r>
          </w:p>
        </w:tc>
        <w:tc>
          <w:tcPr>
            <w:tcW w:w="1685"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22045993">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4,406,688.58</w:t>
            </w:r>
          </w:p>
        </w:tc>
        <w:tc>
          <w:tcPr>
            <w:tcW w:w="1697"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1458F4A3">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6,237,494.32</w:t>
            </w:r>
          </w:p>
        </w:tc>
      </w:tr>
      <w:tr w14:paraId="32BD8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jc w:val="center"/>
        </w:trPr>
        <w:tc>
          <w:tcPr>
            <w:tcW w:w="1966"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2225167D">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购买商品、接受劳务支付的现金</w:t>
            </w:r>
          </w:p>
        </w:tc>
        <w:tc>
          <w:tcPr>
            <w:tcW w:w="1685"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0F180592">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1,364,352.00</w:t>
            </w:r>
          </w:p>
        </w:tc>
        <w:tc>
          <w:tcPr>
            <w:tcW w:w="1618"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2B38E221">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1,637,222.00</w:t>
            </w:r>
          </w:p>
        </w:tc>
        <w:tc>
          <w:tcPr>
            <w:tcW w:w="1602"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229BB0AE">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2,051,075.00</w:t>
            </w:r>
          </w:p>
        </w:tc>
        <w:tc>
          <w:tcPr>
            <w:tcW w:w="1685"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593394D2">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2,666,171.00</w:t>
            </w:r>
          </w:p>
        </w:tc>
        <w:tc>
          <w:tcPr>
            <w:tcW w:w="1697"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1D0DB669">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3,599,331.00</w:t>
            </w:r>
          </w:p>
        </w:tc>
      </w:tr>
      <w:tr w14:paraId="1C618C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jc w:val="center"/>
        </w:trPr>
        <w:tc>
          <w:tcPr>
            <w:tcW w:w="1966"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5ABA65A2">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支付给职工以及为职工支付的现金</w:t>
            </w:r>
          </w:p>
        </w:tc>
        <w:tc>
          <w:tcPr>
            <w:tcW w:w="1685"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36BECD37">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18"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32B7D409">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02"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361AAC7C">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85"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00D00728">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97"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567CC8B7">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r>
      <w:tr w14:paraId="2709A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jc w:val="center"/>
        </w:trPr>
        <w:tc>
          <w:tcPr>
            <w:tcW w:w="1966"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353A9F42">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支付的各项税费</w:t>
            </w:r>
          </w:p>
        </w:tc>
        <w:tc>
          <w:tcPr>
            <w:tcW w:w="1685"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6A0ED021">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69,883.78</w:t>
            </w:r>
          </w:p>
        </w:tc>
        <w:tc>
          <w:tcPr>
            <w:tcW w:w="1618"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22CCB35D">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90,980.00</w:t>
            </w:r>
          </w:p>
        </w:tc>
        <w:tc>
          <w:tcPr>
            <w:tcW w:w="1602"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02EB3FD0">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114,500.00</w:t>
            </w:r>
          </w:p>
        </w:tc>
        <w:tc>
          <w:tcPr>
            <w:tcW w:w="1685"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50A3A84D">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153,250.00</w:t>
            </w:r>
          </w:p>
        </w:tc>
        <w:tc>
          <w:tcPr>
            <w:tcW w:w="1697"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507CDE8C">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210,500.00</w:t>
            </w:r>
          </w:p>
        </w:tc>
      </w:tr>
      <w:tr w14:paraId="56622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jc w:val="center"/>
        </w:trPr>
        <w:tc>
          <w:tcPr>
            <w:tcW w:w="1966"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20A47C18">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经营活动产生的现金流量净额</w:t>
            </w:r>
          </w:p>
        </w:tc>
        <w:tc>
          <w:tcPr>
            <w:tcW w:w="1685"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3C20C799">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436,635.61</w:t>
            </w:r>
          </w:p>
        </w:tc>
        <w:tc>
          <w:tcPr>
            <w:tcW w:w="1618"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2548A66D">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688,909.39</w:t>
            </w:r>
          </w:p>
        </w:tc>
        <w:tc>
          <w:tcPr>
            <w:tcW w:w="1602"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D6CB286">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1,045,587.25</w:t>
            </w:r>
          </w:p>
        </w:tc>
        <w:tc>
          <w:tcPr>
            <w:tcW w:w="1685"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24FA57E3">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1,587,267.58</w:t>
            </w:r>
          </w:p>
        </w:tc>
        <w:tc>
          <w:tcPr>
            <w:tcW w:w="1697"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2299ACF1">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2,427,663.32</w:t>
            </w:r>
          </w:p>
        </w:tc>
      </w:tr>
      <w:tr w14:paraId="7FD22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jc w:val="center"/>
        </w:trPr>
        <w:tc>
          <w:tcPr>
            <w:tcW w:w="1966"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01E1F5D4">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二、投资活动产生的现金流量：</w:t>
            </w:r>
          </w:p>
        </w:tc>
        <w:tc>
          <w:tcPr>
            <w:tcW w:w="1685"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075C08DB">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18"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6ED9CAFB">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02"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26F38296">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85"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5FCBC4C8">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97"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1DD2DC7B">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r>
      <w:tr w14:paraId="72FBB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jc w:val="center"/>
        </w:trPr>
        <w:tc>
          <w:tcPr>
            <w:tcW w:w="1966"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4C727427">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投资支付的现金</w:t>
            </w:r>
          </w:p>
        </w:tc>
        <w:tc>
          <w:tcPr>
            <w:tcW w:w="1685"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1C5A2DCC">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18"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4305588">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02"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414F1A45">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85"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5D25A44C">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97"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5AC2C4B8">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r>
      <w:tr w14:paraId="44434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jc w:val="center"/>
        </w:trPr>
        <w:tc>
          <w:tcPr>
            <w:tcW w:w="1966"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18CA4F21">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支付其他与投资活动有关的现金</w:t>
            </w:r>
          </w:p>
        </w:tc>
        <w:tc>
          <w:tcPr>
            <w:tcW w:w="1685"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6D1A7AB0">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18"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57E07AAE">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02"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2AF83226">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85"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7C396534">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97"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0DFC0812">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r>
      <w:tr w14:paraId="4FB715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jc w:val="center"/>
        </w:trPr>
        <w:tc>
          <w:tcPr>
            <w:tcW w:w="1966"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04668598">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三、筹资活动产生的现金流量：</w:t>
            </w:r>
          </w:p>
        </w:tc>
        <w:tc>
          <w:tcPr>
            <w:tcW w:w="1685"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03297072">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18"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4CA7DC6D">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02"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24C2E171">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85"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42AFBF4">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97"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534D8EBE">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r>
      <w:tr w14:paraId="06A12A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jc w:val="center"/>
        </w:trPr>
        <w:tc>
          <w:tcPr>
            <w:tcW w:w="1966"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61FABFA1">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偿还债务支付的现金</w:t>
            </w:r>
          </w:p>
        </w:tc>
        <w:tc>
          <w:tcPr>
            <w:tcW w:w="1685"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16F8CB65">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40,400.00</w:t>
            </w:r>
          </w:p>
        </w:tc>
        <w:tc>
          <w:tcPr>
            <w:tcW w:w="1618"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63A63483">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41,208.00</w:t>
            </w:r>
          </w:p>
        </w:tc>
        <w:tc>
          <w:tcPr>
            <w:tcW w:w="1602"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5CECD788">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42,032.16</w:t>
            </w:r>
          </w:p>
        </w:tc>
        <w:tc>
          <w:tcPr>
            <w:tcW w:w="1685"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2AA182FD">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43,293.12</w:t>
            </w:r>
          </w:p>
        </w:tc>
        <w:tc>
          <w:tcPr>
            <w:tcW w:w="1697"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48186546">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44,591.92</w:t>
            </w:r>
          </w:p>
        </w:tc>
      </w:tr>
      <w:tr w14:paraId="76DD5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jc w:val="center"/>
        </w:trPr>
        <w:tc>
          <w:tcPr>
            <w:tcW w:w="1966"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1CE1496B">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取得借款收到的现金</w:t>
            </w:r>
          </w:p>
        </w:tc>
        <w:tc>
          <w:tcPr>
            <w:tcW w:w="1685"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754E22F0">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18"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8CA4608">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02"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ACC0539">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85"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78A13EC">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97"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7ABAD0F6">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r>
      <w:tr w14:paraId="26EDD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jc w:val="center"/>
        </w:trPr>
        <w:tc>
          <w:tcPr>
            <w:tcW w:w="1966"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2DAD8D49">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分配股利、利润或偿付利息支付的现金</w:t>
            </w:r>
          </w:p>
        </w:tc>
        <w:tc>
          <w:tcPr>
            <w:tcW w:w="1685"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2595152B">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18"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771CF17B">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02"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3D8E51D0">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85"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70FBE6D3">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97"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23B8E209">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r>
      <w:tr w14:paraId="7EE96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jc w:val="center"/>
        </w:trPr>
        <w:tc>
          <w:tcPr>
            <w:tcW w:w="1966"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5E8E2E73">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四、汇率变动对现金及现金等价物的影响</w:t>
            </w:r>
          </w:p>
        </w:tc>
        <w:tc>
          <w:tcPr>
            <w:tcW w:w="1685"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7664134">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396,235.61</w:t>
            </w:r>
          </w:p>
        </w:tc>
        <w:tc>
          <w:tcPr>
            <w:tcW w:w="1618"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02ED53B">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647,701.39</w:t>
            </w:r>
          </w:p>
        </w:tc>
        <w:tc>
          <w:tcPr>
            <w:tcW w:w="1602"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2784D310">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1,003,555.09</w:t>
            </w:r>
          </w:p>
        </w:tc>
        <w:tc>
          <w:tcPr>
            <w:tcW w:w="1685"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1B36FA12">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1,543,974.45</w:t>
            </w:r>
          </w:p>
        </w:tc>
        <w:tc>
          <w:tcPr>
            <w:tcW w:w="1697"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2EB91C5">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2,383,071.40</w:t>
            </w:r>
          </w:p>
        </w:tc>
      </w:tr>
      <w:tr w14:paraId="36D055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jc w:val="center"/>
        </w:trPr>
        <w:tc>
          <w:tcPr>
            <w:tcW w:w="1966"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48852EB9">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五、现金及现金等价物净增加额</w:t>
            </w:r>
          </w:p>
        </w:tc>
        <w:tc>
          <w:tcPr>
            <w:tcW w:w="1685"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1B68CC2D">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18"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1F2CF9D5">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02"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2FB71723">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85"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65BA5785">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97"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6B8C2319">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p>
        </w:tc>
      </w:tr>
      <w:tr w14:paraId="4311E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jc w:val="center"/>
        </w:trPr>
        <w:tc>
          <w:tcPr>
            <w:tcW w:w="1966"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074BF991">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加：期初现金及现金等价物余额</w:t>
            </w:r>
          </w:p>
        </w:tc>
        <w:tc>
          <w:tcPr>
            <w:tcW w:w="1685"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09CA2BA5">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752,000.00</w:t>
            </w:r>
          </w:p>
        </w:tc>
        <w:tc>
          <w:tcPr>
            <w:tcW w:w="1618"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305D8251">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1,148,235.61</w:t>
            </w:r>
          </w:p>
        </w:tc>
        <w:tc>
          <w:tcPr>
            <w:tcW w:w="1602"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41A6ED4A">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1,795,937.00</w:t>
            </w:r>
          </w:p>
        </w:tc>
        <w:tc>
          <w:tcPr>
            <w:tcW w:w="1685"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5AEA7998">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2,799,492.09</w:t>
            </w:r>
          </w:p>
        </w:tc>
        <w:tc>
          <w:tcPr>
            <w:tcW w:w="1697"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B5556AB">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4,343,466.54</w:t>
            </w:r>
          </w:p>
        </w:tc>
      </w:tr>
      <w:tr w14:paraId="720B8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jc w:val="center"/>
        </w:trPr>
        <w:tc>
          <w:tcPr>
            <w:tcW w:w="1966"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26954A20">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六、期末现金及现金等价物余额</w:t>
            </w:r>
          </w:p>
        </w:tc>
        <w:tc>
          <w:tcPr>
            <w:tcW w:w="1685"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3072F27C">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1,148,235.61</w:t>
            </w:r>
          </w:p>
        </w:tc>
        <w:tc>
          <w:tcPr>
            <w:tcW w:w="1618"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52D80909">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1,795,937.00</w:t>
            </w:r>
          </w:p>
        </w:tc>
        <w:tc>
          <w:tcPr>
            <w:tcW w:w="1602"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7723560E">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2,799,492.09</w:t>
            </w:r>
          </w:p>
        </w:tc>
        <w:tc>
          <w:tcPr>
            <w:tcW w:w="1685"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51A09F63">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4,343,466.54</w:t>
            </w:r>
          </w:p>
        </w:tc>
        <w:tc>
          <w:tcPr>
            <w:tcW w:w="1697"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69418EDA">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Times New Roman" w:hAnsi="Times New Roman" w:eastAsia="楷体" w:cs="楷体"/>
                <w:b w:val="0"/>
                <w:i w:val="0"/>
                <w:iCs w:val="0"/>
                <w:color w:val="000000"/>
                <w:kern w:val="0"/>
                <w:sz w:val="24"/>
                <w:szCs w:val="18"/>
                <w:highlight w:val="none"/>
                <w:u w:val="none"/>
                <w:lang w:val="en-US" w:eastAsia="zh-CN" w:bidi="ar"/>
              </w:rPr>
              <w:t>6,726,537.94</w:t>
            </w:r>
          </w:p>
        </w:tc>
      </w:tr>
    </w:tbl>
    <w:p w14:paraId="480BCA07">
      <w:pPr>
        <w:spacing w:line="360" w:lineRule="auto"/>
        <w:rPr>
          <w:rFonts w:hint="eastAsia"/>
          <w:highlight w:val="none"/>
          <w:lang w:val="en-US"/>
        </w:rPr>
      </w:pPr>
    </w:p>
    <w:p w14:paraId="078C8757">
      <w:pPr>
        <w:pStyle w:val="4"/>
        <w:bidi w:val="0"/>
        <w:spacing w:line="360" w:lineRule="auto"/>
        <w:rPr>
          <w:rFonts w:hint="eastAsia"/>
          <w:highlight w:val="none"/>
          <w:lang w:val="en-US"/>
        </w:rPr>
      </w:pPr>
      <w:bookmarkStart w:id="154" w:name="_Toc24323"/>
      <w:bookmarkStart w:id="155" w:name="_Toc1029"/>
      <w:r>
        <w:rPr>
          <w:rFonts w:hint="eastAsia"/>
          <w:highlight w:val="none"/>
          <w:lang w:val="en-US"/>
        </w:rPr>
        <w:t>8.2.4利润表</w:t>
      </w:r>
      <w:bookmarkEnd w:id="154"/>
      <w:bookmarkEnd w:id="155"/>
    </w:p>
    <w:tbl>
      <w:tblPr>
        <w:tblStyle w:val="17"/>
        <w:tblW w:w="99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50"/>
        <w:gridCol w:w="1650"/>
        <w:gridCol w:w="1650"/>
        <w:gridCol w:w="1650"/>
        <w:gridCol w:w="1650"/>
        <w:gridCol w:w="1650"/>
      </w:tblGrid>
      <w:tr w14:paraId="44E996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4" w:hRule="atLeast"/>
          <w:jc w:val="center"/>
        </w:trPr>
        <w:tc>
          <w:tcPr>
            <w:tcW w:w="1650" w:type="dxa"/>
            <w:tcBorders>
              <w:top w:val="single" w:color="FFFFFF" w:sz="8" w:space="0"/>
              <w:left w:val="single" w:color="FFFFFF" w:sz="8" w:space="0"/>
              <w:bottom w:val="single" w:color="FFFFFF" w:sz="8" w:space="0"/>
              <w:right w:val="single" w:color="FFFFFF" w:sz="8" w:space="0"/>
            </w:tcBorders>
            <w:shd w:val="clear" w:color="auto" w:fill="4F81BD" w:themeFill="accent1"/>
            <w:vAlign w:val="center"/>
          </w:tcPr>
          <w:p w14:paraId="75289F36">
            <w:pPr>
              <w:keepNext w:val="0"/>
              <w:keepLines w:val="0"/>
              <w:widowControl/>
              <w:suppressLineNumbers w:val="0"/>
              <w:spacing w:line="360" w:lineRule="auto"/>
              <w:jc w:val="center"/>
              <w:textAlignment w:val="top"/>
              <w:rPr>
                <w:rFonts w:hint="default" w:ascii="Times New Roman" w:hAnsi="Times New Roman" w:eastAsia="楷体" w:cs="楷体"/>
                <w:b/>
                <w:bCs/>
                <w:i w:val="0"/>
                <w:iCs w:val="0"/>
                <w:color w:val="FFFFFF"/>
                <w:kern w:val="0"/>
                <w:sz w:val="24"/>
                <w:szCs w:val="18"/>
                <w:highlight w:val="none"/>
                <w:u w:val="none"/>
                <w:lang w:val="en-US" w:eastAsia="zh-CN" w:bidi="ar"/>
              </w:rPr>
            </w:pPr>
            <w:r>
              <w:rPr>
                <w:rFonts w:hint="eastAsia" w:ascii="楷体" w:hAnsi="楷体" w:eastAsia="楷体" w:cs="楷体"/>
                <w:b/>
                <w:bCs/>
                <w:i w:val="0"/>
                <w:iCs w:val="0"/>
                <w:color w:val="FFFFFF"/>
                <w:kern w:val="0"/>
                <w:sz w:val="24"/>
                <w:szCs w:val="24"/>
                <w:highlight w:val="none"/>
                <w:u w:val="none"/>
                <w:lang w:val="en-US" w:eastAsia="zh-CN" w:bidi="ar"/>
              </w:rPr>
              <w:t>项目</w:t>
            </w:r>
          </w:p>
        </w:tc>
        <w:tc>
          <w:tcPr>
            <w:tcW w:w="1650" w:type="dxa"/>
            <w:tcBorders>
              <w:top w:val="single" w:color="FFFFFF" w:sz="8" w:space="0"/>
              <w:left w:val="single" w:color="FFFFFF" w:sz="8" w:space="0"/>
              <w:bottom w:val="single" w:color="FFFFFF" w:sz="8" w:space="0"/>
              <w:right w:val="single" w:color="FFFFFF" w:sz="8" w:space="0"/>
            </w:tcBorders>
            <w:shd w:val="clear" w:color="auto" w:fill="4F81BD" w:themeFill="accent1"/>
            <w:vAlign w:val="center"/>
          </w:tcPr>
          <w:p w14:paraId="2AA1546A">
            <w:pPr>
              <w:keepNext w:val="0"/>
              <w:keepLines w:val="0"/>
              <w:widowControl/>
              <w:suppressLineNumbers w:val="0"/>
              <w:spacing w:line="360" w:lineRule="auto"/>
              <w:jc w:val="center"/>
              <w:textAlignment w:val="top"/>
              <w:rPr>
                <w:rFonts w:hint="eastAsia" w:ascii="Times New Roman" w:hAnsi="Times New Roman" w:eastAsia="楷体" w:cs="楷体"/>
                <w:b/>
                <w:bCs/>
                <w:i w:val="0"/>
                <w:iCs w:val="0"/>
                <w:color w:val="FFFFFF"/>
                <w:kern w:val="0"/>
                <w:sz w:val="24"/>
                <w:szCs w:val="18"/>
                <w:highlight w:val="none"/>
                <w:u w:val="none"/>
                <w:lang w:val="en-US" w:eastAsia="zh-CN" w:bidi="ar"/>
              </w:rPr>
            </w:pPr>
            <w:r>
              <w:rPr>
                <w:rFonts w:hint="eastAsia" w:ascii="Times New Roman" w:hAnsi="Times New Roman" w:eastAsia="楷体" w:cs="楷体"/>
                <w:b/>
                <w:bCs/>
                <w:i w:val="0"/>
                <w:iCs w:val="0"/>
                <w:color w:val="FFFFFF"/>
                <w:kern w:val="0"/>
                <w:sz w:val="24"/>
                <w:szCs w:val="18"/>
                <w:highlight w:val="none"/>
                <w:u w:val="none"/>
                <w:lang w:val="en-US" w:eastAsia="zh-CN" w:bidi="ar"/>
              </w:rPr>
              <w:t>202</w:t>
            </w:r>
            <w:r>
              <w:rPr>
                <w:rFonts w:hint="eastAsia" w:cs="楷体"/>
                <w:b/>
                <w:bCs/>
                <w:i w:val="0"/>
                <w:iCs w:val="0"/>
                <w:color w:val="FFFFFF"/>
                <w:kern w:val="0"/>
                <w:sz w:val="24"/>
                <w:szCs w:val="18"/>
                <w:highlight w:val="none"/>
                <w:u w:val="none"/>
                <w:lang w:val="en-US" w:eastAsia="zh-CN" w:bidi="ar"/>
              </w:rPr>
              <w:t>6</w:t>
            </w:r>
            <w:r>
              <w:rPr>
                <w:rFonts w:hint="eastAsia" w:ascii="Times New Roman" w:hAnsi="Times New Roman" w:eastAsia="楷体" w:cs="楷体"/>
                <w:b/>
                <w:bCs/>
                <w:i w:val="0"/>
                <w:iCs w:val="0"/>
                <w:color w:val="FFFFFF"/>
                <w:kern w:val="0"/>
                <w:sz w:val="24"/>
                <w:szCs w:val="18"/>
                <w:highlight w:val="none"/>
                <w:u w:val="none"/>
                <w:lang w:val="en-US" w:eastAsia="zh-CN" w:bidi="ar"/>
              </w:rPr>
              <w:t>年度</w:t>
            </w:r>
          </w:p>
        </w:tc>
        <w:tc>
          <w:tcPr>
            <w:tcW w:w="1650" w:type="dxa"/>
            <w:tcBorders>
              <w:top w:val="single" w:color="FFFFFF" w:sz="8" w:space="0"/>
              <w:left w:val="single" w:color="FFFFFF" w:sz="8" w:space="0"/>
              <w:bottom w:val="single" w:color="FFFFFF" w:sz="8" w:space="0"/>
              <w:right w:val="single" w:color="FFFFFF" w:sz="8" w:space="0"/>
            </w:tcBorders>
            <w:shd w:val="clear" w:color="auto" w:fill="4F81BD" w:themeFill="accent1"/>
            <w:vAlign w:val="center"/>
          </w:tcPr>
          <w:p w14:paraId="7DE6D8FF">
            <w:pPr>
              <w:keepNext w:val="0"/>
              <w:keepLines w:val="0"/>
              <w:widowControl/>
              <w:suppressLineNumbers w:val="0"/>
              <w:spacing w:line="360" w:lineRule="auto"/>
              <w:jc w:val="center"/>
              <w:textAlignment w:val="top"/>
              <w:rPr>
                <w:rFonts w:hint="eastAsia" w:ascii="Times New Roman" w:hAnsi="Times New Roman" w:eastAsia="楷体" w:cs="楷体"/>
                <w:b/>
                <w:bCs/>
                <w:i w:val="0"/>
                <w:iCs w:val="0"/>
                <w:color w:val="FFFFFF"/>
                <w:kern w:val="0"/>
                <w:sz w:val="24"/>
                <w:szCs w:val="18"/>
                <w:highlight w:val="none"/>
                <w:u w:val="none"/>
                <w:lang w:val="en-US" w:eastAsia="zh-CN" w:bidi="ar"/>
              </w:rPr>
            </w:pPr>
            <w:r>
              <w:rPr>
                <w:rFonts w:hint="eastAsia" w:ascii="Times New Roman" w:hAnsi="Times New Roman" w:eastAsia="楷体" w:cs="楷体"/>
                <w:b/>
                <w:bCs/>
                <w:i w:val="0"/>
                <w:iCs w:val="0"/>
                <w:color w:val="FFFFFF"/>
                <w:kern w:val="0"/>
                <w:sz w:val="24"/>
                <w:szCs w:val="18"/>
                <w:highlight w:val="none"/>
                <w:u w:val="none"/>
                <w:lang w:val="en-US" w:eastAsia="zh-CN" w:bidi="ar"/>
              </w:rPr>
              <w:t>202</w:t>
            </w:r>
            <w:r>
              <w:rPr>
                <w:rFonts w:hint="eastAsia" w:cs="楷体"/>
                <w:b/>
                <w:bCs/>
                <w:i w:val="0"/>
                <w:iCs w:val="0"/>
                <w:color w:val="FFFFFF"/>
                <w:kern w:val="0"/>
                <w:sz w:val="24"/>
                <w:szCs w:val="18"/>
                <w:highlight w:val="none"/>
                <w:u w:val="none"/>
                <w:lang w:val="en-US" w:eastAsia="zh-CN" w:bidi="ar"/>
              </w:rPr>
              <w:t>7</w:t>
            </w:r>
            <w:r>
              <w:rPr>
                <w:rFonts w:hint="eastAsia" w:ascii="Times New Roman" w:hAnsi="Times New Roman" w:eastAsia="楷体" w:cs="楷体"/>
                <w:b/>
                <w:bCs/>
                <w:i w:val="0"/>
                <w:iCs w:val="0"/>
                <w:color w:val="FFFFFF"/>
                <w:kern w:val="0"/>
                <w:sz w:val="24"/>
                <w:szCs w:val="18"/>
                <w:highlight w:val="none"/>
                <w:u w:val="none"/>
                <w:lang w:val="en-US" w:eastAsia="zh-CN" w:bidi="ar"/>
              </w:rPr>
              <w:t>年度</w:t>
            </w:r>
          </w:p>
        </w:tc>
        <w:tc>
          <w:tcPr>
            <w:tcW w:w="1650" w:type="dxa"/>
            <w:tcBorders>
              <w:top w:val="single" w:color="FFFFFF" w:sz="8" w:space="0"/>
              <w:left w:val="single" w:color="FFFFFF" w:sz="8" w:space="0"/>
              <w:bottom w:val="single" w:color="FFFFFF" w:sz="8" w:space="0"/>
              <w:right w:val="single" w:color="FFFFFF" w:sz="8" w:space="0"/>
            </w:tcBorders>
            <w:shd w:val="clear" w:color="auto" w:fill="4F81BD" w:themeFill="accent1"/>
            <w:vAlign w:val="center"/>
          </w:tcPr>
          <w:p w14:paraId="0A5724DE">
            <w:pPr>
              <w:keepNext w:val="0"/>
              <w:keepLines w:val="0"/>
              <w:widowControl/>
              <w:suppressLineNumbers w:val="0"/>
              <w:spacing w:line="360" w:lineRule="auto"/>
              <w:jc w:val="center"/>
              <w:textAlignment w:val="top"/>
              <w:rPr>
                <w:rFonts w:hint="eastAsia" w:ascii="Times New Roman" w:hAnsi="Times New Roman" w:eastAsia="楷体" w:cs="楷体"/>
                <w:b/>
                <w:bCs/>
                <w:i w:val="0"/>
                <w:iCs w:val="0"/>
                <w:color w:val="FFFFFF"/>
                <w:kern w:val="0"/>
                <w:sz w:val="24"/>
                <w:szCs w:val="18"/>
                <w:highlight w:val="none"/>
                <w:u w:val="none"/>
                <w:lang w:val="en-US" w:eastAsia="zh-CN" w:bidi="ar"/>
              </w:rPr>
            </w:pPr>
            <w:r>
              <w:rPr>
                <w:rFonts w:hint="eastAsia" w:ascii="Times New Roman" w:hAnsi="Times New Roman" w:eastAsia="楷体" w:cs="楷体"/>
                <w:b/>
                <w:bCs/>
                <w:i w:val="0"/>
                <w:iCs w:val="0"/>
                <w:color w:val="FFFFFF"/>
                <w:kern w:val="0"/>
                <w:sz w:val="24"/>
                <w:szCs w:val="18"/>
                <w:highlight w:val="none"/>
                <w:u w:val="none"/>
                <w:lang w:val="en-US" w:eastAsia="zh-CN" w:bidi="ar"/>
              </w:rPr>
              <w:t>202</w:t>
            </w:r>
            <w:r>
              <w:rPr>
                <w:rFonts w:hint="eastAsia" w:cs="楷体"/>
                <w:b/>
                <w:bCs/>
                <w:i w:val="0"/>
                <w:iCs w:val="0"/>
                <w:color w:val="FFFFFF"/>
                <w:kern w:val="0"/>
                <w:sz w:val="24"/>
                <w:szCs w:val="18"/>
                <w:highlight w:val="none"/>
                <w:u w:val="none"/>
                <w:lang w:val="en-US" w:eastAsia="zh-CN" w:bidi="ar"/>
              </w:rPr>
              <w:t>8</w:t>
            </w:r>
            <w:r>
              <w:rPr>
                <w:rFonts w:hint="eastAsia" w:ascii="Times New Roman" w:hAnsi="Times New Roman" w:eastAsia="楷体" w:cs="楷体"/>
                <w:b/>
                <w:bCs/>
                <w:i w:val="0"/>
                <w:iCs w:val="0"/>
                <w:color w:val="FFFFFF"/>
                <w:kern w:val="0"/>
                <w:sz w:val="24"/>
                <w:szCs w:val="18"/>
                <w:highlight w:val="none"/>
                <w:u w:val="none"/>
                <w:lang w:val="en-US" w:eastAsia="zh-CN" w:bidi="ar"/>
              </w:rPr>
              <w:t>年度</w:t>
            </w:r>
          </w:p>
        </w:tc>
        <w:tc>
          <w:tcPr>
            <w:tcW w:w="1650" w:type="dxa"/>
            <w:tcBorders>
              <w:top w:val="single" w:color="FFFFFF" w:sz="8" w:space="0"/>
              <w:left w:val="single" w:color="FFFFFF" w:sz="8" w:space="0"/>
              <w:bottom w:val="single" w:color="FFFFFF" w:sz="8" w:space="0"/>
              <w:right w:val="single" w:color="FFFFFF" w:sz="8" w:space="0"/>
            </w:tcBorders>
            <w:shd w:val="clear" w:color="auto" w:fill="4F81BD" w:themeFill="accent1"/>
            <w:vAlign w:val="center"/>
          </w:tcPr>
          <w:p w14:paraId="1DCB8EF3">
            <w:pPr>
              <w:keepNext w:val="0"/>
              <w:keepLines w:val="0"/>
              <w:widowControl/>
              <w:suppressLineNumbers w:val="0"/>
              <w:spacing w:line="360" w:lineRule="auto"/>
              <w:jc w:val="center"/>
              <w:textAlignment w:val="top"/>
              <w:rPr>
                <w:rFonts w:hint="eastAsia" w:ascii="Times New Roman" w:hAnsi="Times New Roman" w:eastAsia="楷体" w:cs="楷体"/>
                <w:b/>
                <w:bCs/>
                <w:i w:val="0"/>
                <w:iCs w:val="0"/>
                <w:color w:val="FFFFFF"/>
                <w:kern w:val="0"/>
                <w:sz w:val="24"/>
                <w:szCs w:val="18"/>
                <w:highlight w:val="none"/>
                <w:u w:val="none"/>
                <w:lang w:val="en-US" w:eastAsia="zh-CN" w:bidi="ar"/>
              </w:rPr>
            </w:pPr>
            <w:r>
              <w:rPr>
                <w:rFonts w:hint="eastAsia" w:ascii="Times New Roman" w:hAnsi="Times New Roman" w:eastAsia="楷体" w:cs="楷体"/>
                <w:b/>
                <w:bCs/>
                <w:i w:val="0"/>
                <w:iCs w:val="0"/>
                <w:color w:val="FFFFFF"/>
                <w:kern w:val="0"/>
                <w:sz w:val="24"/>
                <w:szCs w:val="18"/>
                <w:highlight w:val="none"/>
                <w:u w:val="none"/>
                <w:lang w:val="en-US" w:eastAsia="zh-CN" w:bidi="ar"/>
              </w:rPr>
              <w:t>202</w:t>
            </w:r>
            <w:r>
              <w:rPr>
                <w:rFonts w:hint="eastAsia" w:cs="楷体"/>
                <w:b/>
                <w:bCs/>
                <w:i w:val="0"/>
                <w:iCs w:val="0"/>
                <w:color w:val="FFFFFF"/>
                <w:kern w:val="0"/>
                <w:sz w:val="24"/>
                <w:szCs w:val="18"/>
                <w:highlight w:val="none"/>
                <w:u w:val="none"/>
                <w:lang w:val="en-US" w:eastAsia="zh-CN" w:bidi="ar"/>
              </w:rPr>
              <w:t>9</w:t>
            </w:r>
            <w:r>
              <w:rPr>
                <w:rFonts w:hint="eastAsia" w:ascii="Times New Roman" w:hAnsi="Times New Roman" w:eastAsia="楷体" w:cs="楷体"/>
                <w:b/>
                <w:bCs/>
                <w:i w:val="0"/>
                <w:iCs w:val="0"/>
                <w:color w:val="FFFFFF"/>
                <w:kern w:val="0"/>
                <w:sz w:val="24"/>
                <w:szCs w:val="18"/>
                <w:highlight w:val="none"/>
                <w:u w:val="none"/>
                <w:lang w:val="en-US" w:eastAsia="zh-CN" w:bidi="ar"/>
              </w:rPr>
              <w:t>年度</w:t>
            </w:r>
          </w:p>
        </w:tc>
        <w:tc>
          <w:tcPr>
            <w:tcW w:w="1650" w:type="dxa"/>
            <w:tcBorders>
              <w:top w:val="single" w:color="FFFFFF" w:sz="8" w:space="0"/>
              <w:left w:val="single" w:color="FFFFFF" w:sz="8" w:space="0"/>
              <w:bottom w:val="single" w:color="FFFFFF" w:sz="8" w:space="0"/>
              <w:right w:val="single" w:color="FFFFFF" w:sz="8" w:space="0"/>
            </w:tcBorders>
            <w:shd w:val="clear" w:color="auto" w:fill="4F81BD" w:themeFill="accent1"/>
            <w:vAlign w:val="center"/>
          </w:tcPr>
          <w:p w14:paraId="639080D3">
            <w:pPr>
              <w:keepNext w:val="0"/>
              <w:keepLines w:val="0"/>
              <w:widowControl/>
              <w:suppressLineNumbers w:val="0"/>
              <w:spacing w:line="360" w:lineRule="auto"/>
              <w:jc w:val="center"/>
              <w:textAlignment w:val="top"/>
              <w:rPr>
                <w:rFonts w:hint="eastAsia" w:ascii="Times New Roman" w:hAnsi="Times New Roman" w:eastAsia="楷体" w:cs="楷体"/>
                <w:b/>
                <w:bCs/>
                <w:i w:val="0"/>
                <w:iCs w:val="0"/>
                <w:color w:val="FFFFFF"/>
                <w:kern w:val="0"/>
                <w:sz w:val="24"/>
                <w:szCs w:val="18"/>
                <w:highlight w:val="none"/>
                <w:u w:val="none"/>
                <w:lang w:val="en-US" w:eastAsia="zh-CN" w:bidi="ar"/>
              </w:rPr>
            </w:pPr>
            <w:r>
              <w:rPr>
                <w:rFonts w:hint="eastAsia" w:ascii="Times New Roman" w:hAnsi="Times New Roman" w:eastAsia="楷体" w:cs="楷体"/>
                <w:b/>
                <w:bCs/>
                <w:i w:val="0"/>
                <w:iCs w:val="0"/>
                <w:color w:val="FFFFFF"/>
                <w:kern w:val="0"/>
                <w:sz w:val="24"/>
                <w:szCs w:val="18"/>
                <w:highlight w:val="none"/>
                <w:u w:val="none"/>
                <w:lang w:val="en-US" w:eastAsia="zh-CN" w:bidi="ar"/>
              </w:rPr>
              <w:t>20</w:t>
            </w:r>
            <w:r>
              <w:rPr>
                <w:rFonts w:hint="eastAsia" w:cs="楷体"/>
                <w:b/>
                <w:bCs/>
                <w:i w:val="0"/>
                <w:iCs w:val="0"/>
                <w:color w:val="FFFFFF"/>
                <w:kern w:val="0"/>
                <w:sz w:val="24"/>
                <w:szCs w:val="18"/>
                <w:highlight w:val="none"/>
                <w:u w:val="none"/>
                <w:lang w:val="en-US" w:eastAsia="zh-CN" w:bidi="ar"/>
              </w:rPr>
              <w:t>30</w:t>
            </w:r>
            <w:r>
              <w:rPr>
                <w:rFonts w:hint="eastAsia" w:ascii="Times New Roman" w:hAnsi="Times New Roman" w:eastAsia="楷体" w:cs="楷体"/>
                <w:b/>
                <w:bCs/>
                <w:i w:val="0"/>
                <w:iCs w:val="0"/>
                <w:color w:val="FFFFFF"/>
                <w:kern w:val="0"/>
                <w:sz w:val="24"/>
                <w:szCs w:val="18"/>
                <w:highlight w:val="none"/>
                <w:u w:val="none"/>
                <w:lang w:val="en-US" w:eastAsia="zh-CN" w:bidi="ar"/>
              </w:rPr>
              <w:t>年度</w:t>
            </w:r>
          </w:p>
        </w:tc>
      </w:tr>
      <w:tr w14:paraId="724C5B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5F3989F3">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楷体" w:hAnsi="楷体" w:eastAsia="楷体" w:cs="楷体"/>
                <w:b w:val="0"/>
                <w:i w:val="0"/>
                <w:iCs w:val="0"/>
                <w:color w:val="000000"/>
                <w:kern w:val="0"/>
                <w:sz w:val="24"/>
                <w:szCs w:val="24"/>
                <w:highlight w:val="none"/>
                <w:u w:val="none"/>
                <w:lang w:val="en-US" w:eastAsia="zh-CN" w:bidi="ar"/>
              </w:rPr>
              <w:t>一、营业收入</w:t>
            </w:r>
          </w:p>
        </w:tc>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4AA1AE94">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3,360,000.00</w:t>
            </w:r>
          </w:p>
        </w:tc>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65C8B8B2">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4,032,000.00</w:t>
            </w:r>
          </w:p>
        </w:tc>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6BDFB3C1">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5,051,200.00</w:t>
            </w:r>
          </w:p>
        </w:tc>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0E796DD9">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6,566,000.00</w:t>
            </w:r>
          </w:p>
        </w:tc>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240C4920">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8,864,100.00</w:t>
            </w:r>
          </w:p>
        </w:tc>
      </w:tr>
      <w:tr w14:paraId="24056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39558516">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楷体" w:hAnsi="楷体" w:eastAsia="楷体" w:cs="楷体"/>
                <w:b w:val="0"/>
                <w:i w:val="0"/>
                <w:iCs w:val="0"/>
                <w:color w:val="000000"/>
                <w:kern w:val="0"/>
                <w:sz w:val="24"/>
                <w:szCs w:val="24"/>
                <w:highlight w:val="none"/>
                <w:u w:val="none"/>
                <w:lang w:val="en-US" w:eastAsia="zh-CN" w:bidi="ar"/>
              </w:rPr>
              <w:t>减：营业成本</w:t>
            </w:r>
          </w:p>
        </w:tc>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289CCA1C">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1,364,352.00</w:t>
            </w:r>
          </w:p>
        </w:tc>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59C5CBDD">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1,637,222.00</w:t>
            </w:r>
          </w:p>
        </w:tc>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358FD1D7">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2,051,075.00</w:t>
            </w:r>
          </w:p>
        </w:tc>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1271EF13">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2,666,171.00</w:t>
            </w:r>
          </w:p>
        </w:tc>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07F84C25">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3,599,331.00</w:t>
            </w:r>
          </w:p>
        </w:tc>
      </w:tr>
      <w:tr w14:paraId="09FE2A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2F53D23F">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楷体" w:hAnsi="楷体" w:eastAsia="楷体" w:cs="楷体"/>
                <w:b w:val="0"/>
                <w:i w:val="0"/>
                <w:iCs w:val="0"/>
                <w:color w:val="000000"/>
                <w:kern w:val="0"/>
                <w:sz w:val="24"/>
                <w:szCs w:val="24"/>
                <w:highlight w:val="none"/>
                <w:u w:val="none"/>
                <w:lang w:val="en-US" w:eastAsia="zh-CN" w:bidi="ar"/>
              </w:rPr>
              <w:t>税金及附加</w:t>
            </w:r>
          </w:p>
        </w:tc>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653D3C55">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1,622.50</w:t>
            </w:r>
          </w:p>
        </w:tc>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1D533481">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1,980.00</w:t>
            </w:r>
          </w:p>
        </w:tc>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3ECAEE64">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2,500.00</w:t>
            </w:r>
          </w:p>
        </w:tc>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44D57A8C">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3,250.00</w:t>
            </w:r>
          </w:p>
        </w:tc>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4811A71F">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4,500.00</w:t>
            </w:r>
          </w:p>
        </w:tc>
      </w:tr>
      <w:tr w14:paraId="31345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145BE88A">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楷体" w:hAnsi="楷体" w:eastAsia="楷体" w:cs="楷体"/>
                <w:b w:val="0"/>
                <w:i w:val="0"/>
                <w:iCs w:val="0"/>
                <w:color w:val="000000"/>
                <w:kern w:val="0"/>
                <w:sz w:val="24"/>
                <w:szCs w:val="24"/>
                <w:highlight w:val="none"/>
                <w:u w:val="none"/>
                <w:lang w:val="en-US" w:eastAsia="zh-CN" w:bidi="ar"/>
              </w:rPr>
              <w:t>销售费用</w:t>
            </w:r>
          </w:p>
        </w:tc>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23F99A17">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375,403.44</w:t>
            </w:r>
          </w:p>
        </w:tc>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7C9075E1">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446,446.72</w:t>
            </w:r>
          </w:p>
        </w:tc>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2F255D35">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550,679.40</w:t>
            </w:r>
          </w:p>
        </w:tc>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4E59B3B7">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610,000.00</w:t>
            </w:r>
          </w:p>
        </w:tc>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25F495CE">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620,000.00</w:t>
            </w:r>
          </w:p>
        </w:tc>
      </w:tr>
      <w:tr w14:paraId="4B3AA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56D764F3">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楷体" w:hAnsi="楷体" w:eastAsia="楷体" w:cs="楷体"/>
                <w:b w:val="0"/>
                <w:i w:val="0"/>
                <w:iCs w:val="0"/>
                <w:color w:val="000000"/>
                <w:kern w:val="0"/>
                <w:sz w:val="24"/>
                <w:szCs w:val="24"/>
                <w:highlight w:val="none"/>
                <w:u w:val="none"/>
                <w:lang w:val="en-US" w:eastAsia="zh-CN" w:bidi="ar"/>
              </w:rPr>
              <w:t>管理费用</w:t>
            </w:r>
          </w:p>
        </w:tc>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77744ED6">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184,701.72</w:t>
            </w:r>
          </w:p>
        </w:tc>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4F3F2F17">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220,000.00</w:t>
            </w:r>
          </w:p>
        </w:tc>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1BAA810F">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270,000.00</w:t>
            </w:r>
          </w:p>
        </w:tc>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261D2A86">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350,000.00</w:t>
            </w:r>
          </w:p>
        </w:tc>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1570ABFB">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480,000.00</w:t>
            </w:r>
          </w:p>
        </w:tc>
      </w:tr>
      <w:tr w14:paraId="3FD7AD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7064A24D">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楷体" w:hAnsi="楷体" w:eastAsia="楷体" w:cs="楷体"/>
                <w:b w:val="0"/>
                <w:i w:val="0"/>
                <w:iCs w:val="0"/>
                <w:color w:val="000000"/>
                <w:kern w:val="0"/>
                <w:sz w:val="24"/>
                <w:szCs w:val="24"/>
                <w:highlight w:val="none"/>
                <w:u w:val="none"/>
                <w:lang w:val="en-US" w:eastAsia="zh-CN" w:bidi="ar"/>
              </w:rPr>
              <w:t>研发费用</w:t>
            </w:r>
          </w:p>
        </w:tc>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270A80BB">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90,000.00</w:t>
            </w:r>
          </w:p>
        </w:tc>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1CB1C03F">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100,000.00</w:t>
            </w:r>
          </w:p>
        </w:tc>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7F5DC1F5">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100,000.00</w:t>
            </w:r>
          </w:p>
        </w:tc>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C45BA27">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120,000.00</w:t>
            </w:r>
          </w:p>
        </w:tc>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71BDD8A3">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110,000.00</w:t>
            </w:r>
          </w:p>
        </w:tc>
      </w:tr>
      <w:tr w14:paraId="0067C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3463706D">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楷体" w:hAnsi="楷体" w:eastAsia="楷体" w:cs="楷体"/>
                <w:b w:val="0"/>
                <w:i w:val="0"/>
                <w:iCs w:val="0"/>
                <w:color w:val="000000"/>
                <w:kern w:val="0"/>
                <w:sz w:val="24"/>
                <w:szCs w:val="24"/>
                <w:highlight w:val="none"/>
                <w:u w:val="none"/>
                <w:lang w:val="en-US" w:eastAsia="zh-CN" w:bidi="ar"/>
              </w:rPr>
              <w:t>财务费用</w:t>
            </w:r>
          </w:p>
        </w:tc>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656F2369">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40,400.00</w:t>
            </w:r>
          </w:p>
        </w:tc>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70312291">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41,208.00</w:t>
            </w:r>
          </w:p>
        </w:tc>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41E00031">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42,032.16</w:t>
            </w:r>
          </w:p>
        </w:tc>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0576193A">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43,293.12</w:t>
            </w:r>
          </w:p>
        </w:tc>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78496169">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44,591.92</w:t>
            </w:r>
          </w:p>
        </w:tc>
      </w:tr>
      <w:tr w14:paraId="72A36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421F58F8">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楷体" w:hAnsi="楷体" w:eastAsia="楷体" w:cs="楷体"/>
                <w:b w:val="0"/>
                <w:i w:val="0"/>
                <w:iCs w:val="0"/>
                <w:color w:val="000000"/>
                <w:kern w:val="0"/>
                <w:sz w:val="24"/>
                <w:szCs w:val="24"/>
                <w:highlight w:val="none"/>
                <w:u w:val="none"/>
                <w:lang w:val="en-US" w:eastAsia="zh-CN" w:bidi="ar"/>
              </w:rPr>
              <w:t>公允价值变动收益（损失以</w:t>
            </w:r>
            <w:r>
              <w:rPr>
                <w:rFonts w:hint="eastAsia" w:ascii="楷体" w:hAnsi="楷体" w:cs="楷体"/>
                <w:b w:val="0"/>
                <w:i w:val="0"/>
                <w:iCs w:val="0"/>
                <w:color w:val="000000"/>
                <w:kern w:val="0"/>
                <w:sz w:val="24"/>
                <w:szCs w:val="24"/>
                <w:highlight w:val="none"/>
                <w:u w:val="none"/>
                <w:lang w:val="en-US" w:eastAsia="zh-CN" w:bidi="ar"/>
              </w:rPr>
              <w:t>”</w:t>
            </w:r>
            <w:r>
              <w:rPr>
                <w:rFonts w:hint="eastAsia" w:ascii="楷体" w:hAnsi="楷体" w:eastAsia="楷体" w:cs="楷体"/>
                <w:b w:val="0"/>
                <w:i w:val="0"/>
                <w:iCs w:val="0"/>
                <w:color w:val="000000"/>
                <w:kern w:val="0"/>
                <w:sz w:val="24"/>
                <w:szCs w:val="24"/>
                <w:highlight w:val="none"/>
                <w:u w:val="none"/>
                <w:lang w:val="en-US" w:eastAsia="zh-CN" w:bidi="ar"/>
              </w:rPr>
              <w:t>－</w:t>
            </w:r>
            <w:r>
              <w:rPr>
                <w:rFonts w:hint="eastAsia" w:ascii="楷体" w:hAnsi="楷体" w:cs="楷体"/>
                <w:b w:val="0"/>
                <w:i w:val="0"/>
                <w:iCs w:val="0"/>
                <w:color w:val="000000"/>
                <w:kern w:val="0"/>
                <w:sz w:val="24"/>
                <w:szCs w:val="24"/>
                <w:highlight w:val="none"/>
                <w:u w:val="none"/>
                <w:lang w:val="en-US" w:eastAsia="zh-CN" w:bidi="ar"/>
              </w:rPr>
              <w:t>”</w:t>
            </w:r>
            <w:r>
              <w:rPr>
                <w:rFonts w:hint="eastAsia" w:ascii="楷体" w:hAnsi="楷体" w:eastAsia="楷体" w:cs="楷体"/>
                <w:b w:val="0"/>
                <w:i w:val="0"/>
                <w:iCs w:val="0"/>
                <w:color w:val="000000"/>
                <w:kern w:val="0"/>
                <w:sz w:val="24"/>
                <w:szCs w:val="24"/>
                <w:highlight w:val="none"/>
                <w:u w:val="none"/>
                <w:lang w:val="en-US" w:eastAsia="zh-CN" w:bidi="ar"/>
              </w:rPr>
              <w:t>号填列）</w:t>
            </w:r>
          </w:p>
        </w:tc>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53390C08">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-2,472.00</w:t>
            </w:r>
          </w:p>
        </w:tc>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47464DD">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-1,748.00</w:t>
            </w:r>
          </w:p>
        </w:tc>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4C4DBED3">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-374</w:t>
            </w:r>
          </w:p>
        </w:tc>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58EC05B">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-2,560.00</w:t>
            </w:r>
          </w:p>
        </w:tc>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9E5B95C">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-2,140.00</w:t>
            </w:r>
          </w:p>
        </w:tc>
      </w:tr>
      <w:tr w14:paraId="002AF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03D70BF0">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Style w:val="32"/>
                <w:b w:val="0"/>
                <w:i w:val="0"/>
                <w:color w:val="000000"/>
                <w:highlight w:val="none"/>
                <w:lang w:val="en-US" w:eastAsia="zh-CN" w:bidi="ar"/>
              </w:rPr>
              <w:t>信用减值损失（损失以”</w:t>
            </w:r>
            <w:r>
              <w:rPr>
                <w:rStyle w:val="33"/>
                <w:rFonts w:eastAsia="楷体"/>
                <w:b w:val="0"/>
                <w:i w:val="0"/>
                <w:color w:val="000000"/>
                <w:highlight w:val="none"/>
                <w:lang w:val="en-US" w:eastAsia="zh-CN" w:bidi="ar"/>
              </w:rPr>
              <w:t>-</w:t>
            </w:r>
            <w:r>
              <w:rPr>
                <w:rStyle w:val="32"/>
                <w:b w:val="0"/>
                <w:i w:val="0"/>
                <w:color w:val="000000"/>
                <w:highlight w:val="none"/>
                <w:lang w:val="en-US" w:eastAsia="zh-CN" w:bidi="ar"/>
              </w:rPr>
              <w:t>”号填列）</w:t>
            </w:r>
          </w:p>
        </w:tc>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45F5D967">
            <w:pPr>
              <w:spacing w:line="360" w:lineRule="auto"/>
              <w:jc w:val="center"/>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630BABCA">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-1,944.50</w:t>
            </w:r>
          </w:p>
        </w:tc>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72C79C2F">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-2,022.28</w:t>
            </w:r>
          </w:p>
        </w:tc>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586CECEA">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-2,103.17</w:t>
            </w:r>
          </w:p>
        </w:tc>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54A6F20F">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-2,187.30</w:t>
            </w:r>
          </w:p>
        </w:tc>
      </w:tr>
      <w:tr w14:paraId="20573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5133AE56">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Style w:val="32"/>
                <w:b w:val="0"/>
                <w:i w:val="0"/>
                <w:color w:val="000000"/>
                <w:highlight w:val="none"/>
                <w:lang w:val="en-US" w:eastAsia="zh-CN" w:bidi="ar"/>
              </w:rPr>
              <w:t>资产处置收益（损失以”</w:t>
            </w:r>
            <w:r>
              <w:rPr>
                <w:rStyle w:val="33"/>
                <w:rFonts w:eastAsia="楷体"/>
                <w:b w:val="0"/>
                <w:i w:val="0"/>
                <w:color w:val="000000"/>
                <w:highlight w:val="none"/>
                <w:lang w:val="en-US" w:eastAsia="zh-CN" w:bidi="ar"/>
              </w:rPr>
              <w:t>-</w:t>
            </w:r>
            <w:r>
              <w:rPr>
                <w:rStyle w:val="32"/>
                <w:b w:val="0"/>
                <w:i w:val="0"/>
                <w:color w:val="000000"/>
                <w:highlight w:val="none"/>
                <w:lang w:val="en-US" w:eastAsia="zh-CN" w:bidi="ar"/>
              </w:rPr>
              <w:t>”号填列）</w:t>
            </w:r>
          </w:p>
        </w:tc>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D44FF41">
            <w:pPr>
              <w:spacing w:line="360" w:lineRule="auto"/>
              <w:jc w:val="center"/>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3CDFA3A3">
            <w:pPr>
              <w:spacing w:line="360" w:lineRule="auto"/>
              <w:jc w:val="center"/>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2B250DE">
            <w:pPr>
              <w:spacing w:line="360" w:lineRule="auto"/>
              <w:jc w:val="center"/>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5D0826ED">
            <w:pPr>
              <w:spacing w:line="360" w:lineRule="auto"/>
              <w:jc w:val="center"/>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A87299A">
            <w:pPr>
              <w:spacing w:line="360" w:lineRule="auto"/>
              <w:jc w:val="center"/>
              <w:rPr>
                <w:rFonts w:hint="eastAsia" w:ascii="Times New Roman" w:hAnsi="Times New Roman" w:eastAsia="楷体" w:cs="楷体"/>
                <w:b w:val="0"/>
                <w:i w:val="0"/>
                <w:iCs w:val="0"/>
                <w:color w:val="000000"/>
                <w:kern w:val="0"/>
                <w:sz w:val="24"/>
                <w:szCs w:val="18"/>
                <w:highlight w:val="none"/>
                <w:u w:val="none"/>
                <w:lang w:val="en-US" w:eastAsia="zh-CN" w:bidi="ar"/>
              </w:rPr>
            </w:pPr>
          </w:p>
        </w:tc>
      </w:tr>
      <w:tr w14:paraId="2B306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7B52A0BA">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楷体" w:hAnsi="楷体" w:eastAsia="楷体" w:cs="楷体"/>
                <w:b w:val="0"/>
                <w:i w:val="0"/>
                <w:iCs w:val="0"/>
                <w:color w:val="000000"/>
                <w:kern w:val="0"/>
                <w:sz w:val="24"/>
                <w:szCs w:val="24"/>
                <w:highlight w:val="none"/>
                <w:u w:val="none"/>
                <w:lang w:val="en-US" w:eastAsia="zh-CN" w:bidi="ar"/>
              </w:rPr>
              <w:t>二、营业利润（亏损以</w:t>
            </w:r>
            <w:r>
              <w:rPr>
                <w:rFonts w:hint="eastAsia" w:ascii="楷体" w:hAnsi="楷体" w:cs="楷体"/>
                <w:b w:val="0"/>
                <w:i w:val="0"/>
                <w:iCs w:val="0"/>
                <w:color w:val="000000"/>
                <w:kern w:val="0"/>
                <w:sz w:val="24"/>
                <w:szCs w:val="24"/>
                <w:highlight w:val="none"/>
                <w:u w:val="none"/>
                <w:lang w:val="en-US" w:eastAsia="zh-CN" w:bidi="ar"/>
              </w:rPr>
              <w:t>”</w:t>
            </w:r>
            <w:r>
              <w:rPr>
                <w:rFonts w:hint="eastAsia" w:ascii="楷体" w:hAnsi="楷体" w:eastAsia="楷体" w:cs="楷体"/>
                <w:b w:val="0"/>
                <w:i w:val="0"/>
                <w:iCs w:val="0"/>
                <w:color w:val="000000"/>
                <w:kern w:val="0"/>
                <w:sz w:val="24"/>
                <w:szCs w:val="24"/>
                <w:highlight w:val="none"/>
                <w:u w:val="none"/>
                <w:lang w:val="en-US" w:eastAsia="zh-CN" w:bidi="ar"/>
              </w:rPr>
              <w:t>－</w:t>
            </w:r>
            <w:r>
              <w:rPr>
                <w:rFonts w:hint="eastAsia" w:ascii="楷体" w:hAnsi="楷体" w:cs="楷体"/>
                <w:b w:val="0"/>
                <w:i w:val="0"/>
                <w:iCs w:val="0"/>
                <w:color w:val="000000"/>
                <w:kern w:val="0"/>
                <w:sz w:val="24"/>
                <w:szCs w:val="24"/>
                <w:highlight w:val="none"/>
                <w:u w:val="none"/>
                <w:lang w:val="en-US" w:eastAsia="zh-CN" w:bidi="ar"/>
              </w:rPr>
              <w:t>”</w:t>
            </w:r>
            <w:r>
              <w:rPr>
                <w:rFonts w:hint="eastAsia" w:ascii="楷体" w:hAnsi="楷体" w:eastAsia="楷体" w:cs="楷体"/>
                <w:b w:val="0"/>
                <w:i w:val="0"/>
                <w:iCs w:val="0"/>
                <w:color w:val="000000"/>
                <w:kern w:val="0"/>
                <w:sz w:val="24"/>
                <w:szCs w:val="24"/>
                <w:highlight w:val="none"/>
                <w:u w:val="none"/>
                <w:lang w:val="en-US" w:eastAsia="zh-CN" w:bidi="ar"/>
              </w:rPr>
              <w:t>号填列）</w:t>
            </w:r>
          </w:p>
        </w:tc>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7226BD64">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1,305,992.34</w:t>
            </w:r>
          </w:p>
        </w:tc>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5D8DB56B">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1,586,891.28</w:t>
            </w:r>
          </w:p>
        </w:tc>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6625DAB4">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2,035,287.44</w:t>
            </w:r>
          </w:p>
        </w:tc>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7DEF1013">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2,775,845.88</w:t>
            </w:r>
          </w:p>
        </w:tc>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67AC908B">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4,007,817.08</w:t>
            </w:r>
          </w:p>
        </w:tc>
      </w:tr>
      <w:tr w14:paraId="61CF2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33F85CC9">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楷体" w:hAnsi="楷体" w:eastAsia="楷体" w:cs="楷体"/>
                <w:b w:val="0"/>
                <w:i w:val="0"/>
                <w:iCs w:val="0"/>
                <w:color w:val="000000"/>
                <w:kern w:val="0"/>
                <w:sz w:val="24"/>
                <w:szCs w:val="24"/>
                <w:highlight w:val="none"/>
                <w:u w:val="none"/>
                <w:lang w:val="en-US" w:eastAsia="zh-CN" w:bidi="ar"/>
              </w:rPr>
              <w:t>加：营业外收入</w:t>
            </w:r>
          </w:p>
        </w:tc>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299DB8DD">
            <w:pPr>
              <w:spacing w:line="360" w:lineRule="auto"/>
              <w:jc w:val="center"/>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5E1ECA28">
            <w:pPr>
              <w:spacing w:line="360" w:lineRule="auto"/>
              <w:jc w:val="center"/>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2B6C73E7">
            <w:pPr>
              <w:spacing w:line="360" w:lineRule="auto"/>
              <w:jc w:val="center"/>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35334DB0">
            <w:pPr>
              <w:spacing w:line="360" w:lineRule="auto"/>
              <w:jc w:val="center"/>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F879B07">
            <w:pPr>
              <w:spacing w:line="360" w:lineRule="auto"/>
              <w:jc w:val="center"/>
              <w:rPr>
                <w:rFonts w:hint="eastAsia" w:ascii="Times New Roman" w:hAnsi="Times New Roman" w:eastAsia="楷体" w:cs="楷体"/>
                <w:b w:val="0"/>
                <w:i w:val="0"/>
                <w:iCs w:val="0"/>
                <w:color w:val="000000"/>
                <w:kern w:val="0"/>
                <w:sz w:val="24"/>
                <w:szCs w:val="18"/>
                <w:highlight w:val="none"/>
                <w:u w:val="none"/>
                <w:lang w:val="en-US" w:eastAsia="zh-CN" w:bidi="ar"/>
              </w:rPr>
            </w:pPr>
          </w:p>
        </w:tc>
      </w:tr>
      <w:tr w14:paraId="62CA1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246BEA19">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楷体" w:hAnsi="楷体" w:eastAsia="楷体" w:cs="楷体"/>
                <w:b w:val="0"/>
                <w:i w:val="0"/>
                <w:iCs w:val="0"/>
                <w:color w:val="000000"/>
                <w:kern w:val="0"/>
                <w:sz w:val="24"/>
                <w:szCs w:val="24"/>
                <w:highlight w:val="none"/>
                <w:u w:val="none"/>
                <w:lang w:val="en-US" w:eastAsia="zh-CN" w:bidi="ar"/>
              </w:rPr>
              <w:t>减：营业外支出</w:t>
            </w:r>
          </w:p>
        </w:tc>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12EC18C4">
            <w:pPr>
              <w:spacing w:line="360" w:lineRule="auto"/>
              <w:jc w:val="center"/>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185F16AD">
            <w:pPr>
              <w:spacing w:line="360" w:lineRule="auto"/>
              <w:jc w:val="center"/>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57EF5773">
            <w:pPr>
              <w:spacing w:line="360" w:lineRule="auto"/>
              <w:jc w:val="center"/>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66B5A82F">
            <w:pPr>
              <w:spacing w:line="360" w:lineRule="auto"/>
              <w:jc w:val="center"/>
              <w:rPr>
                <w:rFonts w:hint="eastAsia" w:ascii="Times New Roman" w:hAnsi="Times New Roman" w:eastAsia="楷体" w:cs="楷体"/>
                <w:b w:val="0"/>
                <w:i w:val="0"/>
                <w:iCs w:val="0"/>
                <w:color w:val="000000"/>
                <w:kern w:val="0"/>
                <w:sz w:val="24"/>
                <w:szCs w:val="18"/>
                <w:highlight w:val="none"/>
                <w:u w:val="none"/>
                <w:lang w:val="en-US" w:eastAsia="zh-CN" w:bidi="ar"/>
              </w:rPr>
            </w:pPr>
          </w:p>
        </w:tc>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5C8DFF32">
            <w:pPr>
              <w:spacing w:line="360" w:lineRule="auto"/>
              <w:jc w:val="center"/>
              <w:rPr>
                <w:rFonts w:hint="eastAsia" w:ascii="Times New Roman" w:hAnsi="Times New Roman" w:eastAsia="楷体" w:cs="楷体"/>
                <w:b w:val="0"/>
                <w:i w:val="0"/>
                <w:iCs w:val="0"/>
                <w:color w:val="000000"/>
                <w:kern w:val="0"/>
                <w:sz w:val="24"/>
                <w:szCs w:val="18"/>
                <w:highlight w:val="none"/>
                <w:u w:val="none"/>
                <w:lang w:val="en-US" w:eastAsia="zh-CN" w:bidi="ar"/>
              </w:rPr>
            </w:pPr>
          </w:p>
        </w:tc>
      </w:tr>
      <w:tr w14:paraId="0107D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B3E8F4A">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楷体" w:hAnsi="楷体" w:eastAsia="楷体" w:cs="楷体"/>
                <w:b w:val="0"/>
                <w:i w:val="0"/>
                <w:iCs w:val="0"/>
                <w:color w:val="000000"/>
                <w:kern w:val="0"/>
                <w:sz w:val="24"/>
                <w:szCs w:val="24"/>
                <w:highlight w:val="none"/>
                <w:u w:val="none"/>
                <w:lang w:val="en-US" w:eastAsia="zh-CN" w:bidi="ar"/>
              </w:rPr>
              <w:t>三、利润总额（亏损总额以</w:t>
            </w:r>
            <w:r>
              <w:rPr>
                <w:rFonts w:hint="eastAsia" w:ascii="楷体" w:hAnsi="楷体" w:cs="楷体"/>
                <w:b w:val="0"/>
                <w:i w:val="0"/>
                <w:iCs w:val="0"/>
                <w:color w:val="000000"/>
                <w:kern w:val="0"/>
                <w:sz w:val="24"/>
                <w:szCs w:val="24"/>
                <w:highlight w:val="none"/>
                <w:u w:val="none"/>
                <w:lang w:val="en-US" w:eastAsia="zh-CN" w:bidi="ar"/>
              </w:rPr>
              <w:t>”</w:t>
            </w:r>
            <w:r>
              <w:rPr>
                <w:rFonts w:hint="eastAsia" w:ascii="楷体" w:hAnsi="楷体" w:eastAsia="楷体" w:cs="楷体"/>
                <w:b w:val="0"/>
                <w:i w:val="0"/>
                <w:iCs w:val="0"/>
                <w:color w:val="000000"/>
                <w:kern w:val="0"/>
                <w:sz w:val="24"/>
                <w:szCs w:val="24"/>
                <w:highlight w:val="none"/>
                <w:u w:val="none"/>
                <w:lang w:val="en-US" w:eastAsia="zh-CN" w:bidi="ar"/>
              </w:rPr>
              <w:t>－</w:t>
            </w:r>
            <w:r>
              <w:rPr>
                <w:rFonts w:hint="eastAsia" w:ascii="楷体" w:hAnsi="楷体" w:cs="楷体"/>
                <w:b w:val="0"/>
                <w:i w:val="0"/>
                <w:iCs w:val="0"/>
                <w:color w:val="000000"/>
                <w:kern w:val="0"/>
                <w:sz w:val="24"/>
                <w:szCs w:val="24"/>
                <w:highlight w:val="none"/>
                <w:u w:val="none"/>
                <w:lang w:val="en-US" w:eastAsia="zh-CN" w:bidi="ar"/>
              </w:rPr>
              <w:t>”</w:t>
            </w:r>
            <w:r>
              <w:rPr>
                <w:rFonts w:hint="eastAsia" w:ascii="楷体" w:hAnsi="楷体" w:eastAsia="楷体" w:cs="楷体"/>
                <w:b w:val="0"/>
                <w:i w:val="0"/>
                <w:iCs w:val="0"/>
                <w:color w:val="000000"/>
                <w:kern w:val="0"/>
                <w:sz w:val="24"/>
                <w:szCs w:val="24"/>
                <w:highlight w:val="none"/>
                <w:u w:val="none"/>
                <w:lang w:val="en-US" w:eastAsia="zh-CN" w:bidi="ar"/>
              </w:rPr>
              <w:t>号填列）</w:t>
            </w:r>
          </w:p>
        </w:tc>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1DCBA15">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672,248.34</w:t>
            </w:r>
          </w:p>
        </w:tc>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19A2ED0B">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884,791.28</w:t>
            </w:r>
          </w:p>
        </w:tc>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7F1E03B3">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1,109,829.00</w:t>
            </w:r>
          </w:p>
        </w:tc>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1C82770D">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1,495,049.00</w:t>
            </w:r>
          </w:p>
        </w:tc>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039A857D">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2,056,216.00</w:t>
            </w:r>
          </w:p>
        </w:tc>
      </w:tr>
      <w:tr w14:paraId="71A5A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350935A6">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楷体" w:hAnsi="楷体" w:eastAsia="楷体" w:cs="楷体"/>
                <w:b w:val="0"/>
                <w:i w:val="0"/>
                <w:iCs w:val="0"/>
                <w:color w:val="000000"/>
                <w:kern w:val="0"/>
                <w:sz w:val="24"/>
                <w:szCs w:val="24"/>
                <w:highlight w:val="none"/>
                <w:u w:val="none"/>
                <w:lang w:val="en-US" w:eastAsia="zh-CN" w:bidi="ar"/>
              </w:rPr>
              <w:t>减：所得税费用</w:t>
            </w:r>
          </w:p>
        </w:tc>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44EDC1E5">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68,261.28</w:t>
            </w:r>
          </w:p>
        </w:tc>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1531B9FC">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89,000.00</w:t>
            </w:r>
          </w:p>
        </w:tc>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26EC1323">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112,000.00</w:t>
            </w:r>
          </w:p>
        </w:tc>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46F90191">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150,000.00</w:t>
            </w:r>
          </w:p>
        </w:tc>
        <w:tc>
          <w:tcPr>
            <w:tcW w:w="16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4E4BFAB4">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206,000.00</w:t>
            </w:r>
          </w:p>
        </w:tc>
      </w:tr>
      <w:tr w14:paraId="7375CE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0A1EE86B">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eastAsia" w:ascii="楷体" w:hAnsi="楷体" w:eastAsia="楷体" w:cs="楷体"/>
                <w:b w:val="0"/>
                <w:i w:val="0"/>
                <w:iCs w:val="0"/>
                <w:color w:val="000000"/>
                <w:kern w:val="0"/>
                <w:sz w:val="24"/>
                <w:szCs w:val="24"/>
                <w:highlight w:val="none"/>
                <w:u w:val="none"/>
                <w:lang w:val="en-US" w:eastAsia="zh-CN" w:bidi="ar"/>
              </w:rPr>
              <w:t>四、净利润（净亏损以</w:t>
            </w:r>
            <w:r>
              <w:rPr>
                <w:rFonts w:hint="eastAsia" w:ascii="楷体" w:hAnsi="楷体" w:cs="楷体"/>
                <w:b w:val="0"/>
                <w:i w:val="0"/>
                <w:iCs w:val="0"/>
                <w:color w:val="000000"/>
                <w:kern w:val="0"/>
                <w:sz w:val="24"/>
                <w:szCs w:val="24"/>
                <w:highlight w:val="none"/>
                <w:u w:val="none"/>
                <w:lang w:val="en-US" w:eastAsia="zh-CN" w:bidi="ar"/>
              </w:rPr>
              <w:t>”</w:t>
            </w:r>
            <w:r>
              <w:rPr>
                <w:rFonts w:hint="eastAsia" w:ascii="楷体" w:hAnsi="楷体" w:eastAsia="楷体" w:cs="楷体"/>
                <w:b w:val="0"/>
                <w:i w:val="0"/>
                <w:iCs w:val="0"/>
                <w:color w:val="000000"/>
                <w:kern w:val="0"/>
                <w:sz w:val="24"/>
                <w:szCs w:val="24"/>
                <w:highlight w:val="none"/>
                <w:u w:val="none"/>
                <w:lang w:val="en-US" w:eastAsia="zh-CN" w:bidi="ar"/>
              </w:rPr>
              <w:t>－</w:t>
            </w:r>
            <w:r>
              <w:rPr>
                <w:rFonts w:hint="eastAsia" w:ascii="楷体" w:hAnsi="楷体" w:cs="楷体"/>
                <w:b w:val="0"/>
                <w:i w:val="0"/>
                <w:iCs w:val="0"/>
                <w:color w:val="000000"/>
                <w:kern w:val="0"/>
                <w:sz w:val="24"/>
                <w:szCs w:val="24"/>
                <w:highlight w:val="none"/>
                <w:u w:val="none"/>
                <w:lang w:val="en-US" w:eastAsia="zh-CN" w:bidi="ar"/>
              </w:rPr>
              <w:t>”</w:t>
            </w:r>
            <w:r>
              <w:rPr>
                <w:rFonts w:hint="eastAsia" w:ascii="楷体" w:hAnsi="楷体" w:eastAsia="楷体" w:cs="楷体"/>
                <w:b w:val="0"/>
                <w:i w:val="0"/>
                <w:iCs w:val="0"/>
                <w:color w:val="000000"/>
                <w:kern w:val="0"/>
                <w:sz w:val="24"/>
                <w:szCs w:val="24"/>
                <w:highlight w:val="none"/>
                <w:u w:val="none"/>
                <w:lang w:val="en-US" w:eastAsia="zh-CN" w:bidi="ar"/>
              </w:rPr>
              <w:t>号填列）</w:t>
            </w:r>
          </w:p>
        </w:tc>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48BECECD">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603,987.06</w:t>
            </w:r>
          </w:p>
        </w:tc>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5CE95F24">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737,890.78</w:t>
            </w:r>
          </w:p>
        </w:tc>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0EB49CA9">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975,221.16</w:t>
            </w:r>
          </w:p>
        </w:tc>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26C9BB05">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1,389,842.70</w:t>
            </w:r>
          </w:p>
        </w:tc>
        <w:tc>
          <w:tcPr>
            <w:tcW w:w="16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34160CD">
            <w:pPr>
              <w:keepNext w:val="0"/>
              <w:keepLines w:val="0"/>
              <w:widowControl/>
              <w:suppressLineNumbers w:val="0"/>
              <w:spacing w:line="360" w:lineRule="auto"/>
              <w:jc w:val="center"/>
              <w:textAlignment w:val="top"/>
              <w:rPr>
                <w:rFonts w:hint="eastAsia" w:ascii="Times New Roman" w:hAnsi="Times New Roman" w:eastAsia="楷体" w:cs="楷体"/>
                <w:b w:val="0"/>
                <w:i w:val="0"/>
                <w:iCs w:val="0"/>
                <w:color w:val="000000"/>
                <w:kern w:val="0"/>
                <w:sz w:val="24"/>
                <w:szCs w:val="18"/>
                <w:highlight w:val="none"/>
                <w:u w:val="none"/>
                <w:lang w:val="en-US" w:eastAsia="zh-CN" w:bidi="ar"/>
              </w:rPr>
            </w:pPr>
            <w:r>
              <w:rPr>
                <w:rFonts w:hint="default" w:ascii="Times New Roman" w:hAnsi="Times New Roman" w:eastAsia="宋体" w:cs="Times New Roman"/>
                <w:b w:val="0"/>
                <w:i w:val="0"/>
                <w:iCs w:val="0"/>
                <w:color w:val="000000"/>
                <w:kern w:val="0"/>
                <w:sz w:val="24"/>
                <w:szCs w:val="24"/>
                <w:highlight w:val="none"/>
                <w:u w:val="none"/>
                <w:lang w:val="en-US" w:eastAsia="zh-CN" w:bidi="ar"/>
              </w:rPr>
              <w:t>2,136,496.78</w:t>
            </w:r>
          </w:p>
        </w:tc>
      </w:tr>
    </w:tbl>
    <w:p w14:paraId="15B407CF">
      <w:pPr>
        <w:rPr>
          <w:rFonts w:hint="eastAsia"/>
          <w:highlight w:val="none"/>
          <w:lang w:val="en-US"/>
        </w:rPr>
      </w:pPr>
      <w:r>
        <w:rPr>
          <w:rFonts w:hint="eastAsia"/>
          <w:highlight w:val="none"/>
          <w:lang w:val="en-US"/>
        </w:rPr>
        <w:br w:type="page"/>
      </w:r>
    </w:p>
    <w:p w14:paraId="560BACF4">
      <w:pPr>
        <w:pStyle w:val="4"/>
        <w:bidi w:val="0"/>
        <w:spacing w:line="360" w:lineRule="auto"/>
        <w:rPr>
          <w:rFonts w:hint="eastAsia"/>
          <w:highlight w:val="none"/>
          <w:lang w:val="en-US"/>
        </w:rPr>
      </w:pPr>
      <w:bookmarkStart w:id="156" w:name="_Toc1117"/>
      <w:bookmarkStart w:id="157" w:name="_Toc23305"/>
      <w:r>
        <w:rPr>
          <w:rFonts w:hint="eastAsia"/>
          <w:highlight w:val="none"/>
          <w:lang w:val="en-US"/>
        </w:rPr>
        <w:t>8.2.5财务能力分析</w:t>
      </w:r>
      <w:bookmarkEnd w:id="156"/>
      <w:bookmarkEnd w:id="157"/>
    </w:p>
    <w:p w14:paraId="77776D53">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560" w:firstLineChars="200"/>
        <w:textAlignment w:val="auto"/>
        <w:rPr>
          <w:rFonts w:hint="eastAsia"/>
          <w:highlight w:val="none"/>
          <w:lang w:val="en-US" w:eastAsia="zh-CN"/>
        </w:rPr>
      </w:pPr>
      <w:r>
        <w:rPr>
          <w:rFonts w:hint="eastAsia"/>
          <w:highlight w:val="none"/>
          <w:lang w:val="en-US" w:eastAsia="zh-CN"/>
        </w:rPr>
        <w:t>综合上述资产负债表、利润表，其财务能力分析大致可以从短期偿债能力、长期偿债能力、盈利能力、运营能力四个方面进行分析：</w:t>
      </w:r>
    </w:p>
    <w:p w14:paraId="48F6214F">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562" w:firstLineChars="200"/>
        <w:textAlignment w:val="auto"/>
        <w:rPr>
          <w:rFonts w:hint="eastAsia"/>
          <w:b/>
          <w:bCs/>
          <w:highlight w:val="none"/>
          <w:lang w:val="en-US" w:eastAsia="zh-CN"/>
        </w:rPr>
      </w:pPr>
      <w:r>
        <w:rPr>
          <w:rFonts w:hint="eastAsia" w:ascii="Times New Roman" w:hAnsi="Times New Roman" w:eastAsia="楷体" w:cs="宋体"/>
          <w:b/>
          <w:bCs/>
          <w:kern w:val="2"/>
          <w:sz w:val="28"/>
          <w:szCs w:val="22"/>
          <w:highlight w:val="none"/>
          <w:lang w:val="en-US" w:eastAsia="zh-CN" w:bidi="ar-SA"/>
        </w:rPr>
        <w:t>（1）</w:t>
      </w:r>
      <w:r>
        <w:rPr>
          <w:rFonts w:hint="eastAsia"/>
          <w:b/>
          <w:bCs/>
          <w:highlight w:val="none"/>
          <w:lang w:val="en-US" w:eastAsia="zh-CN"/>
        </w:rPr>
        <w:t>报表分析管理</w:t>
      </w:r>
    </w:p>
    <w:p w14:paraId="6090415E">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560" w:firstLineChars="200"/>
        <w:textAlignment w:val="auto"/>
        <w:rPr>
          <w:rFonts w:hint="eastAsia"/>
          <w:highlight w:val="none"/>
          <w:lang w:val="en-US"/>
        </w:rPr>
      </w:pPr>
      <w:r>
        <w:rPr>
          <w:rFonts w:hint="eastAsia"/>
          <w:highlight w:val="none"/>
          <w:lang w:val="en-US"/>
        </w:rPr>
        <w:t>根据财务数据计算得出，该企业的流动比率为245.57%、速动比率为222.15%、现金比率为151.24%。这些指标均显著高于100%，表明企业在短期内具有较强的偿债能力，能够较好地应对短期债务。流动比率和速动比率较高，说明企业在扣除存货后，仍能保持较高的流动性，而现金比例较高则进一步凸显了企业拥有较为充足的现金及现金等价物来应对短期债务，整体财务状况较为稳健。</w:t>
      </w:r>
    </w:p>
    <w:p w14:paraId="45EA36AB">
      <w:pPr>
        <w:pStyle w:val="5"/>
        <w:bidi w:val="0"/>
        <w:spacing w:before="48" w:beforeLines="20" w:beforeAutospacing="0" w:after="120" w:afterLines="50" w:afterAutospacing="0" w:line="360" w:lineRule="auto"/>
        <w:rPr>
          <w:rFonts w:hint="eastAsia"/>
          <w:highlight w:val="none"/>
          <w:lang w:val="en-US" w:eastAsia="zh-CN"/>
        </w:rPr>
      </w:pPr>
      <w:r>
        <w:rPr>
          <w:rFonts w:hint="eastAsia"/>
          <w:highlight w:val="none"/>
          <w:lang w:val="en-US"/>
        </w:rPr>
        <w:t>表8-</w:t>
      </w:r>
      <w:r>
        <w:rPr>
          <w:rFonts w:hint="eastAsia"/>
          <w:highlight w:val="none"/>
          <w:lang w:val="en-US" w:eastAsia="zh-CN"/>
        </w:rPr>
        <w:t>6 报表</w:t>
      </w:r>
      <w:r>
        <w:rPr>
          <w:rFonts w:hint="eastAsia"/>
          <w:highlight w:val="none"/>
          <w:lang w:val="en-US"/>
        </w:rPr>
        <w:t>分析表</w:t>
      </w:r>
    </w:p>
    <w:tbl>
      <w:tblPr>
        <w:tblStyle w:val="17"/>
        <w:tblW w:w="859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59"/>
        <w:gridCol w:w="3661"/>
        <w:gridCol w:w="2979"/>
      </w:tblGrid>
      <w:tr w14:paraId="04FE02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35" w:hRule="atLeast"/>
          <w:jc w:val="center"/>
        </w:trPr>
        <w:tc>
          <w:tcPr>
            <w:tcW w:w="1959" w:type="dxa"/>
            <w:tcBorders>
              <w:top w:val="single" w:color="4F81BD" w:themeColor="accent1" w:sz="6" w:space="0"/>
              <w:left w:val="single" w:color="4F81BD" w:themeColor="accent1" w:sz="6" w:space="0"/>
              <w:bottom w:val="single" w:color="4F81BD" w:themeColor="accent1" w:sz="6" w:space="0"/>
              <w:right w:val="single" w:color="B8CCE4" w:themeColor="accent1" w:themeTint="66" w:sz="6" w:space="0"/>
            </w:tcBorders>
            <w:shd w:val="clear" w:color="auto" w:fill="4F81BD" w:themeFill="accent1"/>
            <w:vAlign w:val="center"/>
          </w:tcPr>
          <w:p w14:paraId="5ED0BB1B">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Times New Roman" w:hAnsi="Times New Roman"/>
                <w:b/>
                <w:bCs/>
                <w:i w:val="0"/>
                <w:color w:val="FFFFFF"/>
                <w:highlight w:val="none"/>
                <w:lang w:val="en-US" w:eastAsia="zh-CN"/>
              </w:rPr>
            </w:pPr>
            <w:r>
              <w:rPr>
                <w:rFonts w:hint="default" w:ascii="Times New Roman" w:hAnsi="Times New Roman"/>
                <w:b/>
                <w:bCs/>
                <w:i w:val="0"/>
                <w:color w:val="FFFFFF"/>
                <w:highlight w:val="none"/>
                <w:lang w:val="en-US" w:eastAsia="zh-CN"/>
              </w:rPr>
              <w:t>项目</w:t>
            </w:r>
          </w:p>
        </w:tc>
        <w:tc>
          <w:tcPr>
            <w:tcW w:w="3661" w:type="dxa"/>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vAlign w:val="center"/>
          </w:tcPr>
          <w:p w14:paraId="5BF895A0">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Times New Roman" w:hAnsi="Times New Roman"/>
                <w:b/>
                <w:bCs/>
                <w:i w:val="0"/>
                <w:color w:val="FFFFFF"/>
                <w:highlight w:val="none"/>
                <w:lang w:val="en-US"/>
              </w:rPr>
            </w:pPr>
            <w:r>
              <w:rPr>
                <w:rFonts w:hint="eastAsia" w:ascii="Times New Roman" w:hAnsi="Times New Roman"/>
                <w:b/>
                <w:bCs/>
                <w:i w:val="0"/>
                <w:color w:val="FFFFFF"/>
                <w:highlight w:val="none"/>
                <w:lang w:val="en-US"/>
              </w:rPr>
              <w:t>公式</w:t>
            </w:r>
          </w:p>
        </w:tc>
        <w:tc>
          <w:tcPr>
            <w:tcW w:w="2979" w:type="dxa"/>
            <w:tcBorders>
              <w:top w:val="single" w:color="4F81BD" w:themeColor="accent1" w:sz="6" w:space="0"/>
              <w:left w:val="single" w:color="B8CCE4" w:themeColor="accent1" w:themeTint="66" w:sz="6" w:space="0"/>
              <w:bottom w:val="single" w:color="4F81BD" w:themeColor="accent1" w:sz="6" w:space="0"/>
              <w:right w:val="single" w:color="4F81BD" w:themeColor="accent1" w:sz="6" w:space="0"/>
            </w:tcBorders>
            <w:shd w:val="clear" w:color="auto" w:fill="4F81BD" w:themeFill="accent1"/>
            <w:vAlign w:val="center"/>
          </w:tcPr>
          <w:p w14:paraId="45EE590E">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Times New Roman" w:hAnsi="Times New Roman"/>
                <w:b/>
                <w:bCs/>
                <w:i w:val="0"/>
                <w:color w:val="FFFFFF"/>
                <w:highlight w:val="none"/>
                <w:lang w:val="en-US" w:eastAsia="zh-CN"/>
              </w:rPr>
            </w:pPr>
            <w:r>
              <w:rPr>
                <w:rFonts w:hint="eastAsia" w:ascii="Times New Roman" w:hAnsi="Times New Roman"/>
                <w:b/>
                <w:bCs/>
                <w:i w:val="0"/>
                <w:color w:val="FFFFFF"/>
                <w:highlight w:val="none"/>
                <w:lang w:val="en-US" w:eastAsia="zh-CN"/>
              </w:rPr>
              <w:t>数值</w:t>
            </w:r>
          </w:p>
        </w:tc>
      </w:tr>
      <w:tr w14:paraId="6AC39E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20" w:hRule="atLeast"/>
          <w:jc w:val="center"/>
        </w:trPr>
        <w:tc>
          <w:tcPr>
            <w:tcW w:w="1959" w:type="dxa"/>
            <w:tcBorders>
              <w:top w:val="single" w:color="4F81BD" w:themeColor="accent1"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14114E19">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b w:val="0"/>
                <w:i w:val="0"/>
                <w:color w:val="000000"/>
                <w:highlight w:val="none"/>
                <w:lang w:val="en-US" w:eastAsia="zh-CN"/>
              </w:rPr>
            </w:pPr>
            <w:r>
              <w:rPr>
                <w:rFonts w:hint="default" w:ascii="Times New Roman" w:hAnsi="Times New Roman"/>
                <w:b w:val="0"/>
                <w:i w:val="0"/>
                <w:color w:val="000000"/>
                <w:highlight w:val="none"/>
                <w:lang w:val="en-US" w:eastAsia="zh-CN"/>
              </w:rPr>
              <w:t>流动比率</w:t>
            </w:r>
          </w:p>
        </w:tc>
        <w:tc>
          <w:tcPr>
            <w:tcW w:w="3661"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44DFC5C3">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Times New Roman" w:hAnsi="Times New Roman"/>
                <w:b w:val="0"/>
                <w:i w:val="0"/>
                <w:color w:val="000000"/>
                <w:sz w:val="24"/>
                <w:szCs w:val="24"/>
                <w:highlight w:val="none"/>
                <w:lang w:val="en-US" w:eastAsia="zh-CN"/>
              </w:rPr>
            </w:pPr>
            <w:r>
              <w:rPr>
                <w:rFonts w:hint="eastAsia" w:ascii="Times New Roman" w:hAnsi="Times New Roman"/>
                <w:b w:val="0"/>
                <w:i w:val="0"/>
                <w:color w:val="000000"/>
                <w:sz w:val="24"/>
                <w:szCs w:val="24"/>
                <w:highlight w:val="none"/>
                <w:lang w:val="en-US" w:eastAsia="zh-CN"/>
              </w:rPr>
              <mc:AlternateContent>
                <mc:Choice Requires="wps">
                  <w:drawing>
                    <wp:anchor distT="0" distB="0" distL="114300" distR="114300" simplePos="0" relativeHeight="251664384" behindDoc="0" locked="0" layoutInCell="1" allowOverlap="1">
                      <wp:simplePos x="0" y="0"/>
                      <wp:positionH relativeFrom="column">
                        <wp:posOffset>610235</wp:posOffset>
                      </wp:positionH>
                      <wp:positionV relativeFrom="paragraph">
                        <wp:posOffset>195580</wp:posOffset>
                      </wp:positionV>
                      <wp:extent cx="850900" cy="0"/>
                      <wp:effectExtent l="0" t="6350" r="0" b="6350"/>
                      <wp:wrapNone/>
                      <wp:docPr id="107" name="直接连接符 107"/>
                      <wp:cNvGraphicFramePr/>
                      <a:graphic xmlns:a="http://schemas.openxmlformats.org/drawingml/2006/main">
                        <a:graphicData uri="http://schemas.microsoft.com/office/word/2010/wordprocessingShape">
                          <wps:wsp>
                            <wps:cNvCnPr/>
                            <wps:spPr>
                              <a:xfrm>
                                <a:off x="3079115" y="2701925"/>
                                <a:ext cx="850900" cy="0"/>
                              </a:xfrm>
                              <a:prstGeom prst="line">
                                <a:avLst/>
                              </a:prstGeom>
                              <a:ln w="12700">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8.05pt;margin-top:15.4pt;height:0pt;width:67pt;z-index:251664384;mso-width-relative:page;mso-height-relative:page;" filled="f" stroked="t" coordsize="21600,21600" o:gfxdata="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9hefn1gAA&#10;AAgBAAAPAAAAAAAAAAEAIAAAACIAAABkcnMvZG93bnJldi54bWxQSwECFAAUAAAACACHTuJAo7kC&#10;V+cBAACqAwAADgAAAAAAAAABACAAAAAlAQAAZHJzL2Uyb0RvYy54bWxQSwUGAAAAAAYABgBZAQAA&#10;fgUAAAAA&#10;">
                      <v:fill on="f" focussize="0,0"/>
                      <v:stroke weight="1pt" color="#000000 [3213]" joinstyle="round"/>
                      <v:imagedata o:title=""/>
                      <o:lock v:ext="edit" aspectratio="f"/>
                    </v:line>
                  </w:pict>
                </mc:Fallback>
              </mc:AlternateContent>
            </w:r>
            <w:r>
              <w:rPr>
                <w:rFonts w:hint="eastAsia" w:ascii="Times New Roman" w:hAnsi="Times New Roman"/>
                <w:b w:val="0"/>
                <w:i w:val="0"/>
                <w:color w:val="000000"/>
                <w:sz w:val="24"/>
                <w:szCs w:val="24"/>
                <w:highlight w:val="none"/>
                <w:lang w:val="en-US" w:eastAsia="zh-CN"/>
              </w:rPr>
              <w:t>流动资产</w:t>
            </w:r>
          </w:p>
          <w:p w14:paraId="5B1E3F30">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eastAsia" w:ascii="Arial" w:hAnsi="Arial" w:eastAsia="宋体" w:cs="Arial"/>
                <w:b w:val="0"/>
                <w:i w:val="0"/>
                <w:iCs w:val="0"/>
                <w:color w:val="000000"/>
                <w:sz w:val="22"/>
                <w:szCs w:val="22"/>
                <w:highlight w:val="none"/>
                <w:u w:val="none"/>
              </w:rPr>
            </w:pPr>
            <w:r>
              <w:rPr>
                <w:rFonts w:hint="eastAsia" w:ascii="Times New Roman" w:hAnsi="Times New Roman"/>
                <w:b w:val="0"/>
                <w:i w:val="0"/>
                <w:color w:val="000000"/>
                <w:sz w:val="24"/>
                <w:szCs w:val="24"/>
                <w:highlight w:val="none"/>
                <w:lang w:val="en-US" w:eastAsia="zh-CN"/>
              </w:rPr>
              <w:t>流动负债</w:t>
            </w:r>
          </w:p>
        </w:tc>
        <w:tc>
          <w:tcPr>
            <w:tcW w:w="2979" w:type="dxa"/>
            <w:tcBorders>
              <w:top w:val="single" w:color="4F81BD" w:themeColor="accent1"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38CADD59">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Times New Roman" w:hAnsi="Times New Roman"/>
                <w:b w:val="0"/>
                <w:i w:val="0"/>
                <w:color w:val="000000"/>
                <w:highlight w:val="none"/>
                <w:lang w:val="en-US"/>
              </w:rPr>
            </w:pPr>
            <w:r>
              <w:rPr>
                <w:rFonts w:hint="eastAsia" w:ascii="Times New Roman" w:hAnsi="Times New Roman"/>
                <w:b w:val="0"/>
                <w:i w:val="0"/>
                <w:color w:val="000000"/>
                <w:highlight w:val="none"/>
                <w:lang w:val="en-US"/>
              </w:rPr>
              <w:t>2.4557</w:t>
            </w:r>
          </w:p>
        </w:tc>
      </w:tr>
      <w:tr w14:paraId="61EC8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80" w:hRule="atLeast"/>
          <w:jc w:val="center"/>
        </w:trPr>
        <w:tc>
          <w:tcPr>
            <w:tcW w:w="1959"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676BF46E">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b w:val="0"/>
                <w:i w:val="0"/>
                <w:color w:val="000000"/>
                <w:highlight w:val="none"/>
                <w:lang w:val="en-US" w:eastAsia="zh-CN"/>
              </w:rPr>
            </w:pPr>
            <w:r>
              <w:rPr>
                <w:rFonts w:hint="default" w:ascii="Times New Roman" w:hAnsi="Times New Roman"/>
                <w:b w:val="0"/>
                <w:i w:val="0"/>
                <w:color w:val="000000"/>
                <w:highlight w:val="none"/>
                <w:lang w:val="en-US" w:eastAsia="zh-CN"/>
              </w:rPr>
              <w:t>速动比率</w:t>
            </w:r>
          </w:p>
        </w:tc>
        <w:tc>
          <w:tcPr>
            <w:tcW w:w="3661"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00B1BD38">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b w:val="0"/>
                <w:i w:val="0"/>
                <w:color w:val="000000"/>
                <w:sz w:val="24"/>
                <w:szCs w:val="24"/>
                <w:highlight w:val="none"/>
                <w:lang w:val="en-US" w:eastAsia="zh-CN"/>
              </w:rPr>
            </w:pPr>
            <w:r>
              <w:rPr>
                <w:rFonts w:hint="eastAsia" w:ascii="Times New Roman" w:hAnsi="Times New Roman"/>
                <w:b w:val="0"/>
                <w:i w:val="0"/>
                <w:color w:val="000000"/>
                <w:sz w:val="24"/>
                <w:szCs w:val="24"/>
                <w:highlight w:val="none"/>
                <w:lang w:val="en-US" w:eastAsia="zh-CN"/>
              </w:rPr>
              <mc:AlternateContent>
                <mc:Choice Requires="wps">
                  <w:drawing>
                    <wp:anchor distT="0" distB="0" distL="114300" distR="114300" simplePos="0" relativeHeight="251665408" behindDoc="0" locked="0" layoutInCell="1" allowOverlap="1">
                      <wp:simplePos x="0" y="0"/>
                      <wp:positionH relativeFrom="column">
                        <wp:posOffset>610235</wp:posOffset>
                      </wp:positionH>
                      <wp:positionV relativeFrom="paragraph">
                        <wp:posOffset>195580</wp:posOffset>
                      </wp:positionV>
                      <wp:extent cx="850900" cy="0"/>
                      <wp:effectExtent l="0" t="6350" r="0" b="6350"/>
                      <wp:wrapNone/>
                      <wp:docPr id="108" name="直接连接符 108"/>
                      <wp:cNvGraphicFramePr/>
                      <a:graphic xmlns:a="http://schemas.openxmlformats.org/drawingml/2006/main">
                        <a:graphicData uri="http://schemas.microsoft.com/office/word/2010/wordprocessingShape">
                          <wps:wsp>
                            <wps:cNvCnPr/>
                            <wps:spPr>
                              <a:xfrm>
                                <a:off x="3079115" y="2701925"/>
                                <a:ext cx="850900" cy="0"/>
                              </a:xfrm>
                              <a:prstGeom prst="line">
                                <a:avLst/>
                              </a:prstGeom>
                              <a:ln w="12700">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8.05pt;margin-top:15.4pt;height:0pt;width:67pt;z-index:251665408;mso-width-relative:page;mso-height-relative:page;" filled="f" stroked="t" coordsize="21600,21600" o:gfxdata="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9hefn1gAA&#10;AAgBAAAPAAAAAAAAAAEAIAAAACIAAABkcnMvZG93bnJldi54bWxQSwECFAAUAAAACACHTuJATu+N&#10;gOcBAACqAwAADgAAAAAAAAABACAAAAAlAQAAZHJzL2Uyb0RvYy54bWxQSwUGAAAAAAYABgBZAQAA&#10;fgUAAAAA&#10;">
                      <v:fill on="f" focussize="0,0"/>
                      <v:stroke weight="1pt" color="#000000 [3213]" joinstyle="round"/>
                      <v:imagedata o:title=""/>
                      <o:lock v:ext="edit" aspectratio="f"/>
                    </v:line>
                  </w:pict>
                </mc:Fallback>
              </mc:AlternateContent>
            </w:r>
            <w:r>
              <w:rPr>
                <w:rFonts w:hint="eastAsia" w:ascii="Times New Roman" w:hAnsi="Times New Roman"/>
                <w:b w:val="0"/>
                <w:i w:val="0"/>
                <w:color w:val="000000"/>
                <w:sz w:val="24"/>
                <w:szCs w:val="24"/>
                <w:highlight w:val="none"/>
                <w:lang w:val="en-US" w:eastAsia="zh-CN"/>
              </w:rPr>
              <w:t>速动资产</w:t>
            </w:r>
          </w:p>
          <w:p w14:paraId="0E51F50C">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eastAsia" w:ascii="Arial" w:hAnsi="Arial" w:eastAsia="宋体" w:cs="Arial"/>
                <w:b w:val="0"/>
                <w:i w:val="0"/>
                <w:iCs w:val="0"/>
                <w:color w:val="000000"/>
                <w:sz w:val="22"/>
                <w:szCs w:val="22"/>
                <w:highlight w:val="none"/>
                <w:u w:val="none"/>
              </w:rPr>
            </w:pPr>
            <w:r>
              <w:rPr>
                <w:rFonts w:hint="eastAsia" w:ascii="Times New Roman" w:hAnsi="Times New Roman"/>
                <w:b w:val="0"/>
                <w:i w:val="0"/>
                <w:color w:val="000000"/>
                <w:sz w:val="24"/>
                <w:szCs w:val="24"/>
                <w:highlight w:val="none"/>
                <w:lang w:val="en-US" w:eastAsia="zh-CN"/>
              </w:rPr>
              <w:t>流动负债</w:t>
            </w:r>
          </w:p>
        </w:tc>
        <w:tc>
          <w:tcPr>
            <w:tcW w:w="2979"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14701C7F">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Times New Roman" w:hAnsi="Times New Roman"/>
                <w:b w:val="0"/>
                <w:i w:val="0"/>
                <w:color w:val="000000"/>
                <w:highlight w:val="none"/>
                <w:lang w:val="en-US"/>
              </w:rPr>
            </w:pPr>
            <w:r>
              <w:rPr>
                <w:rFonts w:hint="eastAsia" w:ascii="Times New Roman" w:hAnsi="Times New Roman"/>
                <w:b w:val="0"/>
                <w:i w:val="0"/>
                <w:color w:val="000000"/>
                <w:highlight w:val="none"/>
                <w:lang w:val="en-US"/>
              </w:rPr>
              <w:t>2.2215</w:t>
            </w:r>
          </w:p>
        </w:tc>
      </w:tr>
      <w:tr w14:paraId="701EC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15" w:hRule="atLeast"/>
          <w:jc w:val="center"/>
        </w:trPr>
        <w:tc>
          <w:tcPr>
            <w:tcW w:w="1959" w:type="dxa"/>
            <w:tcBorders>
              <w:top w:val="single" w:color="B8CCE4" w:themeColor="accent1" w:themeTint="66" w:sz="6" w:space="0"/>
              <w:left w:val="single" w:color="4F81BD" w:themeColor="accent1" w:sz="6" w:space="0"/>
              <w:bottom w:val="single" w:color="4F81BD" w:themeColor="accent1" w:sz="6" w:space="0"/>
              <w:right w:val="single" w:color="B8CCE4" w:themeColor="accent1" w:themeTint="66" w:sz="6" w:space="0"/>
            </w:tcBorders>
            <w:shd w:val="clear" w:color="auto" w:fill="EDF2F8" w:themeFill="accent1" w:themeFillTint="19"/>
            <w:vAlign w:val="center"/>
          </w:tcPr>
          <w:p w14:paraId="63E91EBB">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b w:val="0"/>
                <w:i w:val="0"/>
                <w:color w:val="000000"/>
                <w:highlight w:val="none"/>
                <w:lang w:val="en-US" w:eastAsia="zh-CN"/>
              </w:rPr>
            </w:pPr>
            <w:r>
              <w:rPr>
                <w:rFonts w:hint="default" w:ascii="Times New Roman" w:hAnsi="Times New Roman"/>
                <w:b w:val="0"/>
                <w:i w:val="0"/>
                <w:color w:val="000000"/>
                <w:highlight w:val="none"/>
                <w:lang w:val="en-US" w:eastAsia="zh-CN"/>
              </w:rPr>
              <w:t>现金比率</w:t>
            </w:r>
          </w:p>
        </w:tc>
        <w:tc>
          <w:tcPr>
            <w:tcW w:w="3661" w:type="dxa"/>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FFFFFF"/>
            <w:vAlign w:val="center"/>
          </w:tcPr>
          <w:p w14:paraId="494316BF">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b w:val="0"/>
                <w:i w:val="0"/>
                <w:color w:val="000000"/>
                <w:sz w:val="24"/>
                <w:szCs w:val="24"/>
                <w:highlight w:val="none"/>
                <w:lang w:val="en-US" w:eastAsia="zh-CN"/>
              </w:rPr>
            </w:pPr>
            <w:r>
              <w:rPr>
                <w:rFonts w:hint="eastAsia" w:ascii="Times New Roman" w:hAnsi="Times New Roman"/>
                <w:b w:val="0"/>
                <w:i w:val="0"/>
                <w:color w:val="000000"/>
                <w:sz w:val="24"/>
                <w:szCs w:val="24"/>
                <w:highlight w:val="none"/>
                <w:lang w:val="en-US" w:eastAsia="zh-CN"/>
              </w:rPr>
              <mc:AlternateContent>
                <mc:Choice Requires="wps">
                  <w:drawing>
                    <wp:anchor distT="0" distB="0" distL="114300" distR="114300" simplePos="0" relativeHeight="251666432" behindDoc="0" locked="0" layoutInCell="1" allowOverlap="1">
                      <wp:simplePos x="0" y="0"/>
                      <wp:positionH relativeFrom="column">
                        <wp:posOffset>394335</wp:posOffset>
                      </wp:positionH>
                      <wp:positionV relativeFrom="paragraph">
                        <wp:posOffset>199390</wp:posOffset>
                      </wp:positionV>
                      <wp:extent cx="1282700" cy="6350"/>
                      <wp:effectExtent l="0" t="0" r="0" b="0"/>
                      <wp:wrapNone/>
                      <wp:docPr id="109" name="直接连接符 109"/>
                      <wp:cNvGraphicFramePr/>
                      <a:graphic xmlns:a="http://schemas.openxmlformats.org/drawingml/2006/main">
                        <a:graphicData uri="http://schemas.microsoft.com/office/word/2010/wordprocessingShape">
                          <wps:wsp>
                            <wps:cNvCnPr/>
                            <wps:spPr>
                              <a:xfrm>
                                <a:off x="3079115" y="2701925"/>
                                <a:ext cx="1282700" cy="6350"/>
                              </a:xfrm>
                              <a:prstGeom prst="line">
                                <a:avLst/>
                              </a:prstGeom>
                              <a:ln w="12700">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1.05pt;margin-top:15.7pt;height:0.5pt;width:101pt;z-index:251666432;mso-width-relative:page;mso-height-relative:page;" filled="f" stroked="t" coordsize="21600,21600" o:gfxdata="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g7TY4&#10;1wAAAAgBAAAPAAAAAAAAAAEAIAAAACIAAABkcnMvZG93bnJldi54bWxQSwECFAAUAAAACACHTuJA&#10;OlMt0OkBAACuAwAADgAAAAAAAAABACAAAAAmAQAAZHJzL2Uyb0RvYy54bWxQSwUGAAAAAAYABgBZ&#10;AQAAgQUAAAAA&#10;">
                      <v:fill on="f" focussize="0,0"/>
                      <v:stroke weight="1pt" color="#000000 [3213]" joinstyle="round"/>
                      <v:imagedata o:title=""/>
                      <o:lock v:ext="edit" aspectratio="f"/>
                    </v:line>
                  </w:pict>
                </mc:Fallback>
              </mc:AlternateContent>
            </w:r>
            <w:r>
              <w:rPr>
                <w:rFonts w:hint="eastAsia" w:ascii="Times New Roman" w:hAnsi="Times New Roman"/>
                <w:b w:val="0"/>
                <w:i w:val="0"/>
                <w:color w:val="000000"/>
                <w:sz w:val="24"/>
                <w:szCs w:val="24"/>
                <w:highlight w:val="none"/>
                <w:lang w:val="en-US" w:eastAsia="zh-CN"/>
              </w:rPr>
              <w:t>现金+有价证券</w:t>
            </w:r>
          </w:p>
          <w:p w14:paraId="6B4695BF">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eastAsia" w:ascii="Arial" w:hAnsi="Arial" w:eastAsia="宋体" w:cs="Arial"/>
                <w:b w:val="0"/>
                <w:i w:val="0"/>
                <w:iCs w:val="0"/>
                <w:color w:val="000000"/>
                <w:sz w:val="22"/>
                <w:szCs w:val="22"/>
                <w:highlight w:val="none"/>
                <w:u w:val="none"/>
                <w:lang w:val="en-US" w:eastAsia="zh-CN"/>
              </w:rPr>
            </w:pPr>
            <w:r>
              <w:rPr>
                <w:rFonts w:hint="eastAsia" w:ascii="Times New Roman" w:hAnsi="Times New Roman"/>
                <w:b w:val="0"/>
                <w:i w:val="0"/>
                <w:color w:val="000000"/>
                <w:sz w:val="24"/>
                <w:szCs w:val="24"/>
                <w:highlight w:val="none"/>
                <w:lang w:val="en-US" w:eastAsia="zh-CN"/>
              </w:rPr>
              <w:t>流动负债</w:t>
            </w:r>
          </w:p>
        </w:tc>
        <w:tc>
          <w:tcPr>
            <w:tcW w:w="2979" w:type="dxa"/>
            <w:tcBorders>
              <w:top w:val="single" w:color="B8CCE4" w:themeColor="accent1" w:themeTint="66" w:sz="6" w:space="0"/>
              <w:left w:val="single" w:color="B8CCE4" w:themeColor="accent1" w:themeTint="66" w:sz="6" w:space="0"/>
              <w:bottom w:val="single" w:color="4F81BD" w:themeColor="accent1" w:sz="6" w:space="0"/>
              <w:right w:val="single" w:color="4F81BD" w:themeColor="accent1" w:sz="6" w:space="0"/>
            </w:tcBorders>
            <w:shd w:val="clear" w:color="auto" w:fill="EDF2F8" w:themeFill="accent1" w:themeFillTint="19"/>
            <w:vAlign w:val="center"/>
          </w:tcPr>
          <w:p w14:paraId="3DB705D3">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Times New Roman" w:hAnsi="Times New Roman"/>
                <w:b w:val="0"/>
                <w:i w:val="0"/>
                <w:color w:val="000000"/>
                <w:highlight w:val="none"/>
                <w:lang w:val="en-US"/>
              </w:rPr>
            </w:pPr>
            <w:r>
              <w:rPr>
                <w:rFonts w:hint="eastAsia" w:ascii="Times New Roman" w:hAnsi="Times New Roman"/>
                <w:b w:val="0"/>
                <w:i w:val="0"/>
                <w:color w:val="000000"/>
                <w:highlight w:val="none"/>
                <w:lang w:val="en-US"/>
              </w:rPr>
              <w:t>1.5124</w:t>
            </w:r>
          </w:p>
        </w:tc>
      </w:tr>
    </w:tbl>
    <w:p w14:paraId="3DC76BC8">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560" w:firstLineChars="200"/>
        <w:textAlignment w:val="auto"/>
        <w:rPr>
          <w:rFonts w:hint="eastAsia"/>
          <w:highlight w:val="none"/>
          <w:lang w:val="en-US"/>
        </w:rPr>
      </w:pPr>
    </w:p>
    <w:p w14:paraId="1EE87B4A">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562" w:firstLineChars="200"/>
        <w:textAlignment w:val="auto"/>
        <w:rPr>
          <w:rFonts w:hint="eastAsia"/>
          <w:b/>
          <w:bCs/>
          <w:highlight w:val="none"/>
          <w:lang w:val="en-US" w:eastAsia="zh-CN"/>
        </w:rPr>
      </w:pPr>
      <w:r>
        <w:rPr>
          <w:rFonts w:hint="eastAsia"/>
          <w:b/>
          <w:bCs/>
          <w:highlight w:val="none"/>
          <w:lang w:val="en-US" w:eastAsia="zh-CN"/>
        </w:rPr>
        <w:t>（2）长期偿债能力</w:t>
      </w:r>
    </w:p>
    <w:p w14:paraId="60BBCC17">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560" w:firstLineChars="200"/>
        <w:textAlignment w:val="auto"/>
        <w:rPr>
          <w:rFonts w:hint="eastAsia"/>
          <w:highlight w:val="none"/>
          <w:lang w:val="en-US"/>
        </w:rPr>
      </w:pPr>
      <w:r>
        <w:rPr>
          <w:rFonts w:hint="eastAsia"/>
          <w:highlight w:val="none"/>
          <w:lang w:val="en-US"/>
        </w:rPr>
        <w:t>资产负债率为52.58%，表明企业的资产中有52.58%是通过负债筹集的，财务风险处于适中水平；产权比率为90.07%，意味着企业的所有者权益对负债的保障程度较高，财务结构较为稳健；利息保障倍数为16.64，显示企业有足够的息税前利润来覆盖利息费用，偿债能力较强。总体来看，企业财务状况良好，具备较强的抗风险能力和偿债能力。</w:t>
      </w:r>
    </w:p>
    <w:p w14:paraId="7ED90CD5">
      <w:pPr>
        <w:pStyle w:val="5"/>
        <w:bidi w:val="0"/>
        <w:spacing w:after="120" w:afterLines="50" w:afterAutospacing="0" w:line="360" w:lineRule="auto"/>
        <w:rPr>
          <w:rFonts w:hint="default"/>
          <w:highlight w:val="none"/>
          <w:lang w:val="en-US" w:eastAsia="zh-CN"/>
        </w:rPr>
      </w:pPr>
      <w:r>
        <w:rPr>
          <w:rFonts w:hint="eastAsia"/>
          <w:highlight w:val="none"/>
          <w:lang w:val="en-US"/>
        </w:rPr>
        <w:t>表8-</w:t>
      </w:r>
      <w:r>
        <w:rPr>
          <w:rFonts w:hint="eastAsia"/>
          <w:highlight w:val="none"/>
          <w:lang w:val="en-US" w:eastAsia="zh-CN"/>
        </w:rPr>
        <w:t>7 长期偿债能力</w:t>
      </w:r>
      <w:r>
        <w:rPr>
          <w:rFonts w:hint="eastAsia"/>
          <w:highlight w:val="none"/>
          <w:lang w:val="en-US"/>
        </w:rPr>
        <w:t>表</w:t>
      </w:r>
    </w:p>
    <w:tbl>
      <w:tblPr>
        <w:tblStyle w:val="17"/>
        <w:tblW w:w="834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97"/>
        <w:gridCol w:w="3469"/>
        <w:gridCol w:w="2874"/>
      </w:tblGrid>
      <w:tr w14:paraId="043FB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jc w:val="center"/>
        </w:trPr>
        <w:tc>
          <w:tcPr>
            <w:tcW w:w="1997" w:type="dxa"/>
            <w:tcBorders>
              <w:top w:val="single" w:color="4F81BD" w:themeColor="accent1" w:sz="6" w:space="0"/>
              <w:left w:val="single" w:color="4F81BD" w:themeColor="accent1" w:sz="6" w:space="0"/>
              <w:bottom w:val="single" w:color="4F81BD" w:themeColor="accent1" w:sz="6" w:space="0"/>
              <w:right w:val="single" w:color="B8CCE4" w:themeColor="accent1" w:themeTint="66" w:sz="6" w:space="0"/>
            </w:tcBorders>
            <w:shd w:val="clear" w:color="auto" w:fill="4F81BD" w:themeFill="accent1"/>
            <w:vAlign w:val="center"/>
          </w:tcPr>
          <w:p w14:paraId="58AB9D3D">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Times New Roman" w:hAnsi="Times New Roman"/>
                <w:b/>
                <w:bCs/>
                <w:i w:val="0"/>
                <w:color w:val="FFFFFF"/>
                <w:highlight w:val="none"/>
                <w:lang w:val="en-US"/>
              </w:rPr>
            </w:pPr>
            <w:r>
              <w:rPr>
                <w:rFonts w:hint="default" w:ascii="Times New Roman" w:hAnsi="Times New Roman"/>
                <w:b/>
                <w:bCs/>
                <w:i w:val="0"/>
                <w:color w:val="FFFFFF"/>
                <w:highlight w:val="none"/>
                <w:lang w:val="en-US" w:eastAsia="zh-CN"/>
              </w:rPr>
              <w:t>项目</w:t>
            </w:r>
          </w:p>
        </w:tc>
        <w:tc>
          <w:tcPr>
            <w:tcW w:w="3469" w:type="dxa"/>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vAlign w:val="center"/>
          </w:tcPr>
          <w:p w14:paraId="3E5F94B8">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b/>
                <w:bCs/>
                <w:i w:val="0"/>
                <w:color w:val="FFFFFF"/>
                <w:highlight w:val="none"/>
                <w:lang w:val="en-US"/>
              </w:rPr>
            </w:pPr>
            <w:r>
              <w:rPr>
                <w:rFonts w:hint="eastAsia" w:ascii="Times New Roman" w:hAnsi="Times New Roman"/>
                <w:b/>
                <w:bCs/>
                <w:i w:val="0"/>
                <w:color w:val="FFFFFF"/>
                <w:highlight w:val="none"/>
                <w:lang w:val="en-US"/>
              </w:rPr>
              <w:t>公式</w:t>
            </w:r>
          </w:p>
        </w:tc>
        <w:tc>
          <w:tcPr>
            <w:tcW w:w="2874" w:type="dxa"/>
            <w:tcBorders>
              <w:top w:val="single" w:color="4F81BD" w:themeColor="accent1" w:sz="6" w:space="0"/>
              <w:left w:val="single" w:color="B8CCE4" w:themeColor="accent1" w:themeTint="66" w:sz="6" w:space="0"/>
              <w:bottom w:val="single" w:color="4F81BD" w:themeColor="accent1" w:sz="6" w:space="0"/>
              <w:right w:val="single" w:color="4F81BD" w:themeColor="accent1" w:sz="6" w:space="0"/>
            </w:tcBorders>
            <w:shd w:val="clear" w:color="auto" w:fill="4F81BD" w:themeFill="accent1"/>
            <w:vAlign w:val="center"/>
          </w:tcPr>
          <w:p w14:paraId="610CF02C">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b/>
                <w:bCs/>
                <w:i w:val="0"/>
                <w:color w:val="FFFFFF"/>
                <w:highlight w:val="none"/>
                <w:lang w:val="en-US" w:eastAsia="zh-CN"/>
              </w:rPr>
            </w:pPr>
            <w:r>
              <w:rPr>
                <w:rFonts w:hint="eastAsia" w:ascii="Times New Roman" w:hAnsi="Times New Roman"/>
                <w:b/>
                <w:bCs/>
                <w:i w:val="0"/>
                <w:color w:val="FFFFFF"/>
                <w:highlight w:val="none"/>
                <w:lang w:val="en-US" w:eastAsia="zh-CN"/>
              </w:rPr>
              <w:t>数值</w:t>
            </w:r>
          </w:p>
        </w:tc>
      </w:tr>
      <w:tr w14:paraId="08DF4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19" w:hRule="atLeast"/>
          <w:jc w:val="center"/>
        </w:trPr>
        <w:tc>
          <w:tcPr>
            <w:tcW w:w="1997" w:type="dxa"/>
            <w:tcBorders>
              <w:top w:val="single" w:color="4F81BD" w:themeColor="accent1"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154771FE">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default"/>
                <w:b w:val="0"/>
                <w:i w:val="0"/>
                <w:color w:val="000000"/>
                <w:highlight w:val="none"/>
                <w:lang w:val="en-US" w:eastAsia="zh-CN"/>
              </w:rPr>
              <w:t>资产负债率</w:t>
            </w:r>
          </w:p>
        </w:tc>
        <w:tc>
          <w:tcPr>
            <w:tcW w:w="3469"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791CFE09">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Times New Roman" w:hAnsi="Times New Roman"/>
                <w:b w:val="0"/>
                <w:i w:val="0"/>
                <w:color w:val="000000"/>
                <w:sz w:val="24"/>
                <w:szCs w:val="24"/>
                <w:highlight w:val="none"/>
                <w:lang w:val="en-US" w:eastAsia="zh-CN"/>
              </w:rPr>
            </w:pPr>
            <w:r>
              <w:rPr>
                <w:rFonts w:hint="eastAsia" w:ascii="Times New Roman" w:hAnsi="Times New Roman"/>
                <w:b w:val="0"/>
                <w:i w:val="0"/>
                <w:color w:val="000000"/>
                <w:sz w:val="24"/>
                <w:szCs w:val="24"/>
                <w:highlight w:val="none"/>
                <w:lang w:val="en-US" w:eastAsia="zh-CN"/>
              </w:rPr>
              <mc:AlternateContent>
                <mc:Choice Requires="wps">
                  <w:drawing>
                    <wp:anchor distT="0" distB="0" distL="114300" distR="114300" simplePos="0" relativeHeight="251661312" behindDoc="0" locked="0" layoutInCell="1" allowOverlap="1">
                      <wp:simplePos x="0" y="0"/>
                      <wp:positionH relativeFrom="column">
                        <wp:posOffset>610235</wp:posOffset>
                      </wp:positionH>
                      <wp:positionV relativeFrom="paragraph">
                        <wp:posOffset>195580</wp:posOffset>
                      </wp:positionV>
                      <wp:extent cx="850900" cy="0"/>
                      <wp:effectExtent l="0" t="6350" r="0" b="6350"/>
                      <wp:wrapNone/>
                      <wp:docPr id="101" name="直接连接符 101"/>
                      <wp:cNvGraphicFramePr/>
                      <a:graphic xmlns:a="http://schemas.openxmlformats.org/drawingml/2006/main">
                        <a:graphicData uri="http://schemas.microsoft.com/office/word/2010/wordprocessingShape">
                          <wps:wsp>
                            <wps:cNvCnPr/>
                            <wps:spPr>
                              <a:xfrm>
                                <a:off x="3079115" y="2701925"/>
                                <a:ext cx="850900" cy="0"/>
                              </a:xfrm>
                              <a:prstGeom prst="line">
                                <a:avLst/>
                              </a:prstGeom>
                              <a:ln w="12700">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8.05pt;margin-top:15.4pt;height:0pt;width:67pt;z-index:251661312;mso-width-relative:page;mso-height-relative:page;" filled="f" stroked="t" coordsize="21600,21600" o:gfxdata="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9hefn1gAA&#10;AAgBAAAPAAAAAAAAAAEAIAAAACIAAABkcnMvZG93bnJldi54bWxQSwECFAAUAAAACACHTuJAG2Yx&#10;+ucBAACqAwAADgAAAAAAAAABACAAAAAlAQAAZHJzL2Uyb0RvYy54bWxQSwUGAAAAAAYABgBZAQAA&#10;fgUAAAAA&#10;">
                      <v:fill on="f" focussize="0,0"/>
                      <v:stroke weight="1pt" color="#000000 [3213]" joinstyle="round"/>
                      <v:imagedata o:title=""/>
                      <o:lock v:ext="edit" aspectratio="f"/>
                    </v:line>
                  </w:pict>
                </mc:Fallback>
              </mc:AlternateContent>
            </w:r>
            <w:r>
              <w:rPr>
                <w:rFonts w:hint="eastAsia" w:ascii="Times New Roman" w:hAnsi="Times New Roman"/>
                <w:b w:val="0"/>
                <w:i w:val="0"/>
                <w:color w:val="000000"/>
                <w:sz w:val="24"/>
                <w:szCs w:val="24"/>
                <w:highlight w:val="none"/>
                <w:lang w:val="en-US" w:eastAsia="zh-CN"/>
              </w:rPr>
              <w:t>资产总额</w:t>
            </w:r>
          </w:p>
          <w:p w14:paraId="605378BB">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Arial" w:hAnsi="Arial" w:eastAsia="宋体" w:cs="Arial"/>
                <w:b w:val="0"/>
                <w:i w:val="0"/>
                <w:iCs w:val="0"/>
                <w:color w:val="000000"/>
                <w:sz w:val="22"/>
                <w:szCs w:val="22"/>
                <w:highlight w:val="none"/>
                <w:u w:val="none"/>
                <w:lang w:val="en-US" w:eastAsia="zh-CN"/>
              </w:rPr>
            </w:pPr>
            <w:r>
              <w:rPr>
                <w:rFonts w:hint="eastAsia" w:ascii="Times New Roman" w:hAnsi="Times New Roman"/>
                <w:b w:val="0"/>
                <w:i w:val="0"/>
                <w:color w:val="000000"/>
                <w:sz w:val="24"/>
                <w:szCs w:val="24"/>
                <w:highlight w:val="none"/>
                <w:lang w:val="en-US" w:eastAsia="zh-CN"/>
              </w:rPr>
              <w:t>负债总额</w:t>
            </w:r>
          </w:p>
        </w:tc>
        <w:tc>
          <w:tcPr>
            <w:tcW w:w="2874" w:type="dxa"/>
            <w:tcBorders>
              <w:top w:val="single" w:color="4F81BD" w:themeColor="accent1"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782197F9">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b w:val="0"/>
                <w:i w:val="0"/>
                <w:color w:val="000000"/>
                <w:highlight w:val="none"/>
                <w:lang w:val="en-US"/>
              </w:rPr>
            </w:pPr>
            <w:r>
              <w:rPr>
                <w:rFonts w:hint="eastAsia"/>
                <w:b w:val="0"/>
                <w:i w:val="0"/>
                <w:color w:val="000000"/>
                <w:highlight w:val="none"/>
                <w:lang w:val="en-US"/>
              </w:rPr>
              <w:t>52.58%</w:t>
            </w:r>
          </w:p>
        </w:tc>
      </w:tr>
      <w:tr w14:paraId="700B69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9" w:hRule="atLeast"/>
          <w:jc w:val="center"/>
        </w:trPr>
        <w:tc>
          <w:tcPr>
            <w:tcW w:w="1997"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39DB0348">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default"/>
                <w:b w:val="0"/>
                <w:i w:val="0"/>
                <w:color w:val="000000"/>
                <w:highlight w:val="none"/>
                <w:lang w:val="en-US" w:eastAsia="zh-CN"/>
              </w:rPr>
              <w:t>产权比率</w:t>
            </w:r>
          </w:p>
        </w:tc>
        <w:tc>
          <w:tcPr>
            <w:tcW w:w="3469"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26D35E97">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b w:val="0"/>
                <w:i w:val="0"/>
                <w:color w:val="000000"/>
                <w:sz w:val="24"/>
                <w:szCs w:val="24"/>
                <w:highlight w:val="none"/>
                <w:lang w:val="en-US" w:eastAsia="zh-CN"/>
              </w:rPr>
            </w:pPr>
            <w:r>
              <w:rPr>
                <w:rFonts w:hint="eastAsia" w:ascii="Times New Roman" w:hAnsi="Times New Roman"/>
                <w:b w:val="0"/>
                <w:i w:val="0"/>
                <w:color w:val="000000"/>
                <w:sz w:val="24"/>
                <w:szCs w:val="24"/>
                <w:highlight w:val="none"/>
                <w:lang w:val="en-US" w:eastAsia="zh-CN"/>
              </w:rPr>
              <w:t>负债</w:t>
            </w:r>
            <w:r>
              <w:rPr>
                <w:rFonts w:hint="eastAsia" w:ascii="Times New Roman" w:hAnsi="Times New Roman"/>
                <w:b w:val="0"/>
                <w:i w:val="0"/>
                <w:color w:val="000000"/>
                <w:sz w:val="24"/>
                <w:szCs w:val="24"/>
                <w:highlight w:val="none"/>
                <w:lang w:val="en-US" w:eastAsia="zh-CN"/>
              </w:rPr>
              <mc:AlternateContent>
                <mc:Choice Requires="wps">
                  <w:drawing>
                    <wp:anchor distT="0" distB="0" distL="114300" distR="114300" simplePos="0" relativeHeight="251662336" behindDoc="0" locked="0" layoutInCell="1" allowOverlap="1">
                      <wp:simplePos x="0" y="0"/>
                      <wp:positionH relativeFrom="column">
                        <wp:posOffset>610235</wp:posOffset>
                      </wp:positionH>
                      <wp:positionV relativeFrom="paragraph">
                        <wp:posOffset>195580</wp:posOffset>
                      </wp:positionV>
                      <wp:extent cx="850900" cy="0"/>
                      <wp:effectExtent l="0" t="6350" r="0" b="6350"/>
                      <wp:wrapNone/>
                      <wp:docPr id="102" name="直接连接符 102"/>
                      <wp:cNvGraphicFramePr/>
                      <a:graphic xmlns:a="http://schemas.openxmlformats.org/drawingml/2006/main">
                        <a:graphicData uri="http://schemas.microsoft.com/office/word/2010/wordprocessingShape">
                          <wps:wsp>
                            <wps:cNvCnPr/>
                            <wps:spPr>
                              <a:xfrm>
                                <a:off x="3079115" y="2701925"/>
                                <a:ext cx="850900" cy="0"/>
                              </a:xfrm>
                              <a:prstGeom prst="line">
                                <a:avLst/>
                              </a:prstGeom>
                              <a:ln w="12700">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8.05pt;margin-top:15.4pt;height:0pt;width:67pt;z-index:251662336;mso-width-relative:page;mso-height-relative:page;" filled="f" stroked="t" coordsize="21600,21600" o:gfxdata="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2F5+fWAAAA&#10;CAEAAA8AAAAAAAAAAQAgAAAAIgAAAGRycy9kb3ducmV2LnhtbFBLAQIUABQAAAAIAIdO4kDHiais&#10;5gEAAKoDAAAOAAAAAAAAAAEAIAAAACUBAABkcnMvZTJvRG9jLnhtbFBLBQYAAAAABgAGAFkBAAB9&#10;BQAAAAA=&#10;">
                      <v:fill on="f" focussize="0,0"/>
                      <v:stroke weight="1pt" color="#000000 [3213]" joinstyle="round"/>
                      <v:imagedata o:title=""/>
                      <o:lock v:ext="edit" aspectratio="f"/>
                    </v:line>
                  </w:pict>
                </mc:Fallback>
              </mc:AlternateContent>
            </w:r>
            <w:r>
              <w:rPr>
                <w:rFonts w:hint="eastAsia" w:ascii="Times New Roman" w:hAnsi="Times New Roman"/>
                <w:b w:val="0"/>
                <w:i w:val="0"/>
                <w:color w:val="000000"/>
                <w:sz w:val="24"/>
                <w:szCs w:val="24"/>
                <w:highlight w:val="none"/>
                <w:lang w:val="en-US" w:eastAsia="zh-CN"/>
              </w:rPr>
              <w:t>总额</w:t>
            </w:r>
          </w:p>
          <w:p w14:paraId="78D0CD5F">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Arial" w:hAnsi="Arial" w:eastAsia="宋体" w:cs="Arial"/>
                <w:b w:val="0"/>
                <w:i w:val="0"/>
                <w:iCs w:val="0"/>
                <w:color w:val="000000"/>
                <w:sz w:val="22"/>
                <w:szCs w:val="22"/>
                <w:highlight w:val="none"/>
                <w:u w:val="none"/>
                <w:lang w:val="en-US" w:eastAsia="zh-CN"/>
              </w:rPr>
            </w:pPr>
            <w:r>
              <w:rPr>
                <w:rFonts w:hint="eastAsia" w:ascii="Times New Roman" w:hAnsi="Times New Roman"/>
                <w:b w:val="0"/>
                <w:i w:val="0"/>
                <w:color w:val="000000"/>
                <w:sz w:val="24"/>
                <w:szCs w:val="24"/>
                <w:highlight w:val="none"/>
                <w:lang w:val="en-US" w:eastAsia="zh-CN"/>
              </w:rPr>
              <w:t>股东权益</w:t>
            </w:r>
          </w:p>
        </w:tc>
        <w:tc>
          <w:tcPr>
            <w:tcW w:w="2874"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6DB0E3E2">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b w:val="0"/>
                <w:i w:val="0"/>
                <w:color w:val="000000"/>
                <w:highlight w:val="none"/>
                <w:lang w:val="en-US"/>
              </w:rPr>
            </w:pPr>
            <w:r>
              <w:rPr>
                <w:rFonts w:hint="eastAsia"/>
                <w:b w:val="0"/>
                <w:i w:val="0"/>
                <w:color w:val="000000"/>
                <w:highlight w:val="none"/>
                <w:lang w:val="en-US"/>
              </w:rPr>
              <w:t>90.07%</w:t>
            </w:r>
          </w:p>
        </w:tc>
      </w:tr>
      <w:tr w14:paraId="08F633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4" w:hRule="atLeast"/>
          <w:jc w:val="center"/>
        </w:trPr>
        <w:tc>
          <w:tcPr>
            <w:tcW w:w="1997" w:type="dxa"/>
            <w:tcBorders>
              <w:top w:val="single" w:color="B8CCE4" w:themeColor="accent1" w:themeTint="66" w:sz="6" w:space="0"/>
              <w:left w:val="single" w:color="4F81BD" w:themeColor="accent1" w:sz="6" w:space="0"/>
              <w:bottom w:val="single" w:color="4F81BD" w:themeColor="accent1" w:sz="6" w:space="0"/>
              <w:right w:val="single" w:color="B8CCE4" w:themeColor="accent1" w:themeTint="66" w:sz="6" w:space="0"/>
            </w:tcBorders>
            <w:shd w:val="clear" w:color="auto" w:fill="EDF2F8" w:themeFill="accent1" w:themeFillTint="19"/>
            <w:vAlign w:val="center"/>
          </w:tcPr>
          <w:p w14:paraId="052A35B5">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b w:val="0"/>
                <w:i w:val="0"/>
                <w:color w:val="000000"/>
                <w:highlight w:val="none"/>
                <w:lang w:val="en-US"/>
              </w:rPr>
            </w:pPr>
            <w:r>
              <w:rPr>
                <w:rFonts w:hint="default"/>
                <w:b w:val="0"/>
                <w:i w:val="0"/>
                <w:color w:val="000000"/>
                <w:highlight w:val="none"/>
                <w:lang w:val="en-US" w:eastAsia="zh-CN"/>
              </w:rPr>
              <w:t>利息保障倍数</w:t>
            </w:r>
          </w:p>
        </w:tc>
        <w:tc>
          <w:tcPr>
            <w:tcW w:w="3469" w:type="dxa"/>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FFFFFF"/>
            <w:vAlign w:val="center"/>
          </w:tcPr>
          <w:p w14:paraId="504E4137">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b w:val="0"/>
                <w:i w:val="0"/>
                <w:color w:val="000000"/>
                <w:sz w:val="24"/>
                <w:szCs w:val="24"/>
                <w:highlight w:val="none"/>
                <w:lang w:val="en-US" w:eastAsia="zh-CN"/>
              </w:rPr>
            </w:pPr>
            <w:r>
              <w:rPr>
                <w:rFonts w:hint="eastAsia" w:ascii="Times New Roman" w:hAnsi="Times New Roman"/>
                <w:b w:val="0"/>
                <w:i w:val="0"/>
                <w:color w:val="000000"/>
                <w:sz w:val="24"/>
                <w:szCs w:val="24"/>
                <w:highlight w:val="none"/>
                <w:lang w:val="en-US" w:eastAsia="zh-CN"/>
              </w:rPr>
              <mc:AlternateContent>
                <mc:Choice Requires="wps">
                  <w:drawing>
                    <wp:anchor distT="0" distB="0" distL="114300" distR="114300" simplePos="0" relativeHeight="251663360" behindDoc="0" locked="0" layoutInCell="1" allowOverlap="1">
                      <wp:simplePos x="0" y="0"/>
                      <wp:positionH relativeFrom="column">
                        <wp:posOffset>394335</wp:posOffset>
                      </wp:positionH>
                      <wp:positionV relativeFrom="paragraph">
                        <wp:posOffset>199390</wp:posOffset>
                      </wp:positionV>
                      <wp:extent cx="1282700" cy="6350"/>
                      <wp:effectExtent l="0" t="0" r="0" b="0"/>
                      <wp:wrapNone/>
                      <wp:docPr id="103" name="直接连接符 103"/>
                      <wp:cNvGraphicFramePr/>
                      <a:graphic xmlns:a="http://schemas.openxmlformats.org/drawingml/2006/main">
                        <a:graphicData uri="http://schemas.microsoft.com/office/word/2010/wordprocessingShape">
                          <wps:wsp>
                            <wps:cNvCnPr/>
                            <wps:spPr>
                              <a:xfrm>
                                <a:off x="3079115" y="2701925"/>
                                <a:ext cx="1282700" cy="6350"/>
                              </a:xfrm>
                              <a:prstGeom prst="line">
                                <a:avLst/>
                              </a:prstGeom>
                              <a:ln w="12700">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1.05pt;margin-top:15.7pt;height:0.5pt;width:101pt;z-index:251663360;mso-width-relative:page;mso-height-relative:page;" filled="f" stroked="t" coordsize="21600,21600" o:gfxdata="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GDtNjjX&#10;AAAACAEAAA8AAAAAAAAAAQAgAAAAIgAAAGRycy9kb3ducmV2LnhtbFBLAQIUABQAAAAIAIdO4kAd&#10;oQ3W6AEAAK4DAAAOAAAAAAAAAAEAIAAAACYBAABkcnMvZTJvRG9jLnhtbFBLBQYAAAAABgAGAFkB&#10;AACABQAAAAA=&#10;">
                      <v:fill on="f" focussize="0,0"/>
                      <v:stroke weight="1pt" color="#000000 [3213]" joinstyle="round"/>
                      <v:imagedata o:title=""/>
                      <o:lock v:ext="edit" aspectratio="f"/>
                    </v:line>
                  </w:pict>
                </mc:Fallback>
              </mc:AlternateContent>
            </w:r>
            <w:r>
              <w:rPr>
                <w:rFonts w:hint="eastAsia" w:ascii="Times New Roman" w:hAnsi="Times New Roman"/>
                <w:b w:val="0"/>
                <w:i w:val="0"/>
                <w:color w:val="000000"/>
                <w:sz w:val="24"/>
                <w:szCs w:val="24"/>
                <w:highlight w:val="none"/>
                <w:lang w:val="en-US" w:eastAsia="zh-CN"/>
              </w:rPr>
              <w:t>利润总额+利息费用</w:t>
            </w:r>
          </w:p>
          <w:p w14:paraId="246039C5">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Times New Roman" w:hAnsi="Times New Roman" w:eastAsia="楷体"/>
                <w:b w:val="0"/>
                <w:i w:val="0"/>
                <w:color w:val="000000"/>
                <w:highlight w:val="none"/>
                <w:lang w:val="en-US" w:eastAsia="zh-CN"/>
              </w:rPr>
            </w:pPr>
            <w:r>
              <w:rPr>
                <w:rFonts w:hint="eastAsia" w:ascii="Times New Roman" w:hAnsi="Times New Roman"/>
                <w:b w:val="0"/>
                <w:i w:val="0"/>
                <w:color w:val="000000"/>
                <w:sz w:val="24"/>
                <w:szCs w:val="24"/>
                <w:highlight w:val="none"/>
                <w:lang w:val="en-US" w:eastAsia="zh-CN"/>
              </w:rPr>
              <w:t>利息费用</w:t>
            </w:r>
          </w:p>
        </w:tc>
        <w:tc>
          <w:tcPr>
            <w:tcW w:w="2874" w:type="dxa"/>
            <w:tcBorders>
              <w:top w:val="single" w:color="B8CCE4" w:themeColor="accent1" w:themeTint="66" w:sz="6" w:space="0"/>
              <w:left w:val="single" w:color="B8CCE4" w:themeColor="accent1" w:themeTint="66" w:sz="6" w:space="0"/>
              <w:bottom w:val="single" w:color="4F81BD" w:themeColor="accent1" w:sz="6" w:space="0"/>
              <w:right w:val="single" w:color="4F81BD" w:themeColor="accent1" w:sz="6" w:space="0"/>
            </w:tcBorders>
            <w:shd w:val="clear" w:color="auto" w:fill="EDF2F8" w:themeFill="accent1" w:themeFillTint="19"/>
            <w:vAlign w:val="center"/>
          </w:tcPr>
          <w:p w14:paraId="7C7FB8AC">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Times New Roman" w:hAnsi="Times New Roman"/>
                <w:b w:val="0"/>
                <w:i w:val="0"/>
                <w:color w:val="000000"/>
                <w:highlight w:val="none"/>
                <w:lang w:val="en-US"/>
              </w:rPr>
            </w:pPr>
            <w:r>
              <w:rPr>
                <w:rFonts w:hint="eastAsia" w:ascii="Times New Roman" w:hAnsi="Times New Roman"/>
                <w:b w:val="0"/>
                <w:i w:val="0"/>
                <w:color w:val="000000"/>
                <w:highlight w:val="none"/>
                <w:lang w:val="en-US"/>
              </w:rPr>
              <w:t>16.64</w:t>
            </w:r>
          </w:p>
        </w:tc>
      </w:tr>
    </w:tbl>
    <w:p w14:paraId="103DD719">
      <w:pPr>
        <w:pStyle w:val="5"/>
        <w:spacing w:line="360" w:lineRule="auto"/>
        <w:rPr>
          <w:highlight w:val="none"/>
        </w:rPr>
      </w:pPr>
    </w:p>
    <w:p w14:paraId="3BDD6FC0">
      <w:pPr>
        <w:pStyle w:val="4"/>
        <w:bidi w:val="0"/>
        <w:spacing w:line="360" w:lineRule="auto"/>
        <w:rPr>
          <w:rFonts w:hint="default"/>
          <w:highlight w:val="none"/>
          <w:lang w:val="en-US" w:eastAsia="zh-CN"/>
        </w:rPr>
      </w:pPr>
      <w:bookmarkStart w:id="158" w:name="_Toc22894"/>
      <w:bookmarkStart w:id="159" w:name="_Toc29347"/>
      <w:r>
        <w:rPr>
          <w:rFonts w:hint="eastAsia"/>
          <w:highlight w:val="none"/>
          <w:lang w:val="en-US" w:eastAsia="zh-CN"/>
        </w:rPr>
        <w:t>8.2.6运营能力分析</w:t>
      </w:r>
      <w:bookmarkEnd w:id="158"/>
      <w:bookmarkEnd w:id="159"/>
    </w:p>
    <w:p w14:paraId="4DD6CEB0">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562" w:firstLineChars="200"/>
        <w:textAlignment w:val="auto"/>
        <w:rPr>
          <w:rFonts w:hint="eastAsia"/>
          <w:b/>
          <w:bCs/>
          <w:highlight w:val="none"/>
          <w:lang w:val="en-US" w:eastAsia="zh-CN"/>
        </w:rPr>
      </w:pPr>
      <w:r>
        <w:rPr>
          <w:rFonts w:hint="eastAsia"/>
          <w:b/>
          <w:bCs/>
          <w:highlight w:val="none"/>
          <w:lang w:val="en-US" w:eastAsia="zh-CN"/>
        </w:rPr>
        <w:t>（1）营运能力分析</w:t>
      </w:r>
    </w:p>
    <w:p w14:paraId="6115637B">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560" w:firstLineChars="200"/>
        <w:textAlignment w:val="auto"/>
        <w:rPr>
          <w:rFonts w:hint="eastAsia"/>
          <w:highlight w:val="none"/>
          <w:lang w:val="en-US" w:eastAsia="zh-CN"/>
        </w:rPr>
      </w:pPr>
      <w:r>
        <w:rPr>
          <w:rFonts w:hint="eastAsia"/>
          <w:highlight w:val="none"/>
          <w:lang w:val="en-US"/>
        </w:rPr>
        <w:t>应收账款周转率为1.72，表明其应收账款回收速度较快，资金回笼情况良好；存货周转率为4.08，显示存货管理较为高效，库存周转迅速。然而，流动资产周转率仅为0.84，总资产周转率仅为0.57，反映出企业在流动资产和总资产的利用效率方面存在不足，资产周转速度较慢，可能需要进一步优化资产配置和管理，以提高整体运营效率。</w:t>
      </w:r>
    </w:p>
    <w:p w14:paraId="49B3D6B6">
      <w:pPr>
        <w:pStyle w:val="5"/>
        <w:bidi w:val="0"/>
        <w:spacing w:after="86" w:afterLines="36" w:afterAutospacing="0" w:line="360" w:lineRule="auto"/>
        <w:rPr>
          <w:rFonts w:hint="eastAsia"/>
          <w:highlight w:val="none"/>
          <w:lang w:val="en-US" w:eastAsia="zh-CN"/>
        </w:rPr>
      </w:pPr>
      <w:r>
        <w:rPr>
          <w:rFonts w:hint="eastAsia"/>
          <w:highlight w:val="none"/>
          <w:lang w:val="en-US" w:eastAsia="zh-CN"/>
        </w:rPr>
        <w:t>表8-8 营运能力分析表</w:t>
      </w:r>
    </w:p>
    <w:tbl>
      <w:tblPr>
        <w:tblStyle w:val="17"/>
        <w:tblW w:w="842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00"/>
        <w:gridCol w:w="4496"/>
        <w:gridCol w:w="2329"/>
      </w:tblGrid>
      <w:tr w14:paraId="3FB5A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jc w:val="center"/>
        </w:trPr>
        <w:tc>
          <w:tcPr>
            <w:tcW w:w="1600" w:type="dxa"/>
            <w:tcBorders>
              <w:top w:val="single" w:color="4F81BD" w:themeColor="accent1" w:sz="6" w:space="0"/>
              <w:left w:val="single" w:color="4F81BD" w:themeColor="accent1" w:sz="6" w:space="0"/>
              <w:bottom w:val="single" w:color="4F81BD" w:themeColor="accent1" w:sz="6" w:space="0"/>
              <w:right w:val="single" w:color="B8CCE4" w:themeColor="accent1" w:themeTint="66" w:sz="6" w:space="0"/>
            </w:tcBorders>
            <w:shd w:val="clear" w:color="auto" w:fill="4F81BD" w:themeFill="accent1"/>
            <w:vAlign w:val="center"/>
          </w:tcPr>
          <w:p w14:paraId="3AA65B53">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Times New Roman" w:hAnsi="Times New Roman"/>
                <w:b/>
                <w:i w:val="0"/>
                <w:color w:val="FFFFFF"/>
                <w:highlight w:val="none"/>
                <w:lang w:val="en-US" w:eastAsia="zh-CN"/>
              </w:rPr>
            </w:pPr>
            <w:r>
              <w:rPr>
                <w:rFonts w:hint="default" w:ascii="Times New Roman" w:hAnsi="Times New Roman"/>
                <w:b/>
                <w:i w:val="0"/>
                <w:color w:val="FFFFFF"/>
                <w:highlight w:val="none"/>
                <w:lang w:val="en-US" w:eastAsia="zh-CN"/>
              </w:rPr>
              <w:t>项目</w:t>
            </w:r>
          </w:p>
        </w:tc>
        <w:tc>
          <w:tcPr>
            <w:tcW w:w="4496" w:type="dxa"/>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vAlign w:val="center"/>
          </w:tcPr>
          <w:p w14:paraId="71FA49ED">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b/>
                <w:i w:val="0"/>
                <w:color w:val="FFFFFF"/>
                <w:highlight w:val="none"/>
                <w:lang w:val="en-US" w:eastAsia="zh-CN"/>
              </w:rPr>
            </w:pPr>
            <w:r>
              <w:rPr>
                <w:rFonts w:hint="eastAsia" w:ascii="Times New Roman" w:hAnsi="Times New Roman"/>
                <w:b/>
                <w:i w:val="0"/>
                <w:color w:val="FFFFFF"/>
                <w:highlight w:val="none"/>
                <w:lang w:val="en-US"/>
              </w:rPr>
              <w:t>公式</w:t>
            </w:r>
          </w:p>
        </w:tc>
        <w:tc>
          <w:tcPr>
            <w:tcW w:w="2329" w:type="dxa"/>
            <w:tcBorders>
              <w:top w:val="single" w:color="4F81BD" w:themeColor="accent1" w:sz="6" w:space="0"/>
              <w:left w:val="single" w:color="B8CCE4" w:themeColor="accent1" w:themeTint="66" w:sz="6" w:space="0"/>
              <w:bottom w:val="single" w:color="4F81BD" w:themeColor="accent1" w:sz="6" w:space="0"/>
              <w:right w:val="single" w:color="4F81BD" w:themeColor="accent1" w:sz="6" w:space="0"/>
            </w:tcBorders>
            <w:shd w:val="clear" w:color="auto" w:fill="4F81BD" w:themeFill="accent1"/>
            <w:vAlign w:val="center"/>
          </w:tcPr>
          <w:p w14:paraId="6612C097">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b/>
                <w:i w:val="0"/>
                <w:color w:val="FFFFFF"/>
                <w:highlight w:val="none"/>
                <w:lang w:val="en-US" w:eastAsia="zh-CN"/>
              </w:rPr>
            </w:pPr>
            <w:r>
              <w:rPr>
                <w:rFonts w:hint="eastAsia" w:ascii="Times New Roman" w:hAnsi="Times New Roman"/>
                <w:b/>
                <w:i w:val="0"/>
                <w:color w:val="FFFFFF"/>
                <w:highlight w:val="none"/>
                <w:lang w:val="en-US" w:eastAsia="zh-CN"/>
              </w:rPr>
              <w:t>数值</w:t>
            </w:r>
          </w:p>
        </w:tc>
      </w:tr>
      <w:tr w14:paraId="3AD80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0" w:hRule="atLeast"/>
          <w:jc w:val="center"/>
        </w:trPr>
        <w:tc>
          <w:tcPr>
            <w:tcW w:w="1600" w:type="dxa"/>
            <w:tcBorders>
              <w:top w:val="single" w:color="4F81BD" w:themeColor="accent1"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4DDC9FEF">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b w:val="0"/>
                <w:i w:val="0"/>
                <w:color w:val="000000"/>
                <w:highlight w:val="none"/>
                <w:lang w:val="en-US" w:eastAsia="zh-CN"/>
              </w:rPr>
            </w:pPr>
            <w:r>
              <w:rPr>
                <w:rFonts w:hint="default" w:ascii="Times New Roman" w:hAnsi="Times New Roman"/>
                <w:b w:val="0"/>
                <w:i w:val="0"/>
                <w:color w:val="000000"/>
                <w:highlight w:val="none"/>
                <w:lang w:val="en-US" w:eastAsia="zh-CN"/>
              </w:rPr>
              <w:t>应收账款周转率</w:t>
            </w:r>
          </w:p>
        </w:tc>
        <w:tc>
          <w:tcPr>
            <w:tcW w:w="4496"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1E7F3F5D">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b w:val="0"/>
                <w:i w:val="0"/>
                <w:color w:val="000000"/>
                <w:sz w:val="24"/>
                <w:szCs w:val="24"/>
                <w:highlight w:val="none"/>
                <w:lang w:val="en-US" w:eastAsia="zh-CN"/>
              </w:rPr>
            </w:pPr>
            <w:r>
              <w:rPr>
                <w:rFonts w:hint="eastAsia" w:ascii="Times New Roman" w:hAnsi="Times New Roman"/>
                <w:b w:val="0"/>
                <w:i w:val="0"/>
                <w:color w:val="000000"/>
                <w:sz w:val="24"/>
                <w:szCs w:val="24"/>
                <w:highlight w:val="none"/>
                <w:lang w:val="en-US" w:eastAsia="zh-CN"/>
              </w:rPr>
              <mc:AlternateContent>
                <mc:Choice Requires="wps">
                  <w:drawing>
                    <wp:anchor distT="0" distB="0" distL="114300" distR="114300" simplePos="0" relativeHeight="251667456" behindDoc="0" locked="0" layoutInCell="1" allowOverlap="1">
                      <wp:simplePos x="0" y="0"/>
                      <wp:positionH relativeFrom="column">
                        <wp:posOffset>419735</wp:posOffset>
                      </wp:positionH>
                      <wp:positionV relativeFrom="paragraph">
                        <wp:posOffset>190500</wp:posOffset>
                      </wp:positionV>
                      <wp:extent cx="1905000" cy="6350"/>
                      <wp:effectExtent l="0" t="6350" r="0" b="6350"/>
                      <wp:wrapNone/>
                      <wp:docPr id="113" name="直接连接符 113"/>
                      <wp:cNvGraphicFramePr/>
                      <a:graphic xmlns:a="http://schemas.openxmlformats.org/drawingml/2006/main">
                        <a:graphicData uri="http://schemas.microsoft.com/office/word/2010/wordprocessingShape">
                          <wps:wsp>
                            <wps:cNvCnPr/>
                            <wps:spPr>
                              <a:xfrm flipV="1">
                                <a:off x="3079115" y="2701925"/>
                                <a:ext cx="1905000" cy="6350"/>
                              </a:xfrm>
                              <a:prstGeom prst="line">
                                <a:avLst/>
                              </a:prstGeom>
                              <a:ln w="12700">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33.05pt;margin-top:15pt;height:0.5pt;width:150pt;z-index:251667456;mso-width-relative:page;mso-height-relative:page;" filled="f" stroked="t" coordsize="21600,21600" o:gfxdata="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JczWR1gAAAAgBAAAPAAAAAAAAAAEAIAAAACIAAABkcnMvZG93bnJldi54bWxQSwECFAAU&#10;AAAACACHTuJAW0CISPMBAAC4AwAADgAAAAAAAAABACAAAAAlAQAAZHJzL2Uyb0RvYy54bWxQSwUG&#10;AAAAAAYABgBZAQAAigUAAAAA&#10;">
                      <v:fill on="f" focussize="0,0"/>
                      <v:stroke weight="1pt" color="#000000 [3213]" joinstyle="round"/>
                      <v:imagedata o:title=""/>
                      <o:lock v:ext="edit" aspectratio="f"/>
                    </v:line>
                  </w:pict>
                </mc:Fallback>
              </mc:AlternateContent>
            </w:r>
            <w:r>
              <w:rPr>
                <w:rFonts w:hint="eastAsia" w:ascii="Times New Roman" w:hAnsi="Times New Roman"/>
                <w:b w:val="0"/>
                <w:i w:val="0"/>
                <w:color w:val="000000"/>
                <w:sz w:val="24"/>
                <w:szCs w:val="24"/>
                <w:highlight w:val="none"/>
                <w:lang w:val="en-US" w:eastAsia="zh-CN"/>
              </w:rPr>
              <w:t>营业收入</w:t>
            </w:r>
          </w:p>
          <w:p w14:paraId="35D555F2">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default" w:ascii="Arial" w:hAnsi="Arial" w:eastAsia="宋体" w:cs="Arial"/>
                <w:b w:val="0"/>
                <w:i w:val="0"/>
                <w:iCs w:val="0"/>
                <w:color w:val="000000"/>
                <w:kern w:val="2"/>
                <w:sz w:val="22"/>
                <w:szCs w:val="22"/>
                <w:highlight w:val="none"/>
                <w:u w:val="none"/>
                <w:lang w:val="en-US" w:eastAsia="zh-CN" w:bidi="ar-SA"/>
              </w:rPr>
            </w:pPr>
            <w:r>
              <w:rPr>
                <w:rFonts w:hint="eastAsia" w:ascii="Times New Roman" w:hAnsi="Times New Roman"/>
                <w:b w:val="0"/>
                <w:i w:val="0"/>
                <w:color w:val="000000"/>
                <w:sz w:val="24"/>
                <w:szCs w:val="24"/>
                <w:highlight w:val="none"/>
                <w:lang w:val="en-US" w:eastAsia="zh-CN"/>
              </w:rPr>
              <w:t>平均应收账款+平均应收票据</w:t>
            </w:r>
          </w:p>
        </w:tc>
        <w:tc>
          <w:tcPr>
            <w:tcW w:w="2329" w:type="dxa"/>
            <w:tcBorders>
              <w:top w:val="single" w:color="4F81BD" w:themeColor="accent1"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05D9C6B3">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b w:val="0"/>
                <w:i w:val="0"/>
                <w:color w:val="000000"/>
                <w:highlight w:val="none"/>
                <w:lang w:val="en-US"/>
              </w:rPr>
            </w:pPr>
            <w:r>
              <w:rPr>
                <w:rFonts w:hint="eastAsia"/>
                <w:b w:val="0"/>
                <w:i w:val="0"/>
                <w:color w:val="000000"/>
                <w:highlight w:val="none"/>
                <w:lang w:val="en-US"/>
              </w:rPr>
              <w:t>1.72</w:t>
            </w:r>
          </w:p>
        </w:tc>
      </w:tr>
      <w:tr w14:paraId="2A549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jc w:val="center"/>
        </w:trPr>
        <w:tc>
          <w:tcPr>
            <w:tcW w:w="160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59F646AB">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b w:val="0"/>
                <w:i w:val="0"/>
                <w:color w:val="000000"/>
                <w:highlight w:val="none"/>
                <w:lang w:val="en-US" w:eastAsia="zh-CN"/>
              </w:rPr>
            </w:pPr>
            <w:r>
              <w:rPr>
                <w:rFonts w:hint="default" w:ascii="Times New Roman" w:hAnsi="Times New Roman"/>
                <w:b w:val="0"/>
                <w:i w:val="0"/>
                <w:color w:val="000000"/>
                <w:highlight w:val="none"/>
                <w:lang w:val="en-US" w:eastAsia="zh-CN"/>
              </w:rPr>
              <w:t>存货</w:t>
            </w:r>
          </w:p>
          <w:p w14:paraId="479D5F9E">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b w:val="0"/>
                <w:i w:val="0"/>
                <w:color w:val="000000"/>
                <w:highlight w:val="none"/>
                <w:lang w:val="en-US" w:eastAsia="zh-CN"/>
              </w:rPr>
            </w:pPr>
            <w:r>
              <w:rPr>
                <w:rFonts w:hint="default" w:ascii="Times New Roman" w:hAnsi="Times New Roman"/>
                <w:b w:val="0"/>
                <w:i w:val="0"/>
                <w:color w:val="000000"/>
                <w:highlight w:val="none"/>
                <w:lang w:val="en-US" w:eastAsia="zh-CN"/>
              </w:rPr>
              <w:t>周转率</w:t>
            </w:r>
          </w:p>
        </w:tc>
        <w:tc>
          <w:tcPr>
            <w:tcW w:w="4496"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060535E5">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b w:val="0"/>
                <w:i w:val="0"/>
                <w:color w:val="000000"/>
                <w:sz w:val="24"/>
                <w:szCs w:val="24"/>
                <w:highlight w:val="none"/>
                <w:lang w:val="en-US" w:eastAsia="zh-CN"/>
              </w:rPr>
            </w:pPr>
            <w:r>
              <w:rPr>
                <w:rFonts w:hint="eastAsia" w:ascii="Times New Roman" w:hAnsi="Times New Roman"/>
                <w:b w:val="0"/>
                <w:i w:val="0"/>
                <w:color w:val="000000"/>
                <w:sz w:val="24"/>
                <w:szCs w:val="24"/>
                <w:highlight w:val="none"/>
                <w:lang w:val="en-US" w:eastAsia="zh-CN"/>
              </w:rPr>
              <mc:AlternateContent>
                <mc:Choice Requires="wps">
                  <w:drawing>
                    <wp:anchor distT="0" distB="0" distL="114300" distR="114300" simplePos="0" relativeHeight="251668480" behindDoc="0" locked="0" layoutInCell="1" allowOverlap="1">
                      <wp:simplePos x="0" y="0"/>
                      <wp:positionH relativeFrom="column">
                        <wp:posOffset>927735</wp:posOffset>
                      </wp:positionH>
                      <wp:positionV relativeFrom="paragraph">
                        <wp:posOffset>195580</wp:posOffset>
                      </wp:positionV>
                      <wp:extent cx="850900" cy="0"/>
                      <wp:effectExtent l="0" t="6350" r="0" b="6350"/>
                      <wp:wrapNone/>
                      <wp:docPr id="114" name="直接连接符 114"/>
                      <wp:cNvGraphicFramePr/>
                      <a:graphic xmlns:a="http://schemas.openxmlformats.org/drawingml/2006/main">
                        <a:graphicData uri="http://schemas.microsoft.com/office/word/2010/wordprocessingShape">
                          <wps:wsp>
                            <wps:cNvCnPr/>
                            <wps:spPr>
                              <a:xfrm>
                                <a:off x="3079115" y="2701925"/>
                                <a:ext cx="850900" cy="0"/>
                              </a:xfrm>
                              <a:prstGeom prst="line">
                                <a:avLst/>
                              </a:prstGeom>
                              <a:ln w="12700">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73.05pt;margin-top:15.4pt;height:0pt;width:67pt;z-index:251668480;mso-width-relative:page;mso-height-relative:page;" filled="f" stroked="t" coordsize="21600,21600" o:gfxdata="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7WNf9tYA&#10;AAAJAQAADwAAAAAAAAABACAAAAAiAAAAZHJzL2Rvd25yZXYueG1sUEsBAhQAFAAAAAgAh07iQLBW&#10;pc3oAQAAqgMAAA4AAAAAAAAAAQAgAAAAJQEAAGRycy9lMm9Eb2MueG1sUEsFBgAAAAAGAAYAWQEA&#10;AH8FAAAAAA==&#10;">
                      <v:fill on="f" focussize="0,0"/>
                      <v:stroke weight="1pt" color="#000000 [3213]" joinstyle="round"/>
                      <v:imagedata o:title=""/>
                      <o:lock v:ext="edit" aspectratio="f"/>
                    </v:line>
                  </w:pict>
                </mc:Fallback>
              </mc:AlternateContent>
            </w:r>
            <w:r>
              <w:rPr>
                <w:rFonts w:hint="eastAsia" w:ascii="Times New Roman" w:hAnsi="Times New Roman"/>
                <w:b w:val="0"/>
                <w:i w:val="0"/>
                <w:color w:val="000000"/>
                <w:sz w:val="24"/>
                <w:szCs w:val="24"/>
                <w:highlight w:val="none"/>
                <w:lang w:val="en-US" w:eastAsia="zh-CN"/>
              </w:rPr>
              <w:t>营业成本</w:t>
            </w:r>
          </w:p>
          <w:p w14:paraId="25DF1395">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default" w:ascii="Arial" w:hAnsi="Arial" w:eastAsia="宋体" w:cs="Arial"/>
                <w:b w:val="0"/>
                <w:i w:val="0"/>
                <w:iCs w:val="0"/>
                <w:color w:val="000000"/>
                <w:kern w:val="2"/>
                <w:sz w:val="22"/>
                <w:szCs w:val="22"/>
                <w:highlight w:val="none"/>
                <w:u w:val="none"/>
                <w:lang w:val="en-US" w:eastAsia="zh-CN" w:bidi="ar-SA"/>
              </w:rPr>
            </w:pPr>
            <w:r>
              <w:rPr>
                <w:rFonts w:hint="eastAsia" w:ascii="Times New Roman" w:hAnsi="Times New Roman"/>
                <w:b w:val="0"/>
                <w:i w:val="0"/>
                <w:color w:val="000000"/>
                <w:sz w:val="24"/>
                <w:szCs w:val="24"/>
                <w:highlight w:val="none"/>
                <w:lang w:val="en-US" w:eastAsia="zh-CN"/>
              </w:rPr>
              <w:t>平均存货</w:t>
            </w:r>
          </w:p>
        </w:tc>
        <w:tc>
          <w:tcPr>
            <w:tcW w:w="2329"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60543A5A">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b w:val="0"/>
                <w:i w:val="0"/>
                <w:color w:val="000000"/>
                <w:highlight w:val="none"/>
                <w:lang w:val="en-US"/>
              </w:rPr>
            </w:pPr>
            <w:r>
              <w:rPr>
                <w:rFonts w:hint="eastAsia"/>
                <w:b w:val="0"/>
                <w:i w:val="0"/>
                <w:color w:val="000000"/>
                <w:highlight w:val="none"/>
                <w:lang w:val="en-US"/>
              </w:rPr>
              <w:t>4.08</w:t>
            </w:r>
          </w:p>
        </w:tc>
      </w:tr>
      <w:tr w14:paraId="61422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jc w:val="center"/>
        </w:trPr>
        <w:tc>
          <w:tcPr>
            <w:tcW w:w="160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388A598D">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b w:val="0"/>
                <w:i w:val="0"/>
                <w:color w:val="000000"/>
                <w:highlight w:val="none"/>
                <w:lang w:val="en-US" w:eastAsia="zh-CN"/>
              </w:rPr>
            </w:pPr>
            <w:r>
              <w:rPr>
                <w:rFonts w:hint="default" w:ascii="Times New Roman" w:hAnsi="Times New Roman"/>
                <w:b w:val="0"/>
                <w:i w:val="0"/>
                <w:color w:val="000000"/>
                <w:highlight w:val="none"/>
                <w:lang w:val="en-US" w:eastAsia="zh-CN"/>
              </w:rPr>
              <w:t>流动资产周转率</w:t>
            </w:r>
          </w:p>
        </w:tc>
        <w:tc>
          <w:tcPr>
            <w:tcW w:w="4496"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2BFF5D63">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b w:val="0"/>
                <w:i w:val="0"/>
                <w:color w:val="000000"/>
                <w:sz w:val="24"/>
                <w:szCs w:val="24"/>
                <w:highlight w:val="none"/>
                <w:lang w:val="en-US" w:eastAsia="zh-CN"/>
              </w:rPr>
            </w:pPr>
            <w:r>
              <w:rPr>
                <w:rFonts w:hint="eastAsia" w:ascii="Times New Roman" w:hAnsi="Times New Roman"/>
                <w:b w:val="0"/>
                <w:i w:val="0"/>
                <w:color w:val="000000"/>
                <w:sz w:val="24"/>
                <w:szCs w:val="24"/>
                <w:highlight w:val="none"/>
                <w:lang w:val="en-US" w:eastAsia="zh-CN"/>
              </w:rPr>
              <w:t>营业收入</w:t>
            </w:r>
          </w:p>
          <w:p w14:paraId="1C9774B5">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default" w:ascii="Times New Roman" w:hAnsi="Times New Roman" w:eastAsia="楷体" w:cs="宋体"/>
                <w:b w:val="0"/>
                <w:i w:val="0"/>
                <w:color w:val="000000"/>
                <w:kern w:val="2"/>
                <w:sz w:val="28"/>
                <w:szCs w:val="22"/>
                <w:highlight w:val="none"/>
                <w:lang w:val="en-US" w:bidi="ar-SA"/>
              </w:rPr>
            </w:pPr>
            <w:r>
              <w:rPr>
                <w:rFonts w:hint="eastAsia" w:ascii="Times New Roman" w:hAnsi="Times New Roman"/>
                <w:b w:val="0"/>
                <w:i w:val="0"/>
                <w:color w:val="000000"/>
                <w:sz w:val="24"/>
                <w:szCs w:val="24"/>
                <w:highlight w:val="none"/>
                <w:lang w:val="en-US" w:eastAsia="zh-CN"/>
              </w:rPr>
              <mc:AlternateContent>
                <mc:Choice Requires="wps">
                  <w:drawing>
                    <wp:anchor distT="0" distB="0" distL="114300" distR="114300" simplePos="0" relativeHeight="251669504" behindDoc="0" locked="0" layoutInCell="1" allowOverlap="1">
                      <wp:simplePos x="0" y="0"/>
                      <wp:positionH relativeFrom="column">
                        <wp:posOffset>711835</wp:posOffset>
                      </wp:positionH>
                      <wp:positionV relativeFrom="paragraph">
                        <wp:posOffset>1270</wp:posOffset>
                      </wp:positionV>
                      <wp:extent cx="1282700" cy="6350"/>
                      <wp:effectExtent l="0" t="0" r="0" b="0"/>
                      <wp:wrapNone/>
                      <wp:docPr id="122" name="直接连接符 122"/>
                      <wp:cNvGraphicFramePr/>
                      <a:graphic xmlns:a="http://schemas.openxmlformats.org/drawingml/2006/main">
                        <a:graphicData uri="http://schemas.microsoft.com/office/word/2010/wordprocessingShape">
                          <wps:wsp>
                            <wps:cNvCnPr/>
                            <wps:spPr>
                              <a:xfrm>
                                <a:off x="3079115" y="2701925"/>
                                <a:ext cx="1282700" cy="6350"/>
                              </a:xfrm>
                              <a:prstGeom prst="line">
                                <a:avLst/>
                              </a:prstGeom>
                              <a:ln w="12700">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56.05pt;margin-top:0.1pt;height:0.5pt;width:101pt;z-index:251669504;mso-width-relative:page;mso-height-relative:page;" filled="f" stroked="t" coordsize="21600,21600" o:gfxdata="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5Y0VpNMAAAAG&#10;AQAADwAAAAAAAAABACAAAAAiAAAAZHJzL2Rvd25yZXYueG1sUEsBAhQAFAAAAAgAh07iQCq8nKzo&#10;AQAArgMAAA4AAAAAAAAAAQAgAAAAIgEAAGRycy9lMm9Eb2MueG1sUEsFBgAAAAAGAAYAWQEAAHwF&#10;AAAAAA==&#10;">
                      <v:fill on="f" focussize="0,0"/>
                      <v:stroke weight="1pt" color="#000000 [3213]" joinstyle="round"/>
                      <v:imagedata o:title=""/>
                      <o:lock v:ext="edit" aspectratio="f"/>
                    </v:line>
                  </w:pict>
                </mc:Fallback>
              </mc:AlternateContent>
            </w:r>
            <w:r>
              <w:rPr>
                <w:rFonts w:hint="eastAsia" w:ascii="Times New Roman" w:hAnsi="Times New Roman"/>
                <w:b w:val="0"/>
                <w:i w:val="0"/>
                <w:color w:val="000000"/>
                <w:sz w:val="24"/>
                <w:szCs w:val="24"/>
                <w:highlight w:val="none"/>
                <w:lang w:val="en-US" w:eastAsia="zh-CN"/>
              </w:rPr>
              <w:t>平均流动资产总额</w:t>
            </w:r>
          </w:p>
        </w:tc>
        <w:tc>
          <w:tcPr>
            <w:tcW w:w="2329"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64BA4E4C">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b w:val="0"/>
                <w:i w:val="0"/>
                <w:color w:val="000000"/>
                <w:highlight w:val="none"/>
                <w:lang w:val="en-US"/>
              </w:rPr>
            </w:pPr>
            <w:r>
              <w:rPr>
                <w:rFonts w:hint="eastAsia"/>
                <w:b w:val="0"/>
                <w:i w:val="0"/>
                <w:color w:val="000000"/>
                <w:highlight w:val="none"/>
                <w:lang w:val="en-US"/>
              </w:rPr>
              <w:t>0.84</w:t>
            </w:r>
          </w:p>
        </w:tc>
      </w:tr>
      <w:tr w14:paraId="61AAC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jc w:val="center"/>
        </w:trPr>
        <w:tc>
          <w:tcPr>
            <w:tcW w:w="1600" w:type="dxa"/>
            <w:tcBorders>
              <w:top w:val="single" w:color="B8CCE4" w:themeColor="accent1" w:themeTint="66" w:sz="6" w:space="0"/>
              <w:left w:val="single" w:color="4F81BD" w:themeColor="accent1" w:sz="6" w:space="0"/>
              <w:bottom w:val="single" w:color="4F81BD" w:themeColor="accent1" w:sz="6" w:space="0"/>
              <w:right w:val="single" w:color="B8CCE4" w:themeColor="accent1" w:themeTint="66" w:sz="6" w:space="0"/>
            </w:tcBorders>
            <w:shd w:val="clear" w:color="auto" w:fill="EDF2F8" w:themeFill="accent1" w:themeFillTint="19"/>
            <w:vAlign w:val="center"/>
          </w:tcPr>
          <w:p w14:paraId="4280830A">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b w:val="0"/>
                <w:i w:val="0"/>
                <w:color w:val="000000"/>
                <w:highlight w:val="none"/>
                <w:lang w:val="en-US" w:eastAsia="zh-CN"/>
              </w:rPr>
            </w:pPr>
            <w:r>
              <w:rPr>
                <w:rFonts w:hint="default" w:ascii="Times New Roman" w:hAnsi="Times New Roman"/>
                <w:b w:val="0"/>
                <w:i w:val="0"/>
                <w:color w:val="000000"/>
                <w:highlight w:val="none"/>
                <w:lang w:val="en-US" w:eastAsia="zh-CN"/>
              </w:rPr>
              <w:t>总资产</w:t>
            </w:r>
          </w:p>
          <w:p w14:paraId="3FD563BB">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b w:val="0"/>
                <w:i w:val="0"/>
                <w:color w:val="000000"/>
                <w:highlight w:val="none"/>
                <w:lang w:val="en-US" w:eastAsia="zh-CN"/>
              </w:rPr>
            </w:pPr>
            <w:r>
              <w:rPr>
                <w:rFonts w:hint="default" w:ascii="Times New Roman" w:hAnsi="Times New Roman"/>
                <w:b w:val="0"/>
                <w:i w:val="0"/>
                <w:color w:val="000000"/>
                <w:highlight w:val="none"/>
                <w:lang w:val="en-US" w:eastAsia="zh-CN"/>
              </w:rPr>
              <w:t>周转率</w:t>
            </w:r>
          </w:p>
        </w:tc>
        <w:tc>
          <w:tcPr>
            <w:tcW w:w="4496" w:type="dxa"/>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FFFFFF"/>
            <w:vAlign w:val="center"/>
          </w:tcPr>
          <w:p w14:paraId="0BCCD6A2">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b w:val="0"/>
                <w:i w:val="0"/>
                <w:color w:val="000000"/>
                <w:sz w:val="24"/>
                <w:szCs w:val="24"/>
                <w:highlight w:val="none"/>
                <w:lang w:val="en-US" w:eastAsia="zh-CN"/>
              </w:rPr>
            </w:pPr>
            <w:r>
              <w:rPr>
                <w:rFonts w:hint="eastAsia" w:ascii="Times New Roman" w:hAnsi="Times New Roman"/>
                <w:b w:val="0"/>
                <w:i w:val="0"/>
                <w:color w:val="000000"/>
                <w:sz w:val="24"/>
                <w:szCs w:val="24"/>
                <w:highlight w:val="none"/>
                <w:lang w:val="en-US" w:eastAsia="zh-CN"/>
              </w:rPr>
              <mc:AlternateContent>
                <mc:Choice Requires="wps">
                  <w:drawing>
                    <wp:anchor distT="0" distB="0" distL="114300" distR="114300" simplePos="0" relativeHeight="251670528" behindDoc="0" locked="0" layoutInCell="1" allowOverlap="1">
                      <wp:simplePos x="0" y="0"/>
                      <wp:positionH relativeFrom="column">
                        <wp:posOffset>927735</wp:posOffset>
                      </wp:positionH>
                      <wp:positionV relativeFrom="paragraph">
                        <wp:posOffset>195580</wp:posOffset>
                      </wp:positionV>
                      <wp:extent cx="850900" cy="0"/>
                      <wp:effectExtent l="0" t="6350" r="0" b="6350"/>
                      <wp:wrapNone/>
                      <wp:docPr id="125" name="直接连接符 125"/>
                      <wp:cNvGraphicFramePr/>
                      <a:graphic xmlns:a="http://schemas.openxmlformats.org/drawingml/2006/main">
                        <a:graphicData uri="http://schemas.microsoft.com/office/word/2010/wordprocessingShape">
                          <wps:wsp>
                            <wps:cNvCnPr/>
                            <wps:spPr>
                              <a:xfrm>
                                <a:off x="3079115" y="2701925"/>
                                <a:ext cx="850900" cy="0"/>
                              </a:xfrm>
                              <a:prstGeom prst="line">
                                <a:avLst/>
                              </a:prstGeom>
                              <a:ln w="12700">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73.05pt;margin-top:15.4pt;height:0pt;width:67pt;z-index:251670528;mso-width-relative:page;mso-height-relative:page;" filled="f" stroked="t" coordsize="21600,21600" o:gfxdata="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7WNf9tYAAAAJ&#10;AQAADwAAAAAAAAABACAAAAAiAAAAZHJzL2Rvd25yZXYueG1sUEsBAhQAFAAAAAgAh07iQBQL4XDl&#10;AQAAqgMAAA4AAAAAAAAAAQAgAAAAJQEAAGRycy9lMm9Eb2MueG1sUEsFBgAAAAAGAAYAWQEAAHwF&#10;AAAAAA==&#10;">
                      <v:fill on="f" focussize="0,0"/>
                      <v:stroke weight="1pt" color="#000000 [3213]" joinstyle="round"/>
                      <v:imagedata o:title=""/>
                      <o:lock v:ext="edit" aspectratio="f"/>
                    </v:line>
                  </w:pict>
                </mc:Fallback>
              </mc:AlternateContent>
            </w:r>
            <w:r>
              <w:rPr>
                <w:rFonts w:hint="eastAsia" w:ascii="Times New Roman" w:hAnsi="Times New Roman"/>
                <w:b w:val="0"/>
                <w:i w:val="0"/>
                <w:color w:val="000000"/>
                <w:sz w:val="24"/>
                <w:szCs w:val="24"/>
                <w:highlight w:val="none"/>
                <w:lang w:val="en-US" w:eastAsia="zh-CN"/>
              </w:rPr>
              <w:t>营业收入</w:t>
            </w:r>
          </w:p>
          <w:p w14:paraId="31D7775D">
            <w:pPr>
              <w:keepNext w:val="0"/>
              <w:keepLines w:val="0"/>
              <w:widowControl/>
              <w:suppressLineNumbers w:val="0"/>
              <w:spacing w:before="0" w:beforeAutospacing="0" w:after="160" w:afterAutospacing="0" w:line="360" w:lineRule="auto"/>
              <w:ind w:left="0" w:leftChars="0" w:right="0" w:firstLine="0" w:firstLineChars="0"/>
              <w:jc w:val="center"/>
              <w:textAlignment w:val="center"/>
              <w:rPr>
                <w:rFonts w:hint="default" w:ascii="Arial" w:hAnsi="Arial" w:eastAsia="宋体" w:cs="Arial"/>
                <w:b w:val="0"/>
                <w:i w:val="0"/>
                <w:iCs w:val="0"/>
                <w:color w:val="000000"/>
                <w:kern w:val="0"/>
                <w:sz w:val="22"/>
                <w:szCs w:val="22"/>
                <w:highlight w:val="none"/>
                <w:u w:val="none"/>
                <w:lang w:val="en-US" w:bidi="ar"/>
              </w:rPr>
            </w:pPr>
            <w:r>
              <w:rPr>
                <w:rFonts w:hint="eastAsia" w:ascii="Times New Roman" w:hAnsi="Times New Roman"/>
                <w:b w:val="0"/>
                <w:i w:val="0"/>
                <w:color w:val="000000"/>
                <w:sz w:val="24"/>
                <w:szCs w:val="24"/>
                <w:highlight w:val="none"/>
                <w:lang w:val="en-US" w:eastAsia="zh-CN"/>
              </w:rPr>
              <w:t>平均资产总额</w:t>
            </w:r>
          </w:p>
        </w:tc>
        <w:tc>
          <w:tcPr>
            <w:tcW w:w="2329" w:type="dxa"/>
            <w:tcBorders>
              <w:top w:val="single" w:color="B8CCE4" w:themeColor="accent1" w:themeTint="66" w:sz="6" w:space="0"/>
              <w:left w:val="single" w:color="B8CCE4" w:themeColor="accent1" w:themeTint="66" w:sz="6" w:space="0"/>
              <w:bottom w:val="single" w:color="4F81BD" w:themeColor="accent1" w:sz="6" w:space="0"/>
              <w:right w:val="single" w:color="4F81BD" w:themeColor="accent1" w:sz="6" w:space="0"/>
            </w:tcBorders>
            <w:shd w:val="clear" w:color="auto" w:fill="EDF2F8" w:themeFill="accent1" w:themeFillTint="19"/>
            <w:vAlign w:val="center"/>
          </w:tcPr>
          <w:p w14:paraId="1D0DA38C">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b w:val="0"/>
                <w:i w:val="0"/>
                <w:color w:val="000000"/>
                <w:highlight w:val="none"/>
                <w:lang w:val="en-US"/>
              </w:rPr>
            </w:pPr>
            <w:r>
              <w:rPr>
                <w:rFonts w:hint="eastAsia"/>
                <w:b w:val="0"/>
                <w:i w:val="0"/>
                <w:color w:val="000000"/>
                <w:highlight w:val="none"/>
                <w:lang w:val="en-US"/>
              </w:rPr>
              <w:t>0.57</w:t>
            </w:r>
          </w:p>
        </w:tc>
      </w:tr>
    </w:tbl>
    <w:p w14:paraId="78F6BAC0">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562" w:firstLineChars="200"/>
        <w:textAlignment w:val="auto"/>
        <w:rPr>
          <w:rFonts w:hint="eastAsia"/>
          <w:b/>
          <w:bCs/>
          <w:highlight w:val="none"/>
          <w:lang w:val="en-US" w:eastAsia="zh-CN"/>
        </w:rPr>
      </w:pPr>
      <w:r>
        <w:rPr>
          <w:rFonts w:hint="eastAsia"/>
          <w:b/>
          <w:bCs/>
          <w:highlight w:val="none"/>
          <w:lang w:val="en-US" w:eastAsia="zh-CN"/>
        </w:rPr>
        <w:t>（2）盈利能力分析</w:t>
      </w:r>
    </w:p>
    <w:p w14:paraId="39607B67">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560" w:firstLineChars="200"/>
        <w:textAlignment w:val="auto"/>
        <w:rPr>
          <w:rFonts w:hint="eastAsia"/>
          <w:highlight w:val="none"/>
          <w:lang w:val="en-US"/>
        </w:rPr>
      </w:pPr>
      <w:r>
        <w:rPr>
          <w:rFonts w:hint="eastAsia"/>
          <w:highlight w:val="none"/>
          <w:lang w:val="en-US"/>
        </w:rPr>
        <w:t>营业净利率为22.11%，表明其每单位营业收入中能够转化为净利润的比例较高，体现了较强的主营业务盈利能力；总资产净利率为12.60%，反映出企业运用全部资产获取利润的效率较为可观；权益净利率高达28.87%，显示出企业利用所有者权益创造利润的能力很强。整体而言，企业具有较高的盈利水平和良好的资产运营效率，财务状况较为健康。</w:t>
      </w:r>
    </w:p>
    <w:p w14:paraId="30127EAF">
      <w:pPr>
        <w:pStyle w:val="5"/>
        <w:bidi w:val="0"/>
        <w:spacing w:before="120" w:beforeLines="50" w:beforeAutospacing="0" w:after="120" w:afterLines="50" w:afterAutospacing="0" w:line="360" w:lineRule="auto"/>
        <w:rPr>
          <w:rFonts w:hint="eastAsia"/>
          <w:highlight w:val="none"/>
          <w:lang w:val="en-US" w:eastAsia="zh-CN"/>
        </w:rPr>
      </w:pPr>
      <w:r>
        <w:rPr>
          <w:rFonts w:hint="eastAsia"/>
          <w:highlight w:val="none"/>
          <w:lang w:val="en-US" w:eastAsia="zh-CN"/>
        </w:rPr>
        <w:t>表8-9 盈利能力分析表</w:t>
      </w:r>
    </w:p>
    <w:tbl>
      <w:tblPr>
        <w:tblStyle w:val="17"/>
        <w:tblW w:w="842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80"/>
        <w:gridCol w:w="3486"/>
        <w:gridCol w:w="2959"/>
      </w:tblGrid>
      <w:tr w14:paraId="2A816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1980" w:type="dxa"/>
            <w:tcBorders>
              <w:top w:val="single" w:color="4F81BD" w:themeColor="accent1" w:sz="6" w:space="0"/>
              <w:left w:val="single" w:color="4F81BD" w:themeColor="accent1" w:sz="6" w:space="0"/>
              <w:bottom w:val="single" w:color="4F81BD" w:themeColor="accent1" w:sz="6" w:space="0"/>
              <w:right w:val="single" w:color="B8CCE4" w:themeColor="accent1" w:themeTint="66" w:sz="6" w:space="0"/>
            </w:tcBorders>
            <w:shd w:val="clear" w:color="auto" w:fill="4F81BD" w:themeFill="accent1"/>
            <w:vAlign w:val="center"/>
          </w:tcPr>
          <w:p w14:paraId="6AA4EC5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eastAsia" w:ascii="Times New Roman" w:hAnsi="Times New Roman"/>
                <w:b/>
                <w:bCs/>
                <w:i w:val="0"/>
                <w:color w:val="FFFFFF" w:themeColor="background1"/>
                <w:highlight w:val="none"/>
                <w:lang w:val="en-US" w:eastAsia="zh-CN"/>
                <w14:textFill>
                  <w14:solidFill>
                    <w14:schemeClr w14:val="bg1"/>
                  </w14:solidFill>
                </w14:textFill>
              </w:rPr>
            </w:pPr>
            <w:r>
              <w:rPr>
                <w:rFonts w:hint="default" w:ascii="Times New Roman" w:hAnsi="Times New Roman"/>
                <w:b/>
                <w:bCs/>
                <w:i w:val="0"/>
                <w:color w:val="FFFFFF" w:themeColor="background1"/>
                <w:highlight w:val="none"/>
                <w:lang w:val="en-US" w:eastAsia="zh-CN"/>
                <w14:textFill>
                  <w14:solidFill>
                    <w14:schemeClr w14:val="bg1"/>
                  </w14:solidFill>
                </w14:textFill>
              </w:rPr>
              <w:t>项目</w:t>
            </w:r>
          </w:p>
        </w:tc>
        <w:tc>
          <w:tcPr>
            <w:tcW w:w="3486" w:type="dxa"/>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vAlign w:val="center"/>
          </w:tcPr>
          <w:p w14:paraId="3D6D59CA">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b/>
                <w:bCs/>
                <w:i w:val="0"/>
                <w:color w:val="FFFFFF" w:themeColor="background1"/>
                <w:highlight w:val="none"/>
                <w:lang w:val="en-US" w:eastAsia="zh-CN"/>
                <w14:textFill>
                  <w14:solidFill>
                    <w14:schemeClr w14:val="bg1"/>
                  </w14:solidFill>
                </w14:textFill>
              </w:rPr>
            </w:pPr>
            <w:r>
              <w:rPr>
                <w:rFonts w:hint="eastAsia" w:ascii="Times New Roman" w:hAnsi="Times New Roman"/>
                <w:b/>
                <w:bCs/>
                <w:i w:val="0"/>
                <w:color w:val="FFFFFF" w:themeColor="background1"/>
                <w:highlight w:val="none"/>
                <w:lang w:val="en-US"/>
                <w14:textFill>
                  <w14:solidFill>
                    <w14:schemeClr w14:val="bg1"/>
                  </w14:solidFill>
                </w14:textFill>
              </w:rPr>
              <w:t>公式</w:t>
            </w:r>
          </w:p>
        </w:tc>
        <w:tc>
          <w:tcPr>
            <w:tcW w:w="2959" w:type="dxa"/>
            <w:tcBorders>
              <w:top w:val="single" w:color="4F81BD" w:themeColor="accent1" w:sz="6" w:space="0"/>
              <w:left w:val="single" w:color="B8CCE4" w:themeColor="accent1" w:themeTint="66" w:sz="6" w:space="0"/>
              <w:bottom w:val="single" w:color="4F81BD" w:themeColor="accent1" w:sz="6" w:space="0"/>
              <w:right w:val="single" w:color="4F81BD" w:themeColor="accent1" w:sz="6" w:space="0"/>
            </w:tcBorders>
            <w:shd w:val="clear" w:color="auto" w:fill="4F81BD" w:themeFill="accent1"/>
            <w:vAlign w:val="center"/>
          </w:tcPr>
          <w:p w14:paraId="4280C035">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b/>
                <w:bCs/>
                <w:i w:val="0"/>
                <w:color w:val="FFFFFF" w:themeColor="background1"/>
                <w:highlight w:val="none"/>
                <w:lang w:val="en-US" w:eastAsia="zh-CN"/>
                <w14:textFill>
                  <w14:solidFill>
                    <w14:schemeClr w14:val="bg1"/>
                  </w14:solidFill>
                </w14:textFill>
              </w:rPr>
            </w:pPr>
            <w:r>
              <w:rPr>
                <w:rFonts w:hint="eastAsia" w:ascii="Times New Roman" w:hAnsi="Times New Roman"/>
                <w:b/>
                <w:bCs/>
                <w:i w:val="0"/>
                <w:color w:val="FFFFFF" w:themeColor="background1"/>
                <w:highlight w:val="none"/>
                <w:lang w:val="en-US" w:eastAsia="zh-CN"/>
                <w14:textFill>
                  <w14:solidFill>
                    <w14:schemeClr w14:val="bg1"/>
                  </w14:solidFill>
                </w14:textFill>
              </w:rPr>
              <w:t>数值</w:t>
            </w:r>
          </w:p>
        </w:tc>
      </w:tr>
      <w:tr w14:paraId="18D95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34" w:hRule="atLeast"/>
          <w:jc w:val="center"/>
        </w:trPr>
        <w:tc>
          <w:tcPr>
            <w:tcW w:w="1980" w:type="dxa"/>
            <w:tcBorders>
              <w:top w:val="single" w:color="4F81BD" w:themeColor="accent1"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6FD6838A">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b w:val="0"/>
                <w:i w:val="0"/>
                <w:color w:val="000000"/>
                <w:highlight w:val="none"/>
                <w:lang w:val="en-US" w:eastAsia="zh-CN"/>
              </w:rPr>
            </w:pPr>
            <w:r>
              <w:rPr>
                <w:rFonts w:hint="default" w:ascii="Times New Roman" w:hAnsi="Times New Roman"/>
                <w:b w:val="0"/>
                <w:i w:val="0"/>
                <w:color w:val="000000"/>
                <w:highlight w:val="none"/>
                <w:lang w:val="en-US" w:eastAsia="zh-CN"/>
              </w:rPr>
              <w:t>营业净利率</w:t>
            </w:r>
          </w:p>
        </w:tc>
        <w:tc>
          <w:tcPr>
            <w:tcW w:w="3486"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2C213D95">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b w:val="0"/>
                <w:i w:val="0"/>
                <w:color w:val="000000"/>
                <w:sz w:val="24"/>
                <w:szCs w:val="24"/>
                <w:highlight w:val="none"/>
                <w:lang w:val="en-US" w:eastAsia="zh-CN"/>
              </w:rPr>
            </w:pPr>
            <w:r>
              <w:rPr>
                <w:rFonts w:hint="eastAsia" w:ascii="Times New Roman" w:hAnsi="Times New Roman"/>
                <w:b w:val="0"/>
                <w:i w:val="0"/>
                <w:color w:val="000000"/>
                <w:sz w:val="24"/>
                <w:szCs w:val="24"/>
                <w:highlight w:val="none"/>
                <w:lang w:val="en-US" w:eastAsia="zh-CN"/>
              </w:rPr>
              <mc:AlternateContent>
                <mc:Choice Requires="wps">
                  <w:drawing>
                    <wp:anchor distT="0" distB="0" distL="114300" distR="114300" simplePos="0" relativeHeight="251671552" behindDoc="0" locked="0" layoutInCell="1" allowOverlap="1">
                      <wp:simplePos x="0" y="0"/>
                      <wp:positionH relativeFrom="column">
                        <wp:posOffset>610235</wp:posOffset>
                      </wp:positionH>
                      <wp:positionV relativeFrom="paragraph">
                        <wp:posOffset>195580</wp:posOffset>
                      </wp:positionV>
                      <wp:extent cx="850900" cy="0"/>
                      <wp:effectExtent l="0" t="6350" r="0" b="6350"/>
                      <wp:wrapNone/>
                      <wp:docPr id="129" name="直接连接符 129"/>
                      <wp:cNvGraphicFramePr/>
                      <a:graphic xmlns:a="http://schemas.openxmlformats.org/drawingml/2006/main">
                        <a:graphicData uri="http://schemas.microsoft.com/office/word/2010/wordprocessingShape">
                          <wps:wsp>
                            <wps:cNvCnPr/>
                            <wps:spPr>
                              <a:xfrm>
                                <a:off x="3079115" y="2701925"/>
                                <a:ext cx="850900" cy="0"/>
                              </a:xfrm>
                              <a:prstGeom prst="line">
                                <a:avLst/>
                              </a:prstGeom>
                              <a:ln w="12700">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8.05pt;margin-top:15.4pt;height:0pt;width:67pt;z-index:251671552;mso-width-relative:page;mso-height-relative:page;" filled="f" stroked="t" coordsize="21600,21600" o:gfxdata="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9hefn1gAA&#10;AAgBAAAPAAAAAAAAAAEAIAAAACIAAABkcnMvZG93bnJldi54bWxQSwECFAAUAAAACACHTuJAJbL3&#10;8ecBAACqAwAADgAAAAAAAAABACAAAAAlAQAAZHJzL2Uyb0RvYy54bWxQSwUGAAAAAAYABgBZAQAA&#10;fgUAAAAA&#10;">
                      <v:fill on="f" focussize="0,0"/>
                      <v:stroke weight="1pt" color="#000000 [3213]" joinstyle="round"/>
                      <v:imagedata o:title=""/>
                      <o:lock v:ext="edit" aspectratio="f"/>
                    </v:line>
                  </w:pict>
                </mc:Fallback>
              </mc:AlternateContent>
            </w:r>
            <w:r>
              <w:rPr>
                <w:rFonts w:hint="eastAsia" w:ascii="Times New Roman" w:hAnsi="Times New Roman"/>
                <w:b w:val="0"/>
                <w:i w:val="0"/>
                <w:color w:val="000000"/>
                <w:sz w:val="24"/>
                <w:szCs w:val="24"/>
                <w:highlight w:val="none"/>
                <w:lang w:val="en-US" w:eastAsia="zh-CN"/>
              </w:rPr>
              <w:t>净利润</w:t>
            </w:r>
          </w:p>
          <w:p w14:paraId="0531FF46">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eastAsia" w:ascii="Arial" w:hAnsi="Arial" w:eastAsia="宋体" w:cs="Arial"/>
                <w:b w:val="0"/>
                <w:i w:val="0"/>
                <w:iCs w:val="0"/>
                <w:color w:val="000000"/>
                <w:kern w:val="2"/>
                <w:sz w:val="22"/>
                <w:szCs w:val="22"/>
                <w:highlight w:val="none"/>
                <w:u w:val="none"/>
                <w:lang w:val="en-US" w:eastAsia="zh-CN" w:bidi="ar-SA"/>
              </w:rPr>
            </w:pPr>
            <w:r>
              <w:rPr>
                <w:rFonts w:hint="eastAsia" w:ascii="Times New Roman" w:hAnsi="Times New Roman"/>
                <w:b w:val="0"/>
                <w:i w:val="0"/>
                <w:color w:val="000000"/>
                <w:sz w:val="24"/>
                <w:szCs w:val="24"/>
                <w:highlight w:val="none"/>
                <w:lang w:val="en-US" w:eastAsia="zh-CN"/>
              </w:rPr>
              <w:t>营业收入</w:t>
            </w:r>
          </w:p>
        </w:tc>
        <w:tc>
          <w:tcPr>
            <w:tcW w:w="2959" w:type="dxa"/>
            <w:tcBorders>
              <w:top w:val="single" w:color="4F81BD" w:themeColor="accent1"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119A1497">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b w:val="0"/>
                <w:i w:val="0"/>
                <w:color w:val="000000"/>
                <w:highlight w:val="none"/>
                <w:lang w:val="en-US"/>
              </w:rPr>
            </w:pPr>
            <w:r>
              <w:rPr>
                <w:rFonts w:hint="eastAsia"/>
                <w:b w:val="0"/>
                <w:i w:val="0"/>
                <w:color w:val="000000"/>
                <w:highlight w:val="none"/>
                <w:lang w:val="en-US"/>
              </w:rPr>
              <w:t>22.11%</w:t>
            </w:r>
          </w:p>
        </w:tc>
      </w:tr>
      <w:tr w14:paraId="78764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14" w:hRule="atLeast"/>
          <w:jc w:val="center"/>
        </w:trPr>
        <w:tc>
          <w:tcPr>
            <w:tcW w:w="198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339CE986">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b w:val="0"/>
                <w:i w:val="0"/>
                <w:color w:val="000000"/>
                <w:highlight w:val="none"/>
                <w:lang w:val="en-US" w:eastAsia="zh-CN"/>
              </w:rPr>
            </w:pPr>
            <w:r>
              <w:rPr>
                <w:rFonts w:hint="default" w:ascii="Times New Roman" w:hAnsi="Times New Roman"/>
                <w:b w:val="0"/>
                <w:i w:val="0"/>
                <w:color w:val="000000"/>
                <w:highlight w:val="none"/>
                <w:lang w:val="en-US" w:eastAsia="zh-CN"/>
              </w:rPr>
              <w:t>总资产净利率</w:t>
            </w:r>
          </w:p>
        </w:tc>
        <w:tc>
          <w:tcPr>
            <w:tcW w:w="3486"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261F7E4E">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b w:val="0"/>
                <w:i w:val="0"/>
                <w:color w:val="000000"/>
                <w:sz w:val="24"/>
                <w:szCs w:val="24"/>
                <w:highlight w:val="none"/>
                <w:lang w:val="en-US" w:eastAsia="zh-CN"/>
              </w:rPr>
            </w:pPr>
            <w:r>
              <w:rPr>
                <w:rFonts w:hint="eastAsia" w:ascii="Times New Roman" w:hAnsi="Times New Roman"/>
                <w:b w:val="0"/>
                <w:i w:val="0"/>
                <w:color w:val="000000"/>
                <w:sz w:val="24"/>
                <w:szCs w:val="24"/>
                <w:highlight w:val="none"/>
                <w:lang w:val="en-US" w:eastAsia="zh-CN"/>
              </w:rPr>
              <mc:AlternateContent>
                <mc:Choice Requires="wps">
                  <w:drawing>
                    <wp:anchor distT="0" distB="0" distL="114300" distR="114300" simplePos="0" relativeHeight="251672576" behindDoc="0" locked="0" layoutInCell="1" allowOverlap="1">
                      <wp:simplePos x="0" y="0"/>
                      <wp:positionH relativeFrom="column">
                        <wp:posOffset>610235</wp:posOffset>
                      </wp:positionH>
                      <wp:positionV relativeFrom="paragraph">
                        <wp:posOffset>195580</wp:posOffset>
                      </wp:positionV>
                      <wp:extent cx="850900" cy="0"/>
                      <wp:effectExtent l="0" t="6350" r="0" b="6350"/>
                      <wp:wrapNone/>
                      <wp:docPr id="130" name="直接连接符 130"/>
                      <wp:cNvGraphicFramePr/>
                      <a:graphic xmlns:a="http://schemas.openxmlformats.org/drawingml/2006/main">
                        <a:graphicData uri="http://schemas.microsoft.com/office/word/2010/wordprocessingShape">
                          <wps:wsp>
                            <wps:cNvCnPr/>
                            <wps:spPr>
                              <a:xfrm>
                                <a:off x="3079115" y="2701925"/>
                                <a:ext cx="850900" cy="0"/>
                              </a:xfrm>
                              <a:prstGeom prst="line">
                                <a:avLst/>
                              </a:prstGeom>
                              <a:ln w="12700">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8.05pt;margin-top:15.4pt;height:0pt;width:67pt;z-index:251672576;mso-width-relative:page;mso-height-relative:page;" filled="f" stroked="t" coordsize="21600,21600" o:gfxdata="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9hefn1gAA&#10;AAgBAAAPAAAAAAAAAAEAIAAAACIAAABkcnMvZG93bnJldi54bWxQSwECFAAUAAAACACHTuJAvzt1&#10;R+cBAACqAwAADgAAAAAAAAABACAAAAAlAQAAZHJzL2Uyb0RvYy54bWxQSwUGAAAAAAYABgBZAQAA&#10;fgUAAAAA&#10;">
                      <v:fill on="f" focussize="0,0"/>
                      <v:stroke weight="1pt" color="#000000 [3213]" joinstyle="round"/>
                      <v:imagedata o:title=""/>
                      <o:lock v:ext="edit" aspectratio="f"/>
                    </v:line>
                  </w:pict>
                </mc:Fallback>
              </mc:AlternateContent>
            </w:r>
            <w:r>
              <w:rPr>
                <w:rFonts w:hint="eastAsia" w:ascii="Times New Roman" w:hAnsi="Times New Roman"/>
                <w:b w:val="0"/>
                <w:i w:val="0"/>
                <w:color w:val="000000"/>
                <w:sz w:val="24"/>
                <w:szCs w:val="24"/>
                <w:highlight w:val="none"/>
                <w:lang w:val="en-US" w:eastAsia="zh-CN"/>
              </w:rPr>
              <w:t>净利润</w:t>
            </w:r>
          </w:p>
          <w:p w14:paraId="16F38BBE">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default" w:ascii="Arial" w:hAnsi="Arial" w:eastAsia="宋体" w:cs="Arial"/>
                <w:b w:val="0"/>
                <w:i w:val="0"/>
                <w:iCs w:val="0"/>
                <w:color w:val="000000"/>
                <w:kern w:val="2"/>
                <w:sz w:val="22"/>
                <w:szCs w:val="22"/>
                <w:highlight w:val="none"/>
                <w:u w:val="none"/>
                <w:lang w:val="en-US" w:eastAsia="zh-CN" w:bidi="ar-SA"/>
              </w:rPr>
            </w:pPr>
            <w:r>
              <w:rPr>
                <w:rFonts w:hint="eastAsia" w:ascii="Times New Roman" w:hAnsi="Times New Roman"/>
                <w:b w:val="0"/>
                <w:i w:val="0"/>
                <w:color w:val="000000"/>
                <w:sz w:val="24"/>
                <w:szCs w:val="24"/>
                <w:highlight w:val="none"/>
                <w:lang w:val="en-US" w:eastAsia="zh-CN"/>
              </w:rPr>
              <w:t>平均资产总额</w:t>
            </w:r>
          </w:p>
        </w:tc>
        <w:tc>
          <w:tcPr>
            <w:tcW w:w="2959"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51FF43F7">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b w:val="0"/>
                <w:i w:val="0"/>
                <w:color w:val="000000"/>
                <w:highlight w:val="none"/>
                <w:lang w:val="en-US"/>
              </w:rPr>
            </w:pPr>
            <w:r>
              <w:rPr>
                <w:rFonts w:hint="eastAsia"/>
                <w:b w:val="0"/>
                <w:i w:val="0"/>
                <w:color w:val="000000"/>
                <w:highlight w:val="none"/>
                <w:lang w:val="en-US"/>
              </w:rPr>
              <w:t>12.60%</w:t>
            </w:r>
          </w:p>
        </w:tc>
      </w:tr>
      <w:tr w14:paraId="4D73B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30" w:hRule="atLeast"/>
          <w:jc w:val="center"/>
        </w:trPr>
        <w:tc>
          <w:tcPr>
            <w:tcW w:w="1980" w:type="dxa"/>
            <w:tcBorders>
              <w:top w:val="single" w:color="B8CCE4" w:themeColor="accent1" w:themeTint="66" w:sz="6" w:space="0"/>
              <w:left w:val="single" w:color="4F81BD" w:themeColor="accent1" w:sz="6" w:space="0"/>
              <w:bottom w:val="single" w:color="4F81BD" w:themeColor="accent1" w:sz="6" w:space="0"/>
              <w:right w:val="single" w:color="B8CCE4" w:themeColor="accent1" w:themeTint="66" w:sz="6" w:space="0"/>
            </w:tcBorders>
            <w:shd w:val="clear" w:color="auto" w:fill="EDF2F8" w:themeFill="accent1" w:themeFillTint="19"/>
            <w:vAlign w:val="center"/>
          </w:tcPr>
          <w:p w14:paraId="6D6B4C74">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b w:val="0"/>
                <w:i w:val="0"/>
                <w:color w:val="000000"/>
                <w:highlight w:val="none"/>
                <w:lang w:val="en-US" w:eastAsia="zh-CN"/>
              </w:rPr>
            </w:pPr>
            <w:r>
              <w:rPr>
                <w:rFonts w:hint="default" w:ascii="Times New Roman" w:hAnsi="Times New Roman"/>
                <w:b w:val="0"/>
                <w:i w:val="0"/>
                <w:color w:val="000000"/>
                <w:highlight w:val="none"/>
                <w:lang w:val="en-US" w:eastAsia="zh-CN"/>
              </w:rPr>
              <w:t>权益净利率</w:t>
            </w:r>
          </w:p>
        </w:tc>
        <w:tc>
          <w:tcPr>
            <w:tcW w:w="3486" w:type="dxa"/>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FFFFFF"/>
            <w:vAlign w:val="center"/>
          </w:tcPr>
          <w:p w14:paraId="40AE394B">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eastAsia="楷体" w:cs="宋体"/>
                <w:b w:val="0"/>
                <w:i w:val="0"/>
                <w:color w:val="000000"/>
                <w:kern w:val="2"/>
                <w:sz w:val="28"/>
                <w:szCs w:val="22"/>
                <w:highlight w:val="none"/>
                <w:lang w:val="en-US" w:eastAsia="zh-CN" w:bidi="ar-SA"/>
              </w:rPr>
            </w:pPr>
            <w:r>
              <w:rPr>
                <w:rFonts w:hint="eastAsia" w:ascii="Times New Roman" w:hAnsi="Times New Roman" w:cs="宋体"/>
                <w:b w:val="0"/>
                <w:i w:val="0"/>
                <w:color w:val="000000"/>
                <w:kern w:val="2"/>
                <w:sz w:val="24"/>
                <w:szCs w:val="24"/>
                <w:highlight w:val="none"/>
                <w:lang w:val="en-US" w:eastAsia="zh-CN" w:bidi="ar-SA"/>
              </w:rPr>
              <w:t>资产净利率+权益乘数</w:t>
            </w:r>
          </w:p>
        </w:tc>
        <w:tc>
          <w:tcPr>
            <w:tcW w:w="2959" w:type="dxa"/>
            <w:tcBorders>
              <w:top w:val="single" w:color="B8CCE4" w:themeColor="accent1" w:themeTint="66" w:sz="6" w:space="0"/>
              <w:left w:val="single" w:color="B8CCE4" w:themeColor="accent1" w:themeTint="66" w:sz="6" w:space="0"/>
              <w:bottom w:val="single" w:color="4F81BD" w:themeColor="accent1" w:sz="6" w:space="0"/>
              <w:right w:val="single" w:color="4F81BD" w:themeColor="accent1" w:sz="6" w:space="0"/>
            </w:tcBorders>
            <w:shd w:val="clear" w:color="auto" w:fill="EDF2F8" w:themeFill="accent1" w:themeFillTint="19"/>
            <w:vAlign w:val="center"/>
          </w:tcPr>
          <w:p w14:paraId="78A51E5E">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b w:val="0"/>
                <w:i w:val="0"/>
                <w:color w:val="000000"/>
                <w:highlight w:val="none"/>
                <w:lang w:val="en-US"/>
              </w:rPr>
            </w:pPr>
            <w:r>
              <w:rPr>
                <w:rFonts w:hint="eastAsia"/>
                <w:b w:val="0"/>
                <w:i w:val="0"/>
                <w:color w:val="000000"/>
                <w:highlight w:val="none"/>
                <w:lang w:val="en-US"/>
              </w:rPr>
              <w:t>28.87%</w:t>
            </w:r>
          </w:p>
        </w:tc>
      </w:tr>
    </w:tbl>
    <w:p w14:paraId="50169953">
      <w:pPr>
        <w:spacing w:line="360" w:lineRule="auto"/>
        <w:rPr>
          <w:rFonts w:hint="eastAsia"/>
          <w:highlight w:val="none"/>
          <w:lang w:val="en-US" w:eastAsia="zh-CN"/>
        </w:rPr>
      </w:pPr>
      <w:r>
        <w:rPr>
          <w:rFonts w:hint="eastAsia"/>
          <w:highlight w:val="none"/>
          <w:lang w:val="en-US" w:eastAsia="zh-CN"/>
        </w:rPr>
        <w:br w:type="page"/>
      </w:r>
    </w:p>
    <w:p w14:paraId="4EDDC8FD">
      <w:pPr>
        <w:pStyle w:val="2"/>
        <w:numPr>
          <w:ilvl w:val="0"/>
          <w:numId w:val="0"/>
        </w:numPr>
        <w:bidi w:val="0"/>
        <w:spacing w:line="360" w:lineRule="auto"/>
        <w:ind w:leftChars="0"/>
        <w:rPr>
          <w:rFonts w:hint="default"/>
          <w:highlight w:val="none"/>
          <w:lang w:val="en-US" w:eastAsia="zh-CN"/>
        </w:rPr>
      </w:pPr>
      <w:bookmarkStart w:id="160" w:name="_Toc32582"/>
      <w:bookmarkStart w:id="161" w:name="_Toc24355"/>
      <w:r>
        <w:rPr>
          <w:rFonts w:hint="eastAsia"/>
          <w:highlight w:val="none"/>
          <w:lang w:val="en-US" w:eastAsia="zh-CN"/>
        </w:rPr>
        <w:t>第九章 落地实效与影响力</w:t>
      </w:r>
      <w:bookmarkEnd w:id="160"/>
      <w:bookmarkEnd w:id="161"/>
    </w:p>
    <w:p w14:paraId="5F7F4B57">
      <w:pPr>
        <w:pStyle w:val="3"/>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bookmarkStart w:id="162" w:name="_Toc15294"/>
      <w:bookmarkStart w:id="163" w:name="_Toc27068"/>
      <w:r>
        <w:rPr>
          <w:rFonts w:hint="eastAsia"/>
          <w:highlight w:val="none"/>
          <w:lang w:val="en-US" w:eastAsia="zh-CN"/>
        </w:rPr>
        <w:t>9.1试点案例</w:t>
      </w:r>
      <w:bookmarkEnd w:id="162"/>
      <w:bookmarkEnd w:id="163"/>
    </w:p>
    <w:p w14:paraId="06DC3C55">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highlight w:val="none"/>
          <w:lang w:val="en-US" w:eastAsia="zh-CN"/>
        </w:rPr>
      </w:pPr>
      <w:r>
        <w:rPr>
          <w:rFonts w:hint="eastAsia"/>
          <w:highlight w:val="none"/>
          <w:lang w:val="en-US" w:eastAsia="zh-CN"/>
        </w:rPr>
        <w:t>隔震支座隔震支座已在四川攀枝花、贵州铜仁等6个地区开展试点，覆盖195栋农居建筑，惠及780名村民。在云南大理州漾濞县上河村易地搬迁试点工程中，16栋新居已抵御6.4级地震，惠及85名农户，重点应用于震前改造与灾后重建工程。</w:t>
      </w:r>
    </w:p>
    <w:p w14:paraId="698E2069">
      <w:pPr>
        <w:pageBreakBefore w:val="0"/>
        <w:widowControl w:val="0"/>
        <w:kinsoku/>
        <w:wordWrap/>
        <w:overflowPunct/>
        <w:topLinePunct w:val="0"/>
        <w:autoSpaceDE/>
        <w:autoSpaceDN/>
        <w:bidi w:val="0"/>
        <w:adjustRightInd/>
        <w:snapToGrid/>
        <w:spacing w:afterAutospacing="0" w:line="360" w:lineRule="auto"/>
        <w:ind w:firstLine="0" w:firstLineChars="0"/>
        <w:jc w:val="center"/>
        <w:textAlignment w:val="auto"/>
        <w:rPr>
          <w:rFonts w:hint="eastAsia"/>
          <w:highlight w:val="none"/>
          <w:lang w:val="en-US" w:eastAsia="zh-CN"/>
        </w:rPr>
      </w:pPr>
      <w:r>
        <w:rPr>
          <w:rFonts w:hint="eastAsia"/>
          <w:highlight w:val="none"/>
          <w:lang w:val="en-US" w:eastAsia="zh-CN"/>
        </w:rPr>
        <w:drawing>
          <wp:inline distT="0" distB="0" distL="114300" distR="114300">
            <wp:extent cx="3599815" cy="2520315"/>
            <wp:effectExtent l="0" t="0" r="6985" b="6985"/>
            <wp:docPr id="31" name="图片 31" descr="00-旁边传统抗震民居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00-旁边传统抗震民居 (1)"/>
                    <pic:cNvPicPr>
                      <a:picLocks noChangeAspect="1"/>
                    </pic:cNvPicPr>
                  </pic:nvPicPr>
                  <pic:blipFill>
                    <a:blip r:embed="rId68"/>
                    <a:srcRect l="12686"/>
                    <a:stretch>
                      <a:fillRect/>
                    </a:stretch>
                  </pic:blipFill>
                  <pic:spPr>
                    <a:xfrm>
                      <a:off x="0" y="0"/>
                      <a:ext cx="3599815" cy="2520315"/>
                    </a:xfrm>
                    <a:prstGeom prst="rect">
                      <a:avLst/>
                    </a:prstGeom>
                  </pic:spPr>
                </pic:pic>
              </a:graphicData>
            </a:graphic>
          </wp:inline>
        </w:drawing>
      </w:r>
    </w:p>
    <w:p w14:paraId="7FE49A38">
      <w:pPr>
        <w:pStyle w:val="5"/>
        <w:bidi w:val="0"/>
        <w:spacing w:before="86" w:beforeLines="36" w:beforeAutospacing="0" w:after="86" w:afterLines="36" w:afterAutospacing="0" w:line="360" w:lineRule="auto"/>
        <w:rPr>
          <w:rFonts w:hint="eastAsia"/>
          <w:highlight w:val="none"/>
          <w:lang w:val="en-US" w:eastAsia="zh-CN"/>
        </w:rPr>
      </w:pPr>
      <w:r>
        <w:rPr>
          <w:rFonts w:hint="eastAsia"/>
          <w:highlight w:val="none"/>
          <w:lang w:val="en-US" w:eastAsia="zh-CN"/>
        </w:rPr>
        <w:t>图9-</w:t>
      </w:r>
      <w:r>
        <w:rPr>
          <w:rFonts w:hint="eastAsia"/>
          <w:highlight w:val="none"/>
          <w:lang w:val="en-US" w:eastAsia="zh-CN"/>
        </w:rPr>
        <w:fldChar w:fldCharType="begin"/>
      </w:r>
      <w:r>
        <w:rPr>
          <w:rFonts w:hint="eastAsia"/>
          <w:highlight w:val="none"/>
          <w:lang w:val="en-US" w:eastAsia="zh-CN"/>
        </w:rPr>
        <w:instrText xml:space="preserve"> SEQ 图 \* ARABIC </w:instrText>
      </w:r>
      <w:r>
        <w:rPr>
          <w:rFonts w:hint="eastAsia"/>
          <w:highlight w:val="none"/>
          <w:lang w:val="en-US" w:eastAsia="zh-CN"/>
        </w:rPr>
        <w:fldChar w:fldCharType="separate"/>
      </w:r>
      <w:r>
        <w:rPr>
          <w:rFonts w:hint="eastAsia"/>
          <w:highlight w:val="none"/>
          <w:lang w:val="en-US" w:eastAsia="zh-CN"/>
        </w:rPr>
        <w:t>1</w:t>
      </w:r>
      <w:r>
        <w:rPr>
          <w:rFonts w:hint="eastAsia"/>
          <w:highlight w:val="none"/>
          <w:lang w:val="en-US" w:eastAsia="zh-CN"/>
        </w:rPr>
        <w:fldChar w:fldCharType="end"/>
      </w:r>
      <w:r>
        <w:rPr>
          <w:rFonts w:hint="eastAsia"/>
          <w:highlight w:val="none"/>
          <w:lang w:val="en-US" w:eastAsia="zh-CN"/>
        </w:rPr>
        <w:t xml:space="preserve"> 批量建筑竣工验收</w:t>
      </w:r>
    </w:p>
    <w:p w14:paraId="1B9BB7D5">
      <w:pPr>
        <w:pageBreakBefore w:val="0"/>
        <w:widowControl w:val="0"/>
        <w:kinsoku/>
        <w:wordWrap/>
        <w:overflowPunct/>
        <w:topLinePunct w:val="0"/>
        <w:autoSpaceDE/>
        <w:autoSpaceDN/>
        <w:bidi w:val="0"/>
        <w:adjustRightInd/>
        <w:snapToGrid/>
        <w:spacing w:beforeAutospacing="0" w:line="360" w:lineRule="auto"/>
        <w:ind w:firstLine="560" w:firstLineChars="200"/>
        <w:textAlignment w:val="auto"/>
        <w:rPr>
          <w:rFonts w:hint="eastAsia"/>
          <w:highlight w:val="none"/>
          <w:lang w:val="en-US" w:eastAsia="zh-CN"/>
        </w:rPr>
      </w:pPr>
      <w:r>
        <w:rPr>
          <w:rFonts w:hint="eastAsia"/>
          <w:highlight w:val="none"/>
          <w:lang w:val="en-US" w:eastAsia="zh-CN"/>
        </w:rPr>
        <w:t>在云南赤鹫镇永富村灾后重建项目中，该地位于地震活动较频繁的区域，山区地形加剧地震破坏效应。经历地震冲击后，4栋房屋抗震能力严重不足，威胁分散居住的山区居民安全。</w:t>
      </w:r>
    </w:p>
    <w:p w14:paraId="396D68B8">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highlight w:val="none"/>
          <w:lang w:val="en-US" w:eastAsia="zh-CN"/>
        </w:rPr>
      </w:pPr>
      <w:r>
        <w:rPr>
          <w:rFonts w:hint="eastAsia"/>
          <w:highlight w:val="none"/>
          <w:lang w:val="en-US" w:eastAsia="zh-CN"/>
        </w:rPr>
        <w:t>衡御安邦团队联合赤鹫镇政府实施”技术帮扶+免费安装”行动，针对4栋不符合抗震要求的受损房屋。团队成员驻场指导施工，完成4户农居隔震改造，惠及17名易地搬迁农户。通过低成本隔震技术针对性抵御80%地震冲击，实现灾后重建效率与山区民生安全的双赢。</w:t>
      </w:r>
    </w:p>
    <w:p w14:paraId="5E447C7F">
      <w:pPr>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highlight w:val="none"/>
          <w:lang w:val="en-US" w:eastAsia="zh-CN"/>
        </w:rPr>
      </w:pPr>
      <w:r>
        <w:rPr>
          <w:rFonts w:hint="eastAsia"/>
          <w:highlight w:val="none"/>
          <w:lang w:val="en-US" w:eastAsia="zh-CN"/>
        </w:rPr>
        <w:drawing>
          <wp:inline distT="0" distB="0" distL="114300" distR="114300">
            <wp:extent cx="3599815" cy="2520315"/>
            <wp:effectExtent l="0" t="0" r="6985" b="6985"/>
            <wp:docPr id="4" name="图片 4" descr="IMG_3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3948"/>
                    <pic:cNvPicPr>
                      <a:picLocks noChangeAspect="1"/>
                    </pic:cNvPicPr>
                  </pic:nvPicPr>
                  <pic:blipFill>
                    <a:blip r:embed="rId69"/>
                    <a:stretch>
                      <a:fillRect/>
                    </a:stretch>
                  </pic:blipFill>
                  <pic:spPr>
                    <a:xfrm>
                      <a:off x="0" y="0"/>
                      <a:ext cx="3599815" cy="2520315"/>
                    </a:xfrm>
                    <a:prstGeom prst="rect">
                      <a:avLst/>
                    </a:prstGeom>
                  </pic:spPr>
                </pic:pic>
              </a:graphicData>
            </a:graphic>
          </wp:inline>
        </w:drawing>
      </w:r>
    </w:p>
    <w:p w14:paraId="78FED2C9">
      <w:pPr>
        <w:pStyle w:val="5"/>
        <w:bidi w:val="0"/>
        <w:spacing w:after="60" w:afterLines="25" w:afterAutospacing="0" w:line="360" w:lineRule="auto"/>
        <w:rPr>
          <w:rFonts w:hint="eastAsia"/>
          <w:highlight w:val="none"/>
          <w:lang w:val="en-US" w:eastAsia="zh-CN"/>
        </w:rPr>
      </w:pPr>
      <w:r>
        <w:rPr>
          <w:rFonts w:hint="eastAsia"/>
          <w:highlight w:val="none"/>
          <w:lang w:val="en-US" w:eastAsia="zh-CN"/>
        </w:rPr>
        <w:t>图9-</w:t>
      </w:r>
      <w:r>
        <w:rPr>
          <w:rFonts w:hint="eastAsia"/>
          <w:highlight w:val="none"/>
          <w:lang w:val="en-US" w:eastAsia="zh-CN"/>
        </w:rPr>
        <w:fldChar w:fldCharType="begin"/>
      </w:r>
      <w:r>
        <w:rPr>
          <w:rFonts w:hint="eastAsia"/>
          <w:highlight w:val="none"/>
          <w:lang w:val="en-US" w:eastAsia="zh-CN"/>
        </w:rPr>
        <w:instrText xml:space="preserve"> SEQ 图 \* ARABIC </w:instrText>
      </w:r>
      <w:r>
        <w:rPr>
          <w:rFonts w:hint="eastAsia"/>
          <w:highlight w:val="none"/>
          <w:lang w:val="en-US" w:eastAsia="zh-CN"/>
        </w:rPr>
        <w:fldChar w:fldCharType="separate"/>
      </w:r>
      <w:r>
        <w:rPr>
          <w:rFonts w:hint="eastAsia"/>
          <w:highlight w:val="none"/>
          <w:lang w:val="en-US" w:eastAsia="zh-CN"/>
        </w:rPr>
        <w:t>2</w:t>
      </w:r>
      <w:r>
        <w:rPr>
          <w:rFonts w:hint="eastAsia"/>
          <w:highlight w:val="none"/>
          <w:lang w:val="en-US" w:eastAsia="zh-CN"/>
        </w:rPr>
        <w:fldChar w:fldCharType="end"/>
      </w:r>
      <w:r>
        <w:rPr>
          <w:rFonts w:hint="eastAsia"/>
          <w:highlight w:val="none"/>
          <w:lang w:val="en-US" w:eastAsia="zh-CN"/>
        </w:rPr>
        <w:t xml:space="preserve"> 衡御安邦团队与赤鹫镇村支书合影</w:t>
      </w:r>
    </w:p>
    <w:p w14:paraId="13E34DF0">
      <w:pPr>
        <w:pageBreakBefore w:val="0"/>
        <w:widowControl w:val="0"/>
        <w:kinsoku/>
        <w:wordWrap/>
        <w:overflowPunct/>
        <w:topLinePunct w:val="0"/>
        <w:autoSpaceDE/>
        <w:autoSpaceDN/>
        <w:bidi w:val="0"/>
        <w:adjustRightInd/>
        <w:snapToGrid/>
        <w:spacing w:beforeAutospacing="0" w:line="360" w:lineRule="auto"/>
        <w:ind w:firstLine="0" w:firstLineChars="0"/>
        <w:jc w:val="center"/>
        <w:textAlignment w:val="auto"/>
        <w:rPr>
          <w:rFonts w:hint="eastAsia"/>
          <w:highlight w:val="none"/>
          <w:lang w:val="en-US" w:eastAsia="zh-CN"/>
        </w:rPr>
      </w:pPr>
      <w:r>
        <w:rPr>
          <w:rFonts w:hint="eastAsia"/>
          <w:highlight w:val="none"/>
          <w:lang w:val="en-US" w:eastAsia="zh-CN"/>
        </w:rPr>
        <w:drawing>
          <wp:inline distT="0" distB="0" distL="114300" distR="114300">
            <wp:extent cx="3599815" cy="2520315"/>
            <wp:effectExtent l="0" t="0" r="6985" b="6985"/>
            <wp:docPr id="5" name="图片 5" descr="IMG_4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4008"/>
                    <pic:cNvPicPr>
                      <a:picLocks noChangeAspect="1"/>
                    </pic:cNvPicPr>
                  </pic:nvPicPr>
                  <pic:blipFill>
                    <a:blip r:embed="rId70"/>
                    <a:stretch>
                      <a:fillRect/>
                    </a:stretch>
                  </pic:blipFill>
                  <pic:spPr>
                    <a:xfrm>
                      <a:off x="0" y="0"/>
                      <a:ext cx="3599815" cy="2520315"/>
                    </a:xfrm>
                    <a:prstGeom prst="rect">
                      <a:avLst/>
                    </a:prstGeom>
                  </pic:spPr>
                </pic:pic>
              </a:graphicData>
            </a:graphic>
          </wp:inline>
        </w:drawing>
      </w:r>
    </w:p>
    <w:p w14:paraId="6119E9EC">
      <w:pPr>
        <w:pStyle w:val="5"/>
        <w:bidi w:val="0"/>
        <w:spacing w:afterAutospacing="0" w:line="360" w:lineRule="auto"/>
        <w:rPr>
          <w:rFonts w:hint="eastAsia"/>
          <w:highlight w:val="none"/>
          <w:lang w:val="en-US" w:eastAsia="zh-CN"/>
        </w:rPr>
      </w:pPr>
      <w:r>
        <w:rPr>
          <w:rFonts w:hint="eastAsia"/>
          <w:highlight w:val="none"/>
          <w:lang w:val="en-US" w:eastAsia="zh-CN"/>
        </w:rPr>
        <w:t>图9-3 赤鹫镇隔震支座安装完毕展示图</w:t>
      </w:r>
    </w:p>
    <w:p w14:paraId="69AA8C51">
      <w:pPr>
        <w:pageBreakBefore w:val="0"/>
        <w:widowControl w:val="0"/>
        <w:kinsoku/>
        <w:wordWrap/>
        <w:overflowPunct/>
        <w:topLinePunct w:val="0"/>
        <w:autoSpaceDE/>
        <w:autoSpaceDN/>
        <w:bidi w:val="0"/>
        <w:adjustRightInd/>
        <w:snapToGrid/>
        <w:spacing w:beforeAutospacing="0" w:line="360" w:lineRule="auto"/>
        <w:ind w:firstLine="560" w:firstLineChars="200"/>
        <w:textAlignment w:val="auto"/>
        <w:rPr>
          <w:rFonts w:hint="eastAsia"/>
          <w:highlight w:val="none"/>
          <w:lang w:val="en-US" w:eastAsia="zh-CN"/>
        </w:rPr>
      </w:pPr>
      <w:r>
        <w:rPr>
          <w:highlight w:val="none"/>
        </w:rPr>
        <w:t>在甘肃省</w:t>
      </w:r>
      <w:r>
        <w:rPr>
          <w:rFonts w:hint="eastAsia"/>
          <w:highlight w:val="none"/>
          <w:lang w:val="en-US" w:eastAsia="zh-CN"/>
        </w:rPr>
        <w:t>积石山恢复重建</w:t>
      </w:r>
      <w:r>
        <w:rPr>
          <w:highlight w:val="none"/>
        </w:rPr>
        <w:t>工程中，该地区作为城乡连接的</w:t>
      </w:r>
      <w:r>
        <w:rPr>
          <w:rFonts w:hint="eastAsia"/>
          <w:highlight w:val="none"/>
          <w:lang w:val="en-US" w:eastAsia="zh-CN"/>
        </w:rPr>
        <w:t>重要</w:t>
      </w:r>
      <w:r>
        <w:rPr>
          <w:highlight w:val="none"/>
        </w:rPr>
        <w:t>节点，人口密度较大且常住居民众多。因此对这些房屋实施了抗震</w:t>
      </w:r>
      <w:r>
        <w:rPr>
          <w:rFonts w:hint="eastAsia"/>
          <w:highlight w:val="none"/>
          <w:lang w:val="en-US" w:eastAsia="zh-CN"/>
        </w:rPr>
        <w:t>改造，</w:t>
      </w:r>
      <w:r>
        <w:rPr>
          <w:rFonts w:hint="default"/>
          <w:highlight w:val="none"/>
          <w:lang w:val="en-US" w:eastAsia="zh-CN"/>
        </w:rPr>
        <w:t>隔震支座的安装直接针对</w:t>
      </w:r>
      <w:r>
        <w:rPr>
          <w:rFonts w:hint="eastAsia"/>
          <w:highlight w:val="none"/>
          <w:lang w:val="en-US" w:eastAsia="zh-CN"/>
        </w:rPr>
        <w:t>村镇建筑</w:t>
      </w:r>
      <w:r>
        <w:rPr>
          <w:rFonts w:hint="default"/>
          <w:highlight w:val="none"/>
          <w:lang w:val="en-US" w:eastAsia="zh-CN"/>
        </w:rPr>
        <w:t>抗震短板</w:t>
      </w:r>
      <w:r>
        <w:rPr>
          <w:highlight w:val="none"/>
        </w:rPr>
        <w:t>。</w:t>
      </w:r>
      <w:r>
        <w:rPr>
          <w:rFonts w:hint="eastAsia"/>
          <w:highlight w:val="none"/>
          <w:lang w:val="en-US" w:eastAsia="zh-CN"/>
        </w:rPr>
        <w:t>81栋村镇建筑采用隔震支座，完成了9度设防农房抗震改造。经现场荷载试验及有限元模拟验证，支座竖向承载力、水平变形能力等核心指标较《建筑抗震设计规范》GB50011-2010（2022版）要求综合提升40%以上。</w:t>
      </w:r>
    </w:p>
    <w:p w14:paraId="09464F40">
      <w:pPr>
        <w:pageBreakBefore w:val="0"/>
        <w:widowControl w:val="0"/>
        <w:kinsoku/>
        <w:wordWrap/>
        <w:overflowPunct/>
        <w:topLinePunct w:val="0"/>
        <w:autoSpaceDE/>
        <w:autoSpaceDN/>
        <w:bidi w:val="0"/>
        <w:adjustRightInd/>
        <w:snapToGrid/>
        <w:spacing w:before="300" w:beforeLines="125" w:beforeAutospacing="0" w:afterAutospacing="0" w:line="360" w:lineRule="auto"/>
        <w:ind w:firstLine="0" w:firstLineChars="0"/>
        <w:jc w:val="center"/>
        <w:textAlignment w:val="auto"/>
        <w:rPr>
          <w:rFonts w:hint="eastAsia"/>
          <w:highlight w:val="none"/>
          <w:lang w:val="en-US" w:eastAsia="zh-CN"/>
        </w:rPr>
      </w:pPr>
      <w:r>
        <w:rPr>
          <w:rFonts w:hint="eastAsia"/>
          <w:highlight w:val="none"/>
          <w:lang w:val="en-US" w:eastAsia="zh-CN"/>
        </w:rPr>
        <w:drawing>
          <wp:inline distT="0" distB="0" distL="114300" distR="114300">
            <wp:extent cx="3599815" cy="2520315"/>
            <wp:effectExtent l="0" t="0" r="6985" b="6985"/>
            <wp:docPr id="6" name="图片 6" descr="6a0e0ed376db1a6fb7edeebb1061d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a0e0ed376db1a6fb7edeebb1061d63"/>
                    <pic:cNvPicPr>
                      <a:picLocks noChangeAspect="1"/>
                    </pic:cNvPicPr>
                  </pic:nvPicPr>
                  <pic:blipFill>
                    <a:blip r:embed="rId71"/>
                    <a:srcRect l="17000" t="32181" r="2809" b="12474"/>
                    <a:stretch>
                      <a:fillRect/>
                    </a:stretch>
                  </pic:blipFill>
                  <pic:spPr>
                    <a:xfrm>
                      <a:off x="0" y="0"/>
                      <a:ext cx="3599815" cy="2520315"/>
                    </a:xfrm>
                    <a:prstGeom prst="rect">
                      <a:avLst/>
                    </a:prstGeom>
                  </pic:spPr>
                </pic:pic>
              </a:graphicData>
            </a:graphic>
          </wp:inline>
        </w:drawing>
      </w:r>
    </w:p>
    <w:p w14:paraId="50518CC9">
      <w:pPr>
        <w:pStyle w:val="5"/>
        <w:bidi w:val="0"/>
        <w:spacing w:before="55" w:beforeLines="23" w:beforeAutospacing="0" w:after="120" w:afterLines="50" w:afterAutospacing="0" w:line="360" w:lineRule="auto"/>
        <w:rPr>
          <w:rFonts w:hint="eastAsia"/>
          <w:highlight w:val="none"/>
          <w:lang w:val="en-US" w:eastAsia="zh-CN"/>
        </w:rPr>
      </w:pPr>
      <w:r>
        <w:rPr>
          <w:rFonts w:hint="eastAsia"/>
          <w:highlight w:val="none"/>
          <w:lang w:val="en-US" w:eastAsia="zh-CN"/>
        </w:rPr>
        <w:t>图9-4 隔震支座安装现场图</w:t>
      </w:r>
    </w:p>
    <w:p w14:paraId="0D54B2D6">
      <w:pPr>
        <w:pageBreakBefore w:val="0"/>
        <w:widowControl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highlight w:val="none"/>
          <w:lang w:val="en-US" w:eastAsia="zh-CN"/>
        </w:rPr>
      </w:pPr>
      <w:r>
        <w:rPr>
          <w:rFonts w:hint="eastAsia"/>
          <w:highlight w:val="none"/>
          <w:lang w:val="en-US" w:eastAsia="zh-CN"/>
        </w:rPr>
        <w:drawing>
          <wp:inline distT="0" distB="0" distL="114300" distR="114300">
            <wp:extent cx="3599815" cy="2520315"/>
            <wp:effectExtent l="0" t="0" r="6985" b="6985"/>
            <wp:docPr id="7" name="图片 7" descr="IMG_4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4007"/>
                    <pic:cNvPicPr>
                      <a:picLocks noChangeAspect="1"/>
                    </pic:cNvPicPr>
                  </pic:nvPicPr>
                  <pic:blipFill>
                    <a:blip r:embed="rId72"/>
                    <a:stretch>
                      <a:fillRect/>
                    </a:stretch>
                  </pic:blipFill>
                  <pic:spPr>
                    <a:xfrm>
                      <a:off x="0" y="0"/>
                      <a:ext cx="3599815" cy="2520315"/>
                    </a:xfrm>
                    <a:prstGeom prst="rect">
                      <a:avLst/>
                    </a:prstGeom>
                  </pic:spPr>
                </pic:pic>
              </a:graphicData>
            </a:graphic>
          </wp:inline>
        </w:drawing>
      </w:r>
    </w:p>
    <w:p w14:paraId="7ECBCF71">
      <w:pPr>
        <w:pStyle w:val="5"/>
        <w:bidi w:val="0"/>
        <w:spacing w:before="74" w:beforeLines="31" w:beforeAutospacing="0" w:after="180" w:afterLines="75" w:afterAutospacing="0" w:line="360" w:lineRule="auto"/>
        <w:rPr>
          <w:rFonts w:hint="eastAsia"/>
          <w:highlight w:val="none"/>
          <w:lang w:val="en-US" w:eastAsia="zh-CN"/>
        </w:rPr>
      </w:pPr>
      <w:r>
        <w:rPr>
          <w:rFonts w:hint="eastAsia"/>
          <w:highlight w:val="none"/>
          <w:lang w:val="en-US" w:eastAsia="zh-CN"/>
        </w:rPr>
        <w:t>图9-5 甘肃甘南隔震支座安装完毕展示图</w:t>
      </w:r>
    </w:p>
    <w:p w14:paraId="01CF43FB">
      <w:pPr>
        <w:pageBreakBefore w:val="0"/>
        <w:widowControl w:val="0"/>
        <w:kinsoku/>
        <w:wordWrap/>
        <w:overflowPunct/>
        <w:topLinePunct w:val="0"/>
        <w:autoSpaceDE/>
        <w:autoSpaceDN/>
        <w:bidi w:val="0"/>
        <w:adjustRightInd/>
        <w:snapToGrid/>
        <w:spacing w:beforeAutospacing="0" w:line="360" w:lineRule="auto"/>
        <w:ind w:firstLine="560" w:firstLineChars="200"/>
        <w:textAlignment w:val="auto"/>
        <w:rPr>
          <w:rFonts w:hint="eastAsia"/>
          <w:highlight w:val="none"/>
        </w:rPr>
      </w:pPr>
      <w:r>
        <w:rPr>
          <w:rFonts w:hint="eastAsia"/>
          <w:highlight w:val="none"/>
        </w:rPr>
        <w:t>在河北唐山新城北侧瓦房庄村综合健康区的灾后重建项目中，共安装了</w:t>
      </w:r>
      <w:r>
        <w:rPr>
          <w:rFonts w:hint="eastAsia"/>
          <w:highlight w:val="none"/>
          <w:lang w:val="en-US" w:eastAsia="zh-CN"/>
        </w:rPr>
        <w:t>16</w:t>
      </w:r>
      <w:r>
        <w:rPr>
          <w:rFonts w:hint="eastAsia"/>
          <w:highlight w:val="none"/>
        </w:rPr>
        <w:t>个隔震支座，并设置了</w:t>
      </w:r>
      <w:r>
        <w:rPr>
          <w:rFonts w:hint="eastAsia"/>
          <w:highlight w:val="none"/>
          <w:lang w:val="en-US" w:eastAsia="zh-CN"/>
        </w:rPr>
        <w:t>6</w:t>
      </w:r>
      <w:r>
        <w:rPr>
          <w:rFonts w:hint="eastAsia"/>
          <w:highlight w:val="none"/>
        </w:rPr>
        <w:t>个抗拉支座</w:t>
      </w:r>
      <w:r>
        <w:rPr>
          <w:rFonts w:hint="eastAsia"/>
          <w:highlight w:val="none"/>
          <w:lang w:eastAsia="zh-CN"/>
        </w:rPr>
        <w:t>，</w:t>
      </w:r>
      <w:r>
        <w:rPr>
          <w:rFonts w:hint="eastAsia"/>
          <w:highlight w:val="none"/>
          <w:lang w:val="en-US" w:eastAsia="zh-CN"/>
        </w:rPr>
        <w:t>应用到了2户农户</w:t>
      </w:r>
      <w:r>
        <w:rPr>
          <w:rFonts w:hint="eastAsia"/>
          <w:highlight w:val="none"/>
        </w:rPr>
        <w:t>。</w:t>
      </w:r>
      <w:r>
        <w:rPr>
          <w:rFonts w:hint="eastAsia"/>
          <w:highlight w:val="none"/>
          <w:lang w:val="en-US" w:eastAsia="zh-CN"/>
        </w:rPr>
        <w:t>河北唐山新城北侧</w:t>
      </w:r>
      <w:r>
        <w:rPr>
          <w:rFonts w:hint="eastAsia"/>
          <w:highlight w:val="none"/>
        </w:rPr>
        <w:t>瓦房庄村的</w:t>
      </w:r>
      <w:r>
        <w:rPr>
          <w:rFonts w:hint="eastAsia"/>
          <w:highlight w:val="none"/>
          <w:lang w:val="en-US" w:eastAsia="zh-CN"/>
        </w:rPr>
        <w:t>农居</w:t>
      </w:r>
      <w:r>
        <w:rPr>
          <w:rFonts w:hint="eastAsia"/>
          <w:highlight w:val="none"/>
        </w:rPr>
        <w:t>在地震发生时能够显著降低地震波对其的冲击。</w:t>
      </w:r>
      <w:r>
        <w:rPr>
          <w:rFonts w:hint="eastAsia"/>
          <w:highlight w:val="none"/>
          <w:lang w:val="en-US" w:eastAsia="zh-CN"/>
        </w:rPr>
        <w:t>新型简易</w:t>
      </w:r>
      <w:r>
        <w:rPr>
          <w:rFonts w:hint="eastAsia"/>
          <w:highlight w:val="none"/>
        </w:rPr>
        <w:t>隔震支座能够吸收和分散地震能量，减少建筑物的振动幅度和加速度，从而保护建筑物的结构完整性和稳定性</w:t>
      </w:r>
      <w:r>
        <w:rPr>
          <w:rFonts w:hint="eastAsia"/>
          <w:highlight w:val="none"/>
          <w:lang w:eastAsia="zh-CN"/>
        </w:rPr>
        <w:t>，</w:t>
      </w:r>
      <w:r>
        <w:rPr>
          <w:rFonts w:hint="eastAsia"/>
          <w:highlight w:val="none"/>
        </w:rPr>
        <w:t>减少对人员的伤害和财产损失。</w:t>
      </w:r>
    </w:p>
    <w:p w14:paraId="31E32648">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highlight w:val="none"/>
        </w:rPr>
      </w:pPr>
      <w:r>
        <w:rPr>
          <w:rFonts w:hint="eastAsia"/>
          <w:highlight w:val="none"/>
        </w:rPr>
        <w:t>贵州铜仁市碧江区坝黄镇抗震加固工程</w:t>
      </w:r>
      <w:r>
        <w:rPr>
          <w:rFonts w:hint="eastAsia"/>
          <w:highlight w:val="none"/>
          <w:lang w:val="en-US" w:eastAsia="zh-CN"/>
        </w:rPr>
        <w:t>中</w:t>
      </w:r>
      <w:r>
        <w:rPr>
          <w:rFonts w:hint="eastAsia"/>
          <w:highlight w:val="none"/>
        </w:rPr>
        <w:t>，</w:t>
      </w:r>
      <w:r>
        <w:rPr>
          <w:rFonts w:hint="default"/>
          <w:highlight w:val="none"/>
          <w:lang w:val="en-US" w:eastAsia="zh-CN"/>
        </w:rPr>
        <w:t>专业机构的模拟测试显示，</w:t>
      </w:r>
      <w:r>
        <w:rPr>
          <w:rFonts w:hint="eastAsia"/>
          <w:highlight w:val="none"/>
          <w:lang w:val="en-US" w:eastAsia="zh-CN"/>
        </w:rPr>
        <w:t>新型简易隔震支座可降低80%地震响应，在8度地震工况下实现建筑结构零损毁</w:t>
      </w:r>
      <w:r>
        <w:rPr>
          <w:rFonts w:hint="default"/>
          <w:highlight w:val="none"/>
          <w:lang w:val="en-US" w:eastAsia="zh-CN"/>
        </w:rPr>
        <w:t>。这意味着在地震发生时，这些房屋能够有效地</w:t>
      </w:r>
      <w:r>
        <w:rPr>
          <w:rFonts w:hint="eastAsia"/>
          <w:highlight w:val="none"/>
          <w:lang w:val="en-US" w:eastAsia="zh-CN"/>
        </w:rPr>
        <w:t>”</w:t>
      </w:r>
      <w:r>
        <w:rPr>
          <w:rFonts w:hint="default"/>
          <w:highlight w:val="none"/>
          <w:lang w:val="en-US" w:eastAsia="zh-CN"/>
        </w:rPr>
        <w:t>阻隔</w:t>
      </w:r>
      <w:r>
        <w:rPr>
          <w:rFonts w:hint="eastAsia"/>
          <w:highlight w:val="none"/>
          <w:lang w:val="en-US" w:eastAsia="zh-CN"/>
        </w:rPr>
        <w:t>””</w:t>
      </w:r>
      <w:r>
        <w:rPr>
          <w:rFonts w:hint="default"/>
          <w:highlight w:val="none"/>
          <w:lang w:val="en-US" w:eastAsia="zh-CN"/>
        </w:rPr>
        <w:t>吸收</w:t>
      </w:r>
      <w:r>
        <w:rPr>
          <w:rFonts w:hint="eastAsia"/>
          <w:highlight w:val="none"/>
          <w:lang w:val="en-US" w:eastAsia="zh-CN"/>
        </w:rPr>
        <w:t>”</w:t>
      </w:r>
      <w:r>
        <w:rPr>
          <w:rFonts w:hint="default"/>
          <w:highlight w:val="none"/>
          <w:lang w:val="en-US" w:eastAsia="zh-CN"/>
        </w:rPr>
        <w:t>和</w:t>
      </w:r>
      <w:r>
        <w:rPr>
          <w:rFonts w:hint="eastAsia"/>
          <w:highlight w:val="none"/>
          <w:lang w:val="en-US" w:eastAsia="zh-CN"/>
        </w:rPr>
        <w:t>”</w:t>
      </w:r>
      <w:r>
        <w:rPr>
          <w:rFonts w:hint="default"/>
          <w:highlight w:val="none"/>
          <w:lang w:val="en-US" w:eastAsia="zh-CN"/>
        </w:rPr>
        <w:t>消耗</w:t>
      </w:r>
      <w:r>
        <w:rPr>
          <w:rFonts w:hint="eastAsia"/>
          <w:highlight w:val="none"/>
          <w:lang w:val="en-US" w:eastAsia="zh-CN"/>
        </w:rPr>
        <w:t>”</w:t>
      </w:r>
      <w:r>
        <w:rPr>
          <w:rFonts w:hint="default"/>
          <w:highlight w:val="none"/>
          <w:lang w:val="en-US" w:eastAsia="zh-CN"/>
        </w:rPr>
        <w:t>地震能量，极大减小输入房屋上部结构的水平地震作用，从而保护人民群众的生命财产安全。</w:t>
      </w:r>
      <w:r>
        <w:rPr>
          <w:rFonts w:hint="eastAsia"/>
          <w:highlight w:val="none"/>
        </w:rPr>
        <w:t>是抗震技术的一次重大飞跃，为铜仁市乃至贵州省的抗震加固工作提供了宝贵的经验和示范。</w:t>
      </w:r>
    </w:p>
    <w:p w14:paraId="5A16650D">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highlight w:val="none"/>
          <w:lang w:val="en-US" w:eastAsia="zh-CN"/>
        </w:rPr>
      </w:pPr>
      <w:r>
        <w:rPr>
          <w:rFonts w:hint="default"/>
          <w:highlight w:val="none"/>
          <w:lang w:val="en-US" w:eastAsia="zh-CN"/>
        </w:rPr>
        <w:t>在</w:t>
      </w:r>
      <w:r>
        <w:rPr>
          <w:rFonts w:hint="eastAsia"/>
          <w:highlight w:val="none"/>
        </w:rPr>
        <w:t>云南省</w:t>
      </w:r>
      <w:r>
        <w:rPr>
          <w:rFonts w:hint="eastAsia"/>
          <w:highlight w:val="none"/>
          <w:lang w:val="en-US" w:eastAsia="zh-CN"/>
        </w:rPr>
        <w:t>昆明市石林县圭山镇糯黑村</w:t>
      </w:r>
      <w:r>
        <w:rPr>
          <w:rFonts w:hint="default"/>
          <w:highlight w:val="none"/>
          <w:lang w:val="en-US" w:eastAsia="zh-CN"/>
        </w:rPr>
        <w:t>中，</w:t>
      </w:r>
      <w:r>
        <w:rPr>
          <w:rFonts w:hint="eastAsia"/>
          <w:highlight w:val="none"/>
          <w:lang w:val="en-US" w:eastAsia="zh-CN"/>
        </w:rPr>
        <w:t>”衡御安邦”团队</w:t>
      </w:r>
      <w:r>
        <w:rPr>
          <w:rFonts w:hint="default"/>
          <w:highlight w:val="none"/>
          <w:lang w:val="en-US" w:eastAsia="zh-CN"/>
        </w:rPr>
        <w:t>与当地政府携手合作，为提升居民住房抗震能力，</w:t>
      </w:r>
      <w:r>
        <w:rPr>
          <w:rFonts w:hint="eastAsia"/>
          <w:highlight w:val="none"/>
          <w:lang w:val="en-US" w:eastAsia="zh-CN"/>
        </w:rPr>
        <w:t>团队深入糯黑村，为2户农户的房屋免费安装了隔震支座，惠及12名当地居民。在安装过程中，”衡御安邦”团队成员亲临现场进行指导，确保每一处安装都符合高标准、高质量的要求，保障了工程的顺利进行和隔震支座的最佳性能发挥。</w:t>
      </w:r>
    </w:p>
    <w:p w14:paraId="63873D43">
      <w:pPr>
        <w:spacing w:line="360" w:lineRule="auto"/>
        <w:rPr>
          <w:rFonts w:hint="eastAsia"/>
          <w:highlight w:val="none"/>
          <w:lang w:val="en-US" w:eastAsia="zh-CN"/>
        </w:rPr>
      </w:pPr>
      <w:r>
        <w:rPr>
          <w:rFonts w:hint="eastAsia"/>
          <w:highlight w:val="none"/>
          <w:lang w:val="en-US" w:eastAsia="zh-CN"/>
        </w:rPr>
        <w:br w:type="page"/>
      </w:r>
    </w:p>
    <w:p w14:paraId="75C2C38B">
      <w:pPr>
        <w:pStyle w:val="3"/>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bookmarkStart w:id="164" w:name="_Toc2337"/>
      <w:bookmarkStart w:id="165" w:name="_Toc934"/>
      <w:r>
        <w:rPr>
          <w:rFonts w:hint="eastAsia"/>
          <w:highlight w:val="none"/>
          <w:lang w:val="en-US" w:eastAsia="zh-CN"/>
        </w:rPr>
        <w:t>9.2带动的就业和培训</w:t>
      </w:r>
      <w:bookmarkEnd w:id="164"/>
      <w:bookmarkEnd w:id="165"/>
    </w:p>
    <w:p w14:paraId="28705A97">
      <w:pPr>
        <w:pageBreakBefore w:val="0"/>
        <w:widowControl w:val="0"/>
        <w:kinsoku/>
        <w:wordWrap/>
        <w:overflowPunct/>
        <w:topLinePunct w:val="0"/>
        <w:autoSpaceDE/>
        <w:autoSpaceDN/>
        <w:bidi w:val="0"/>
        <w:adjustRightInd/>
        <w:snapToGrid/>
        <w:spacing w:line="360" w:lineRule="auto"/>
        <w:ind w:firstLine="560" w:firstLineChars="200"/>
        <w:textAlignment w:val="auto"/>
        <w:rPr>
          <w:highlight w:val="none"/>
        </w:rPr>
      </w:pPr>
      <w:r>
        <w:rPr>
          <w:rFonts w:hint="eastAsia"/>
          <w:highlight w:val="none"/>
          <w:lang w:val="en-US" w:eastAsia="zh-CN"/>
        </w:rPr>
        <w:t>衡御安邦团队</w:t>
      </w:r>
      <w:r>
        <w:rPr>
          <w:highlight w:val="none"/>
        </w:rPr>
        <w:t>在</w:t>
      </w:r>
      <w:r>
        <w:rPr>
          <w:rFonts w:hint="eastAsia"/>
          <w:highlight w:val="none"/>
          <w:lang w:val="en-US" w:eastAsia="zh-CN"/>
        </w:rPr>
        <w:t>昆明赤鹫、贵州铜仁等</w:t>
      </w:r>
      <w:r>
        <w:rPr>
          <w:highlight w:val="none"/>
        </w:rPr>
        <w:t>乡村地区</w:t>
      </w:r>
      <w:r>
        <w:rPr>
          <w:rFonts w:hint="eastAsia"/>
          <w:highlight w:val="none"/>
          <w:lang w:val="en-US" w:eastAsia="zh-CN"/>
        </w:rPr>
        <w:t>开展新型简易</w:t>
      </w:r>
      <w:r>
        <w:rPr>
          <w:highlight w:val="none"/>
        </w:rPr>
        <w:t>隔震支座安装</w:t>
      </w:r>
      <w:r>
        <w:rPr>
          <w:rFonts w:hint="eastAsia"/>
          <w:highlight w:val="none"/>
          <w:lang w:eastAsia="zh-CN"/>
        </w:rPr>
        <w:t>、</w:t>
      </w:r>
      <w:r>
        <w:rPr>
          <w:highlight w:val="none"/>
        </w:rPr>
        <w:t>维护培训。通过集中授课与现场实操相结合的方式，向村民工匠系统讲解装置工作原理、施工定位规范（含测量放线、基座调平、锚固焊接等）及橡胶密封层保养要点。在真实农房改造场景中，</w:t>
      </w:r>
      <w:r>
        <w:rPr>
          <w:rFonts w:hint="eastAsia"/>
          <w:highlight w:val="none"/>
          <w:lang w:val="en-US" w:eastAsia="zh-CN"/>
        </w:rPr>
        <w:t>团队成员</w:t>
      </w:r>
      <w:r>
        <w:rPr>
          <w:highlight w:val="none"/>
        </w:rPr>
        <w:t>分步骤演示施工流程，组织</w:t>
      </w:r>
      <w:r>
        <w:rPr>
          <w:rFonts w:hint="eastAsia"/>
          <w:highlight w:val="none"/>
          <w:lang w:val="en-US" w:eastAsia="zh-CN"/>
        </w:rPr>
        <w:t>村民</w:t>
      </w:r>
      <w:r>
        <w:rPr>
          <w:highlight w:val="none"/>
        </w:rPr>
        <w:t>完成核心工序模拟训练，并对操作规范性进行现场纠偏指导。累计开展技术培训9场次，覆盖</w:t>
      </w:r>
      <w:r>
        <w:rPr>
          <w:rFonts w:hint="eastAsia"/>
          <w:highlight w:val="none"/>
          <w:lang w:val="en-US" w:eastAsia="zh-CN"/>
        </w:rPr>
        <w:t>5</w:t>
      </w:r>
      <w:r>
        <w:rPr>
          <w:highlight w:val="none"/>
        </w:rPr>
        <w:t>个行政村，</w:t>
      </w:r>
      <w:r>
        <w:rPr>
          <w:rFonts w:hint="eastAsia"/>
          <w:highlight w:val="none"/>
          <w:lang w:val="en-US" w:eastAsia="zh-CN"/>
        </w:rPr>
        <w:t>共计139名村民</w:t>
      </w:r>
      <w:r>
        <w:rPr>
          <w:highlight w:val="none"/>
        </w:rPr>
        <w:t>已具备基础施工能力。</w:t>
      </w:r>
      <w:r>
        <w:rPr>
          <w:rFonts w:hint="eastAsia"/>
          <w:highlight w:val="none"/>
          <w:lang w:val="en-US" w:eastAsia="zh-CN"/>
        </w:rPr>
        <w:t>同时衡御安邦团队</w:t>
      </w:r>
      <w:r>
        <w:rPr>
          <w:highlight w:val="none"/>
        </w:rPr>
        <w:t>建立</w:t>
      </w:r>
      <w:r>
        <w:rPr>
          <w:rFonts w:hint="eastAsia"/>
          <w:highlight w:val="none"/>
          <w:lang w:val="en-US" w:eastAsia="zh-CN"/>
        </w:rPr>
        <w:t>了长效技术跟踪</w:t>
      </w:r>
      <w:r>
        <w:rPr>
          <w:highlight w:val="none"/>
        </w:rPr>
        <w:t>机制，通过组建技术联络群、开通远程咨询专线、定期发放维护备件等方式，持续巩固乡村工匠技术实操水平，切实保障乡村建筑抗震体系的可持续运维能力，助力提升乡村地区防灾减灾能力建设。</w:t>
      </w:r>
    </w:p>
    <w:p w14:paraId="2AD935EA">
      <w:pPr>
        <w:pageBreakBefore w:val="0"/>
        <w:widowControl w:val="0"/>
        <w:kinsoku/>
        <w:wordWrap/>
        <w:overflowPunct/>
        <w:topLinePunct w:val="0"/>
        <w:autoSpaceDE/>
        <w:autoSpaceDN/>
        <w:bidi w:val="0"/>
        <w:adjustRightInd/>
        <w:snapToGrid/>
        <w:spacing w:afterAutospacing="0" w:line="360" w:lineRule="auto"/>
        <w:ind w:firstLine="0" w:firstLineChars="0"/>
        <w:jc w:val="center"/>
        <w:textAlignment w:val="auto"/>
        <w:rPr>
          <w:rFonts w:hint="eastAsia"/>
          <w:highlight w:val="none"/>
          <w:lang w:eastAsia="zh-CN"/>
        </w:rPr>
      </w:pPr>
      <w:r>
        <w:rPr>
          <w:rFonts w:hint="eastAsia"/>
          <w:highlight w:val="none"/>
          <w:lang w:eastAsia="zh-CN"/>
        </w:rPr>
        <w:drawing>
          <wp:inline distT="0" distB="0" distL="114300" distR="114300">
            <wp:extent cx="3599815" cy="2520315"/>
            <wp:effectExtent l="0" t="0" r="6985" b="6985"/>
            <wp:docPr id="91" name="图片 91" descr="30d2ec711e4cde4d8c732340d674b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30d2ec711e4cde4d8c732340d674bb0"/>
                    <pic:cNvPicPr>
                      <a:picLocks noChangeAspect="1"/>
                    </pic:cNvPicPr>
                  </pic:nvPicPr>
                  <pic:blipFill>
                    <a:blip r:embed="rId73"/>
                    <a:stretch>
                      <a:fillRect/>
                    </a:stretch>
                  </pic:blipFill>
                  <pic:spPr>
                    <a:xfrm>
                      <a:off x="0" y="0"/>
                      <a:ext cx="3599815" cy="2520315"/>
                    </a:xfrm>
                    <a:prstGeom prst="rect">
                      <a:avLst/>
                    </a:prstGeom>
                  </pic:spPr>
                </pic:pic>
              </a:graphicData>
            </a:graphic>
          </wp:inline>
        </w:drawing>
      </w:r>
    </w:p>
    <w:p w14:paraId="41F52433">
      <w:pPr>
        <w:pStyle w:val="5"/>
        <w:bidi w:val="0"/>
        <w:spacing w:before="86" w:beforeLines="36" w:beforeAutospacing="0" w:after="240" w:afterLines="100" w:afterAutospacing="0" w:line="360" w:lineRule="auto"/>
        <w:rPr>
          <w:rFonts w:hint="default"/>
          <w:highlight w:val="none"/>
          <w:lang w:val="en-US" w:eastAsia="zh-CN"/>
        </w:rPr>
      </w:pPr>
      <w:r>
        <w:rPr>
          <w:rFonts w:hint="eastAsia"/>
          <w:highlight w:val="none"/>
          <w:lang w:val="en-US" w:eastAsia="zh-CN"/>
        </w:rPr>
        <w:t>图9-6 衡御安邦团队开展乡村工匠培训会</w:t>
      </w:r>
    </w:p>
    <w:p w14:paraId="0AF3DB1A">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highlight w:val="none"/>
        </w:rPr>
        <w:t>在研发环节，衡御安邦的12位核心成员与实验检测人员携手合作，共同实现了技术上的突破。随着技术的产业化，团队规模进一步扩大，吸引了75名生产制造人员、300名安装施工人员以及37名质量检测和维护技术工人。</w:t>
      </w:r>
      <w:r>
        <w:rPr>
          <w:rFonts w:hint="eastAsia"/>
          <w:highlight w:val="none"/>
        </w:rPr>
        <w:t>上游对接中材科技等原材料供应商，下游联动中国建筑等施工企业</w:t>
      </w:r>
      <w:r>
        <w:rPr>
          <w:highlight w:val="none"/>
        </w:rPr>
        <w:t>，</w:t>
      </w:r>
      <w:r>
        <w:rPr>
          <w:rFonts w:hint="eastAsia"/>
          <w:highlight w:val="none"/>
          <w:lang w:val="en-US" w:eastAsia="zh-CN"/>
        </w:rPr>
        <w:t>上中下游贯通抗震产业链，</w:t>
      </w:r>
      <w:r>
        <w:rPr>
          <w:highlight w:val="none"/>
        </w:rPr>
        <w:t>创造了120个工作岗位，同时橡胶原料加工行业也因之增加了363个工作机会。技术的发展还催生了下游设计咨询专业团队的成立，为173人提供了新的就业机会。整个产业链条的运作，累计创造了超过一千个就业岗位，有效地推动了区域就业结构的优化，并且扩大了技能型岗位的数量，为社会培养了更多具备专业技能的人才。</w:t>
      </w:r>
    </w:p>
    <w:p w14:paraId="13326FCC">
      <w:pPr>
        <w:pStyle w:val="3"/>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bookmarkStart w:id="166" w:name="_Toc17714"/>
      <w:bookmarkStart w:id="167" w:name="_Toc23238"/>
      <w:r>
        <w:rPr>
          <w:rFonts w:hint="eastAsia"/>
          <w:highlight w:val="none"/>
          <w:lang w:val="en-US" w:eastAsia="zh-CN"/>
        </w:rPr>
        <w:t>9.3媒体与政府背书</w:t>
      </w:r>
      <w:bookmarkEnd w:id="166"/>
      <w:bookmarkEnd w:id="167"/>
    </w:p>
    <w:p w14:paraId="506BA41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人民网、中央电视台、新浪网等十余家国内各大权威媒体报道，阅读量超1000万</w:t>
      </w:r>
      <w:r>
        <w:rPr>
          <w:rFonts w:hint="eastAsia"/>
          <w:highlight w:val="none"/>
          <w:lang w:val="en-US" w:eastAsia="zh-CN"/>
        </w:rPr>
        <w:t>.</w:t>
      </w:r>
    </w:p>
    <w:p w14:paraId="4982963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eastAsia"/>
          <w:highlight w:val="none"/>
          <w:lang w:val="en-US" w:eastAsia="zh-CN"/>
        </w:rPr>
        <w:t>湖南省省委书记</w:t>
      </w:r>
      <w:r>
        <w:rPr>
          <w:rFonts w:hint="default"/>
          <w:highlight w:val="none"/>
          <w:lang w:val="en-US" w:eastAsia="zh-CN"/>
        </w:rPr>
        <w:t>亲临学校考察期间，听取项目</w:t>
      </w:r>
      <w:r>
        <w:rPr>
          <w:rFonts w:hint="eastAsia"/>
          <w:highlight w:val="none"/>
          <w:lang w:val="en-US" w:eastAsia="zh-CN"/>
        </w:rPr>
        <w:t>进展的</w:t>
      </w:r>
      <w:r>
        <w:rPr>
          <w:rFonts w:hint="default"/>
          <w:highlight w:val="none"/>
          <w:lang w:val="en-US" w:eastAsia="zh-CN"/>
        </w:rPr>
        <w:t>汇报，对项目成果给予充分肯定和高度赞赏</w:t>
      </w:r>
      <w:r>
        <w:rPr>
          <w:rFonts w:hint="eastAsia"/>
          <w:highlight w:val="none"/>
          <w:lang w:val="en-US" w:eastAsia="zh-CN"/>
        </w:rPr>
        <w:t>，</w:t>
      </w:r>
      <w:r>
        <w:rPr>
          <w:rFonts w:hint="default"/>
          <w:highlight w:val="none"/>
          <w:lang w:val="en-US" w:eastAsia="zh-CN"/>
        </w:rPr>
        <w:t>并对</w:t>
      </w:r>
      <w:r>
        <w:rPr>
          <w:rFonts w:hint="eastAsia"/>
          <w:highlight w:val="none"/>
          <w:lang w:val="en-US" w:eastAsia="zh-CN"/>
        </w:rPr>
        <w:t>新型简易隔震支座</w:t>
      </w:r>
      <w:r>
        <w:rPr>
          <w:rFonts w:hint="default"/>
          <w:highlight w:val="none"/>
          <w:lang w:val="en-US" w:eastAsia="zh-CN"/>
        </w:rPr>
        <w:t>未来的发展前景表达了期望。</w:t>
      </w:r>
    </w:p>
    <w:p w14:paraId="4354B29C">
      <w:pPr>
        <w:pageBreakBefore w:val="0"/>
        <w:widowControl w:val="0"/>
        <w:kinsoku/>
        <w:wordWrap/>
        <w:overflowPunct/>
        <w:topLinePunct w:val="0"/>
        <w:autoSpaceDE/>
        <w:autoSpaceDN/>
        <w:bidi w:val="0"/>
        <w:adjustRightInd/>
        <w:snapToGrid/>
        <w:spacing w:afterAutospacing="0" w:line="360" w:lineRule="auto"/>
        <w:ind w:firstLine="0" w:firstLineChars="0"/>
        <w:jc w:val="center"/>
        <w:textAlignment w:val="auto"/>
        <w:rPr>
          <w:rFonts w:hint="default"/>
          <w:highlight w:val="none"/>
          <w:lang w:val="en-US" w:eastAsia="zh-CN"/>
        </w:rPr>
      </w:pPr>
      <w:r>
        <w:rPr>
          <w:rFonts w:hint="default"/>
          <w:highlight w:val="none"/>
          <w:lang w:val="en-US" w:eastAsia="zh-CN"/>
        </w:rPr>
        <w:drawing>
          <wp:inline distT="0" distB="0" distL="114300" distR="114300">
            <wp:extent cx="3599815" cy="2520315"/>
            <wp:effectExtent l="0" t="0" r="6985" b="6985"/>
            <wp:docPr id="92" name="图片 92" descr="8154b076b84a3c6b9af7e597505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8154b076b84a3c6b9af7e5975050079"/>
                    <pic:cNvPicPr>
                      <a:picLocks noChangeAspect="1"/>
                    </pic:cNvPicPr>
                  </pic:nvPicPr>
                  <pic:blipFill>
                    <a:blip r:embed="rId74"/>
                    <a:stretch>
                      <a:fillRect/>
                    </a:stretch>
                  </pic:blipFill>
                  <pic:spPr>
                    <a:xfrm>
                      <a:off x="0" y="0"/>
                      <a:ext cx="3599815" cy="2520315"/>
                    </a:xfrm>
                    <a:prstGeom prst="rect">
                      <a:avLst/>
                    </a:prstGeom>
                  </pic:spPr>
                </pic:pic>
              </a:graphicData>
            </a:graphic>
          </wp:inline>
        </w:drawing>
      </w:r>
    </w:p>
    <w:p w14:paraId="3AF31F93">
      <w:pPr>
        <w:pStyle w:val="5"/>
        <w:bidi w:val="0"/>
        <w:spacing w:before="67" w:beforeLines="28" w:beforeAutospacing="0" w:line="360" w:lineRule="auto"/>
        <w:rPr>
          <w:rFonts w:hint="default"/>
          <w:highlight w:val="none"/>
          <w:lang w:val="en-US" w:eastAsia="zh-CN"/>
        </w:rPr>
      </w:pPr>
      <w:r>
        <w:rPr>
          <w:rFonts w:hint="default"/>
          <w:highlight w:val="none"/>
          <w:lang w:val="en-US" w:eastAsia="zh-CN"/>
        </w:rPr>
        <w:t>图</w:t>
      </w:r>
      <w:r>
        <w:rPr>
          <w:rFonts w:hint="eastAsia"/>
          <w:highlight w:val="none"/>
          <w:lang w:val="en-US" w:eastAsia="zh-CN"/>
        </w:rPr>
        <w:t xml:space="preserve">9-7 </w:t>
      </w:r>
      <w:r>
        <w:rPr>
          <w:rFonts w:hint="default"/>
          <w:highlight w:val="none"/>
          <w:lang w:val="en-US" w:eastAsia="zh-CN"/>
        </w:rPr>
        <w:t>衡阳市市长听取项目汇报</w:t>
      </w:r>
    </w:p>
    <w:p w14:paraId="704450FA">
      <w:pPr>
        <w:spacing w:line="360" w:lineRule="auto"/>
        <w:rPr>
          <w:rFonts w:hint="default"/>
          <w:highlight w:val="none"/>
          <w:lang w:val="en-US" w:eastAsia="zh-CN"/>
        </w:rPr>
      </w:pPr>
      <w:r>
        <w:rPr>
          <w:rFonts w:hint="default"/>
          <w:highlight w:val="none"/>
          <w:lang w:val="en-US" w:eastAsia="zh-CN"/>
        </w:rPr>
        <w:br w:type="page"/>
      </w:r>
    </w:p>
    <w:p w14:paraId="779FD19D">
      <w:pPr>
        <w:keepNext w:val="0"/>
        <w:keepLines w:val="0"/>
        <w:pageBreakBefore w:val="0"/>
        <w:widowControl w:val="0"/>
        <w:kinsoku/>
        <w:wordWrap/>
        <w:overflowPunct/>
        <w:topLinePunct w:val="0"/>
        <w:autoSpaceDE/>
        <w:autoSpaceDN/>
        <w:bidi w:val="0"/>
        <w:adjustRightInd/>
        <w:snapToGrid/>
        <w:spacing w:afterAutospacing="0" w:line="360" w:lineRule="auto"/>
        <w:ind w:firstLine="560" w:firstLineChars="200"/>
        <w:textAlignment w:val="auto"/>
        <w:rPr>
          <w:highlight w:val="none"/>
        </w:rPr>
      </w:pPr>
      <w:r>
        <w:rPr>
          <w:rFonts w:hint="default"/>
          <w:highlight w:val="none"/>
          <w:lang w:val="en-US" w:eastAsia="zh-CN"/>
        </w:rPr>
        <w:t>抗震领域泰山北斗周福霖</w:t>
      </w:r>
      <w:r>
        <w:rPr>
          <w:highlight w:val="none"/>
        </w:rPr>
        <w:t>教授极力</w:t>
      </w:r>
      <w:r>
        <w:rPr>
          <w:rFonts w:hint="eastAsia"/>
          <w:highlight w:val="none"/>
          <w:lang w:val="en-US" w:eastAsia="zh-CN"/>
        </w:rPr>
        <w:t>推荐</w:t>
      </w:r>
      <w:r>
        <w:rPr>
          <w:highlight w:val="none"/>
        </w:rPr>
        <w:t>，应积极推广简易隔震技术，以构建村镇建筑的</w:t>
      </w:r>
      <w:r>
        <w:rPr>
          <w:rFonts w:hint="eastAsia"/>
          <w:highlight w:val="none"/>
          <w:lang w:eastAsia="zh-CN"/>
        </w:rPr>
        <w:t>“</w:t>
      </w:r>
      <w:r>
        <w:rPr>
          <w:highlight w:val="none"/>
        </w:rPr>
        <w:t>安全岛</w:t>
      </w:r>
      <w:r>
        <w:rPr>
          <w:rFonts w:hint="eastAsia"/>
          <w:highlight w:val="none"/>
          <w:lang w:eastAsia="zh-CN"/>
        </w:rPr>
        <w:t>”</w:t>
      </w:r>
      <w:r>
        <w:rPr>
          <w:highlight w:val="none"/>
        </w:rPr>
        <w:t>，为居民提供更加稳固的居住环境。</w:t>
      </w:r>
    </w:p>
    <w:p w14:paraId="4D11B079">
      <w:pPr>
        <w:pageBreakBefore w:val="0"/>
        <w:widowControl w:val="0"/>
        <w:kinsoku/>
        <w:wordWrap/>
        <w:overflowPunct/>
        <w:topLinePunct w:val="0"/>
        <w:autoSpaceDE/>
        <w:autoSpaceDN/>
        <w:bidi w:val="0"/>
        <w:adjustRightInd/>
        <w:snapToGrid/>
        <w:spacing w:before="240" w:beforeLines="100" w:beforeAutospacing="0" w:afterAutospacing="0" w:line="360" w:lineRule="auto"/>
        <w:ind w:firstLine="0" w:firstLineChars="0"/>
        <w:jc w:val="center"/>
        <w:textAlignment w:val="auto"/>
        <w:rPr>
          <w:rFonts w:hint="default"/>
          <w:highlight w:val="none"/>
          <w:lang w:val="en-US" w:eastAsia="zh-CN"/>
        </w:rPr>
      </w:pPr>
      <w:r>
        <w:rPr>
          <w:rFonts w:hint="default"/>
          <w:highlight w:val="none"/>
          <w:lang w:val="en-US" w:eastAsia="zh-CN"/>
        </w:rPr>
        <w:drawing>
          <wp:inline distT="0" distB="0" distL="114300" distR="114300">
            <wp:extent cx="4642485" cy="6499860"/>
            <wp:effectExtent l="9525" t="9525" r="15240" b="15240"/>
            <wp:docPr id="9" name="图片 79" descr="E:/桌面/王羡的工作资料/轻装上“震”材料/专家2/周院士.png周院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9" descr="E:/桌面/王羡的工作资料/轻装上“震”材料/专家2/周院士.png周院士"/>
                    <pic:cNvPicPr>
                      <a:picLocks noChangeAspect="1"/>
                    </pic:cNvPicPr>
                  </pic:nvPicPr>
                  <pic:blipFill>
                    <a:blip r:embed="rId75"/>
                    <a:srcRect t="677" b="677"/>
                    <a:stretch>
                      <a:fillRect/>
                    </a:stretch>
                  </pic:blipFill>
                  <pic:spPr>
                    <a:xfrm>
                      <a:off x="0" y="0"/>
                      <a:ext cx="4642485" cy="6499860"/>
                    </a:xfrm>
                    <a:prstGeom prst="rect">
                      <a:avLst/>
                    </a:prstGeom>
                    <a:ln>
                      <a:solidFill>
                        <a:schemeClr val="bg1"/>
                      </a:solidFill>
                    </a:ln>
                  </pic:spPr>
                </pic:pic>
              </a:graphicData>
            </a:graphic>
          </wp:inline>
        </w:drawing>
      </w:r>
    </w:p>
    <w:p w14:paraId="1EC04D76">
      <w:pPr>
        <w:pStyle w:val="5"/>
        <w:bidi w:val="0"/>
        <w:spacing w:before="120" w:beforeLines="50" w:beforeAutospacing="0" w:line="360" w:lineRule="auto"/>
        <w:rPr>
          <w:rFonts w:hint="default"/>
          <w:highlight w:val="none"/>
          <w:lang w:val="en-US" w:eastAsia="zh-CN"/>
        </w:rPr>
      </w:pPr>
      <w:r>
        <w:rPr>
          <w:rFonts w:hint="default"/>
          <w:highlight w:val="none"/>
          <w:lang w:val="en-US" w:eastAsia="zh-CN"/>
        </w:rPr>
        <w:t>图</w:t>
      </w:r>
      <w:r>
        <w:rPr>
          <w:rFonts w:hint="eastAsia"/>
          <w:highlight w:val="none"/>
          <w:lang w:val="en-US" w:eastAsia="zh-CN"/>
        </w:rPr>
        <w:t xml:space="preserve">9-8 </w:t>
      </w:r>
      <w:r>
        <w:rPr>
          <w:rFonts w:hint="default"/>
          <w:highlight w:val="none"/>
          <w:lang w:val="en-US" w:eastAsia="zh-CN"/>
        </w:rPr>
        <w:t>周福霖院士推荐信</w:t>
      </w:r>
    </w:p>
    <w:p w14:paraId="6B479E2A">
      <w:pPr>
        <w:pageBreakBefore w:val="0"/>
        <w:widowControl w:val="0"/>
        <w:kinsoku/>
        <w:wordWrap/>
        <w:overflowPunct/>
        <w:topLinePunct w:val="0"/>
        <w:autoSpaceDE/>
        <w:autoSpaceDN/>
        <w:bidi w:val="0"/>
        <w:adjustRightInd/>
        <w:snapToGrid/>
        <w:spacing w:line="360" w:lineRule="auto"/>
        <w:textAlignment w:val="auto"/>
        <w:rPr>
          <w:rFonts w:hint="default"/>
          <w:highlight w:val="none"/>
        </w:rPr>
      </w:pPr>
      <w:r>
        <w:rPr>
          <w:rFonts w:hint="default"/>
          <w:highlight w:val="none"/>
        </w:rPr>
        <w:br w:type="page"/>
      </w:r>
    </w:p>
    <w:p w14:paraId="71206A36">
      <w:pPr>
        <w:pStyle w:val="2"/>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highlight w:val="none"/>
          <w:lang w:val="en-US" w:eastAsia="zh-CN"/>
        </w:rPr>
      </w:pPr>
      <w:bookmarkStart w:id="168" w:name="_Toc12761"/>
      <w:bookmarkStart w:id="169" w:name="_Toc31656"/>
      <w:r>
        <w:rPr>
          <w:rFonts w:hint="eastAsia"/>
          <w:highlight w:val="none"/>
          <w:lang w:val="en-US" w:eastAsia="zh-CN"/>
        </w:rPr>
        <w:t xml:space="preserve">第十章 </w:t>
      </w:r>
      <w:r>
        <w:rPr>
          <w:rFonts w:hint="default"/>
          <w:highlight w:val="none"/>
          <w:lang w:val="en-US" w:eastAsia="zh-CN"/>
        </w:rPr>
        <w:t>团队与执行保障</w:t>
      </w:r>
      <w:bookmarkEnd w:id="168"/>
      <w:bookmarkEnd w:id="169"/>
    </w:p>
    <w:p w14:paraId="1D851844">
      <w:pPr>
        <w:pStyle w:val="3"/>
        <w:pageBreakBefore w:val="0"/>
        <w:widowControl w:val="0"/>
        <w:kinsoku/>
        <w:wordWrap/>
        <w:overflowPunct/>
        <w:topLinePunct w:val="0"/>
        <w:autoSpaceDE/>
        <w:autoSpaceDN/>
        <w:bidi w:val="0"/>
        <w:adjustRightInd/>
        <w:snapToGrid/>
        <w:spacing w:before="0" w:after="0" w:line="360" w:lineRule="auto"/>
        <w:textAlignment w:val="auto"/>
        <w:rPr>
          <w:rFonts w:hint="default"/>
          <w:highlight w:val="none"/>
          <w:lang w:val="en-US" w:eastAsia="zh-CN"/>
        </w:rPr>
      </w:pPr>
      <w:bookmarkStart w:id="170" w:name="_Toc7245"/>
      <w:bookmarkStart w:id="171" w:name="_Toc24229"/>
      <w:r>
        <w:rPr>
          <w:rFonts w:hint="eastAsia"/>
          <w:highlight w:val="none"/>
          <w:lang w:val="en-US" w:eastAsia="zh-CN"/>
        </w:rPr>
        <w:t>10</w:t>
      </w:r>
      <w:r>
        <w:rPr>
          <w:rFonts w:hint="default"/>
          <w:highlight w:val="none"/>
          <w:lang w:val="en-US" w:eastAsia="zh-CN"/>
        </w:rPr>
        <w:t>.1跨学科团队构成</w:t>
      </w:r>
      <w:bookmarkEnd w:id="170"/>
      <w:bookmarkEnd w:id="171"/>
    </w:p>
    <w:p w14:paraId="1FFC61EE">
      <w:pPr>
        <w:pStyle w:val="3"/>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bookmarkStart w:id="172" w:name="_Toc21210"/>
      <w:bookmarkStart w:id="173" w:name="_Toc30114"/>
      <w:bookmarkStart w:id="174" w:name="_Toc31610"/>
      <w:r>
        <w:rPr>
          <w:rFonts w:hint="eastAsia"/>
          <w:highlight w:val="none"/>
          <w:lang w:val="en-US" w:eastAsia="zh-CN"/>
        </w:rPr>
        <w:drawing>
          <wp:inline distT="0" distB="0" distL="114300" distR="114300">
            <wp:extent cx="5741670" cy="7408545"/>
            <wp:effectExtent l="0" t="0" r="11430" b="8255"/>
            <wp:docPr id="158" name="图片 158" descr="53872426bd30ec5698c9c157fa957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53872426bd30ec5698c9c157fa9579b"/>
                    <pic:cNvPicPr>
                      <a:picLocks noChangeAspect="1"/>
                    </pic:cNvPicPr>
                  </pic:nvPicPr>
                  <pic:blipFill>
                    <a:blip r:embed="rId76"/>
                    <a:stretch>
                      <a:fillRect/>
                    </a:stretch>
                  </pic:blipFill>
                  <pic:spPr>
                    <a:xfrm>
                      <a:off x="0" y="0"/>
                      <a:ext cx="5741670" cy="7408545"/>
                    </a:xfrm>
                    <a:prstGeom prst="rect">
                      <a:avLst/>
                    </a:prstGeom>
                  </pic:spPr>
                </pic:pic>
              </a:graphicData>
            </a:graphic>
          </wp:inline>
        </w:drawing>
      </w:r>
      <w:bookmarkEnd w:id="172"/>
      <w:bookmarkEnd w:id="173"/>
      <w:bookmarkEnd w:id="174"/>
    </w:p>
    <w:p w14:paraId="70A14F26">
      <w:pPr>
        <w:spacing w:line="360" w:lineRule="auto"/>
        <w:rPr>
          <w:rFonts w:hint="eastAsia"/>
          <w:highlight w:val="none"/>
          <w:lang w:val="en-US" w:eastAsia="zh-CN"/>
        </w:rPr>
      </w:pPr>
      <w:r>
        <w:rPr>
          <w:rFonts w:hint="eastAsia"/>
          <w:highlight w:val="none"/>
          <w:lang w:val="en-US" w:eastAsia="zh-CN"/>
        </w:rPr>
        <w:br w:type="page"/>
      </w:r>
    </w:p>
    <w:p w14:paraId="58B1BF93">
      <w:pPr>
        <w:pStyle w:val="3"/>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bookmarkStart w:id="175" w:name="_Toc2250"/>
      <w:bookmarkStart w:id="176" w:name="_Toc16035"/>
      <w:r>
        <w:rPr>
          <w:rFonts w:hint="eastAsia"/>
          <w:highlight w:val="none"/>
          <w:lang w:val="en-US" w:eastAsia="zh-CN"/>
        </w:rPr>
        <w:t>10</w:t>
      </w:r>
      <w:r>
        <w:rPr>
          <w:rFonts w:hint="default"/>
          <w:highlight w:val="none"/>
          <w:lang w:val="en-US" w:eastAsia="zh-CN"/>
        </w:rPr>
        <w:t>.2顾问资源</w:t>
      </w:r>
      <w:bookmarkEnd w:id="175"/>
      <w:bookmarkEnd w:id="176"/>
    </w:p>
    <w:p w14:paraId="55F1D6CA">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bookmarkStart w:id="177" w:name="_Toc21505"/>
      <w:r>
        <w:rPr>
          <w:rFonts w:hint="default"/>
          <w:highlight w:val="none"/>
          <w:lang w:val="en-US" w:eastAsia="zh-CN"/>
        </w:rPr>
        <w:t>指导老师</w:t>
      </w:r>
      <w:bookmarkEnd w:id="177"/>
      <w:r>
        <w:rPr>
          <w:rFonts w:hint="eastAsia"/>
          <w:highlight w:val="none"/>
          <w:lang w:val="en-US" w:eastAsia="zh-CN"/>
        </w:rPr>
        <w:t>：</w:t>
      </w:r>
    </w:p>
    <w:p w14:paraId="728AD589">
      <w:pPr>
        <w:pageBreakBefore w:val="0"/>
        <w:widowControl w:val="0"/>
        <w:kinsoku/>
        <w:wordWrap/>
        <w:overflowPunct/>
        <w:topLinePunct w:val="0"/>
        <w:autoSpaceDE/>
        <w:autoSpaceDN/>
        <w:bidi w:val="0"/>
        <w:adjustRightInd/>
        <w:snapToGrid/>
        <w:spacing w:afterAutospacing="0" w:line="360" w:lineRule="auto"/>
        <w:ind w:firstLine="0" w:firstLineChars="0"/>
        <w:textAlignment w:val="auto"/>
        <w:rPr>
          <w:rFonts w:hint="default"/>
          <w:highlight w:val="none"/>
          <w:lang w:val="en-US" w:eastAsia="zh-CN"/>
        </w:rPr>
      </w:pPr>
      <w:r>
        <w:rPr>
          <w:rFonts w:hint="default"/>
          <w:highlight w:val="none"/>
        </w:rPr>
        <w:drawing>
          <wp:inline distT="0" distB="0" distL="114300" distR="114300">
            <wp:extent cx="1118870" cy="1440180"/>
            <wp:effectExtent l="0" t="0" r="11430" b="7620"/>
            <wp:docPr id="115" name="图片 3" descr="罗江花(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3" descr="罗江花(1)(1)"/>
                    <pic:cNvPicPr>
                      <a:picLocks noChangeAspect="1"/>
                    </pic:cNvPicPr>
                  </pic:nvPicPr>
                  <pic:blipFill>
                    <a:blip r:embed="rId77"/>
                    <a:srcRect t="5544"/>
                    <a:stretch>
                      <a:fillRect/>
                    </a:stretch>
                  </pic:blipFill>
                  <pic:spPr>
                    <a:xfrm>
                      <a:off x="0" y="0"/>
                      <a:ext cx="1118870" cy="1440180"/>
                    </a:xfrm>
                    <a:prstGeom prst="rect">
                      <a:avLst/>
                    </a:prstGeom>
                    <a:ln>
                      <a:noFill/>
                    </a:ln>
                  </pic:spPr>
                </pic:pic>
              </a:graphicData>
            </a:graphic>
          </wp:inline>
        </w:drawing>
      </w:r>
      <w:r>
        <w:rPr>
          <w:rFonts w:hint="default"/>
          <w:b/>
          <w:bCs/>
          <w:highlight w:val="none"/>
          <w:lang w:val="en-US" w:eastAsia="zh-CN"/>
        </w:rPr>
        <w:t>罗江花，</w:t>
      </w:r>
      <w:r>
        <w:rPr>
          <w:rFonts w:hint="default"/>
          <w:highlight w:val="none"/>
          <w:lang w:val="en-US" w:eastAsia="zh-CN"/>
        </w:rPr>
        <w:t>硕士、讲师，湖南省优秀教育工作者主持完成省部级项目4项，发表学术论文10余篇，其中SCI收录8篇、EI收录4篇，从事土木类课程教学与科研工作。讲解隔震支座的力学模型、材料特性等理论基础，帮助团队成员夯实专业知识。</w:t>
      </w:r>
    </w:p>
    <w:p w14:paraId="297A64BD">
      <w:pPr>
        <w:pageBreakBefore w:val="0"/>
        <w:widowControl w:val="0"/>
        <w:kinsoku/>
        <w:wordWrap/>
        <w:overflowPunct/>
        <w:topLinePunct w:val="0"/>
        <w:autoSpaceDE/>
        <w:autoSpaceDN/>
        <w:bidi w:val="0"/>
        <w:adjustRightInd/>
        <w:snapToGrid/>
        <w:spacing w:before="120" w:beforeLines="50" w:beforeAutospacing="0" w:after="120" w:afterLines="50" w:afterAutospacing="0" w:line="360" w:lineRule="auto"/>
        <w:ind w:firstLine="0" w:firstLineChars="0"/>
        <w:textAlignment w:val="auto"/>
        <w:rPr>
          <w:rFonts w:hint="default"/>
          <w:highlight w:val="none"/>
          <w:lang w:val="en-US" w:eastAsia="zh-CN"/>
        </w:rPr>
      </w:pPr>
      <w:r>
        <w:rPr>
          <w:rFonts w:hint="default"/>
          <w:highlight w:val="none"/>
        </w:rPr>
        <w:drawing>
          <wp:inline distT="0" distB="0" distL="114300" distR="114300">
            <wp:extent cx="1231900" cy="1440180"/>
            <wp:effectExtent l="0" t="0" r="0" b="7620"/>
            <wp:docPr id="1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5"/>
                    <pic:cNvPicPr>
                      <a:picLocks noChangeAspect="1"/>
                    </pic:cNvPicPr>
                  </pic:nvPicPr>
                  <pic:blipFill>
                    <a:blip r:embed="rId78" cstate="print">
                      <a:extLst>
                        <a:ext uri="{BEBA8EAE-BF5A-486C-A8C5-ECC9F3942E4B}">
                          <a14:imgProps xmlns:a14="http://schemas.microsoft.com/office/drawing/2010/main">
                            <a14:imgLayer r:embed="rId79">
                              <a14:imgEffect>
                                <a14:backgroundRemoval t="10000" b="97344" l="10000" r="90000">
                                  <a14:foregroundMark x1="40781" y1="77656" x2="56927" y2="0"/>
                                  <a14:foregroundMark x1="43073" y1="69063" x2="60365" y2="0"/>
                                  <a14:foregroundMark x1="54427" y1="66094" x2="46406" y2="0"/>
                                  <a14:foregroundMark x1="46406" y1="65938" x2="32135" y2="0"/>
                                  <a14:foregroundMark x1="32135" y1="75469" x2="42656" y2="0"/>
                                  <a14:foregroundMark x1="42656" y1="86016" x2="59792" y2="0"/>
                                  <a14:foregroundMark x1="59792" y1="79688" x2="47865" y2="0"/>
                                  <a14:foregroundMark x1="47865" y1="76797" x2="46146" y2="0"/>
                                  <a14:foregroundMark x1="58229" y1="83359" x2="46979" y2="0"/>
                                  <a14:foregroundMark x1="46979" y1="84531" x2="41875" y2="0"/>
                                  <a14:foregroundMark x1="41875" y1="92109" x2="55469" y2="0"/>
                                  <a14:foregroundMark x1="55469" y1="91094" x2="57083" y2="0"/>
                                  <a14:foregroundMark x1="41510" y1="90859" x2="56302" y2="0"/>
                                  <a14:foregroundMark x1="56302" y1="94141" x2="54375" y2="0"/>
                                  <a14:foregroundMark x1="54219" y1="94219" x2="40260" y2="0"/>
                                  <a14:foregroundMark x1="40260" y1="91797" x2="38906" y2="0"/>
                                  <a14:foregroundMark x1="38802" y1="88438" x2="44063" y2="0"/>
                                  <a14:foregroundMark x1="44063" y1="92891" x2="60313" y2="0"/>
                                  <a14:foregroundMark x1="60313" y1="93984" x2="62240" y2="0"/>
                                  <a14:foregroundMark x1="59479" y1="86172" x2="54688" y2="0"/>
                                  <a14:foregroundMark x1="54688" y1="91875" x2="48073" y2="0"/>
                                  <a14:foregroundMark x1="48073" y1="95703" x2="47604" y2="0"/>
                                  <a14:foregroundMark x1="47552" y1="97344" x2="54688" y2="0"/>
                                  <a14:foregroundMark x1="61979" y1="57656" x2="62500" y2="0"/>
                                  <a14:foregroundMark x1="61094" y1="55937" x2="61875" y2="0"/>
                                  <a14:foregroundMark x1="36146" y1="56094" x2="35729" y2="0"/>
                                  <a14:backgroundMark x1="22917" y1="69375" x2="23073" y2="0"/>
                                  <a14:backgroundMark x1="63073" y1="62109" x2="63906" y2="0"/>
                                  <a14:backgroundMark x1="64167" y1="43906" x2="64740" y2="0"/>
                                  <a14:backgroundMark x1="64740" y1="46406" x2="64948" y2="0"/>
                                  <a14:backgroundMark x1="64167" y1="42969" x2="65156" y2="0"/>
                                  <a14:backgroundMark x1="63490" y1="42188" x2="63854" y2="0"/>
                                  <a14:backgroundMark x1="65313" y1="48359" x2="65885" y2="0"/>
                                  <a14:backgroundMark x1="34688" y1="38984" x2="34792" y2="0"/>
                                  <a14:backgroundMark x1="35729" y1="41875" x2="35156" y2="0"/>
                                  <a14:backgroundMark x1="35677" y1="42734" x2="35573" y2="0"/>
                                  <a14:backgroundMark x1="63906" y1="62187" x2="64375" y2="0"/>
                                  <a14:backgroundMark x1="64479" y1="62578" x2="64792" y2="0"/>
                                  <a14:backgroundMark x1="23750" y1="74063" x2="24063" y2="0"/>
                                </a14:backgroundRemoval>
                              </a14:imgEffect>
                            </a14:imgLayer>
                          </a14:imgProps>
                        </a:ext>
                        <a:ext uri="{28A0092B-C50C-407E-A947-70E740481C1C}">
                          <a14:useLocalDpi xmlns:a14="http://schemas.microsoft.com/office/drawing/2010/main" val="0"/>
                        </a:ext>
                      </a:extLst>
                    </a:blip>
                    <a:srcRect l="21179" t="7064" r="22368"/>
                    <a:stretch>
                      <a:fillRect/>
                    </a:stretch>
                  </pic:blipFill>
                  <pic:spPr>
                    <a:xfrm>
                      <a:off x="0" y="0"/>
                      <a:ext cx="1231900" cy="1440180"/>
                    </a:xfrm>
                    <a:prstGeom prst="rect">
                      <a:avLst/>
                    </a:prstGeom>
                  </pic:spPr>
                </pic:pic>
              </a:graphicData>
            </a:graphic>
          </wp:inline>
        </w:drawing>
      </w:r>
      <w:r>
        <w:rPr>
          <w:rFonts w:hint="default"/>
          <w:b/>
          <w:bCs/>
          <w:highlight w:val="none"/>
          <w:lang w:val="en-US" w:eastAsia="zh-CN"/>
        </w:rPr>
        <w:t>谭平，</w:t>
      </w:r>
      <w:r>
        <w:rPr>
          <w:rFonts w:hint="default"/>
          <w:highlight w:val="none"/>
          <w:lang w:val="en-US" w:eastAsia="zh-CN"/>
        </w:rPr>
        <w:t>国家</w:t>
      </w:r>
      <w:r>
        <w:rPr>
          <w:rFonts w:hint="eastAsia"/>
          <w:highlight w:val="none"/>
          <w:lang w:val="en-US" w:eastAsia="zh-CN"/>
        </w:rPr>
        <w:t>”</w:t>
      </w:r>
      <w:r>
        <w:rPr>
          <w:rFonts w:hint="default"/>
          <w:highlight w:val="none"/>
          <w:lang w:val="en-US" w:eastAsia="zh-CN"/>
        </w:rPr>
        <w:t>万人领军人才</w:t>
      </w:r>
      <w:r>
        <w:rPr>
          <w:rFonts w:hint="eastAsia"/>
          <w:highlight w:val="none"/>
          <w:lang w:val="en-US" w:eastAsia="zh-CN"/>
        </w:rPr>
        <w:t>”</w:t>
      </w:r>
      <w:r>
        <w:rPr>
          <w:rFonts w:hint="default"/>
          <w:highlight w:val="none"/>
          <w:lang w:val="en-US" w:eastAsia="zh-CN"/>
        </w:rPr>
        <w:t>称号获得者，主持国家135重点研发专项等国家级项目20多项，国家高层次人才称号获得者。链接地震工程领域专家、企业或政府机构，推动项目成果落地应用。</w:t>
      </w:r>
    </w:p>
    <w:p w14:paraId="3DC509EE">
      <w:pPr>
        <w:pageBreakBefore w:val="0"/>
        <w:widowControl w:val="0"/>
        <w:kinsoku/>
        <w:wordWrap/>
        <w:overflowPunct/>
        <w:topLinePunct w:val="0"/>
        <w:autoSpaceDE/>
        <w:autoSpaceDN/>
        <w:bidi w:val="0"/>
        <w:adjustRightInd/>
        <w:snapToGrid/>
        <w:spacing w:beforeAutospacing="0" w:line="360" w:lineRule="auto"/>
        <w:ind w:firstLine="0" w:firstLineChars="0"/>
        <w:textAlignment w:val="auto"/>
        <w:rPr>
          <w:rFonts w:hint="default"/>
          <w:highlight w:val="none"/>
          <w:lang w:val="en-US" w:eastAsia="zh-CN"/>
        </w:rPr>
      </w:pPr>
      <w:r>
        <w:rPr>
          <w:rFonts w:hint="default"/>
          <w:highlight w:val="none"/>
        </w:rPr>
        <w:drawing>
          <wp:inline distT="0" distB="0" distL="114300" distR="114300">
            <wp:extent cx="1188085" cy="1440180"/>
            <wp:effectExtent l="0" t="0" r="5080" b="7620"/>
            <wp:docPr id="1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4"/>
                    <pic:cNvPicPr>
                      <a:picLocks noChangeAspect="1"/>
                    </pic:cNvPicPr>
                  </pic:nvPicPr>
                  <pic:blipFill>
                    <a:blip r:embed="rId80">
                      <a:extLst>
                        <a:ext uri="{BEBA8EAE-BF5A-486C-A8C5-ECC9F3942E4B}">
                          <a14:imgProps xmlns:a14="http://schemas.microsoft.com/office/drawing/2010/main">
                            <a14:imgLayer r:embed="rId81">
                              <a14:imgEffect>
                                <a14:backgroundRemoval t="9971" b="96188" l="9961" r="89844">
                                  <a14:foregroundMark x1="53418" y1="39150" x2="49609" y2="0"/>
                                  <a14:foregroundMark x1="52832" y1="38270" x2="48438" y2="0"/>
                                  <a14:foregroundMark x1="62793" y1="73900" x2="64063" y2="0"/>
                                  <a14:foregroundMark x1="54199" y1="43695" x2="55371" y2="0"/>
                                  <a14:foregroundMark x1="55176" y1="43402" x2="55273" y2="0"/>
                                  <a14:foregroundMark x1="38477" y1="90469" x2="39355" y2="0"/>
                                  <a14:foregroundMark x1="45801" y1="90909" x2="46875" y2="0"/>
                                  <a14:backgroundMark x1="29688" y1="54399" x2="37793" y2="0"/>
                                  <a14:backgroundMark x1="37793" y1="27126" x2="37988" y2="0"/>
                                  <a14:backgroundMark x1="60449" y1="31525" x2="67871" y2="0"/>
                                  <a14:backgroundMark x1="62500" y1="35630" x2="62988" y2="0"/>
                                  <a14:backgroundMark x1="56641" y1="20528" x2="61035" y2="0"/>
                                  <a14:backgroundMark x1="55957" y1="27713" x2="57227" y2="0"/>
                                  <a14:backgroundMark x1="68945" y1="60704" x2="67969" y2="0"/>
                                  <a14:backgroundMark x1="79980" y1="74047" x2="80078" y2="0"/>
                                  <a14:backgroundMark x1="79688" y1="47801" x2="75977" y2="0"/>
                                  <a14:backgroundMark x1="38672" y1="37243" x2="46973" y2="0"/>
                                  <a14:backgroundMark x1="80078" y1="73167" x2="78906" y2="0"/>
                                  <a14:backgroundMark x1="85059" y1="71848" x2="85645" y2="0"/>
                                </a14:backgroundRemoval>
                              </a14:imgEffect>
                            </a14:imgLayer>
                          </a14:imgProps>
                        </a:ext>
                        <a:ext uri="{28A0092B-C50C-407E-A947-70E740481C1C}">
                          <a14:useLocalDpi xmlns:a14="http://schemas.microsoft.com/office/drawing/2010/main" val="0"/>
                        </a:ext>
                      </a:extLst>
                    </a:blip>
                    <a:srcRect l="32342" t="32492" r="32708" b="5765"/>
                    <a:stretch>
                      <a:fillRect/>
                    </a:stretch>
                  </pic:blipFill>
                  <pic:spPr>
                    <a:xfrm>
                      <a:off x="0" y="0"/>
                      <a:ext cx="1188085" cy="1440180"/>
                    </a:xfrm>
                    <a:prstGeom prst="rect">
                      <a:avLst/>
                    </a:prstGeom>
                  </pic:spPr>
                </pic:pic>
              </a:graphicData>
            </a:graphic>
          </wp:inline>
        </w:drawing>
      </w:r>
      <w:r>
        <w:rPr>
          <w:rFonts w:hint="default"/>
          <w:b/>
          <w:bCs/>
          <w:highlight w:val="none"/>
          <w:lang w:val="en-US" w:eastAsia="zh-CN"/>
        </w:rPr>
        <w:t>贺辉，</w:t>
      </w:r>
      <w:r>
        <w:rPr>
          <w:rFonts w:hint="default"/>
          <w:highlight w:val="none"/>
          <w:lang w:val="en-US" w:eastAsia="zh-CN"/>
        </w:rPr>
        <w:t>博士研究生，湖南省</w:t>
      </w:r>
      <w:r>
        <w:rPr>
          <w:rFonts w:hint="eastAsia"/>
          <w:highlight w:val="none"/>
          <w:lang w:val="en-US" w:eastAsia="zh-CN"/>
        </w:rPr>
        <w:t>”</w:t>
      </w:r>
      <w:r>
        <w:rPr>
          <w:rFonts w:hint="default"/>
          <w:highlight w:val="none"/>
          <w:lang w:val="en-US" w:eastAsia="zh-CN"/>
        </w:rPr>
        <w:t>芙蓉计划</w:t>
      </w:r>
      <w:r>
        <w:rPr>
          <w:rFonts w:hint="eastAsia"/>
          <w:highlight w:val="none"/>
          <w:lang w:val="en-US" w:eastAsia="zh-CN"/>
        </w:rPr>
        <w:t>”</w:t>
      </w:r>
      <w:r>
        <w:rPr>
          <w:rFonts w:hint="default"/>
          <w:highlight w:val="none"/>
          <w:lang w:val="en-US" w:eastAsia="zh-CN"/>
        </w:rPr>
        <w:t>人才，主持完成省部级项目6项，发表学术论文近30余篇，其中SCI收录17篇，EI收录7篇，深耕工程结构减隔震控制领域。协助解决支座耐久性测试、节点连接优化等工程结构减隔震中的具体技术难题。</w:t>
      </w:r>
      <w:bookmarkStart w:id="178" w:name="_Toc7970"/>
    </w:p>
    <w:p w14:paraId="5B43942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eastAsia"/>
          <w:highlight w:val="none"/>
          <w:lang w:val="en-US" w:eastAsia="zh-CN"/>
        </w:rPr>
        <w:t>行业</w:t>
      </w:r>
      <w:r>
        <w:rPr>
          <w:rFonts w:hint="default"/>
          <w:highlight w:val="none"/>
          <w:lang w:val="en-US" w:eastAsia="zh-CN"/>
        </w:rPr>
        <w:t>专家顾问</w:t>
      </w:r>
      <w:bookmarkEnd w:id="178"/>
      <w:r>
        <w:rPr>
          <w:rFonts w:hint="eastAsia"/>
          <w:highlight w:val="none"/>
          <w:lang w:val="en-US" w:eastAsia="zh-CN"/>
        </w:rPr>
        <w:t>：</w:t>
      </w:r>
    </w:p>
    <w:p w14:paraId="25F49E04">
      <w:pPr>
        <w:pageBreakBefore w:val="0"/>
        <w:widowControl w:val="0"/>
        <w:kinsoku/>
        <w:wordWrap/>
        <w:overflowPunct/>
        <w:topLinePunct w:val="0"/>
        <w:autoSpaceDE/>
        <w:autoSpaceDN/>
        <w:bidi w:val="0"/>
        <w:adjustRightInd/>
        <w:snapToGrid/>
        <w:spacing w:afterAutospacing="0" w:line="360" w:lineRule="auto"/>
        <w:ind w:firstLine="0" w:firstLineChars="0"/>
        <w:textAlignment w:val="auto"/>
        <w:rPr>
          <w:rFonts w:hint="default"/>
          <w:highlight w:val="none"/>
          <w:lang w:val="en-US" w:eastAsia="zh-CN"/>
        </w:rPr>
      </w:pPr>
      <w:r>
        <w:rPr>
          <w:rFonts w:hint="default"/>
          <w:highlight w:val="none"/>
        </w:rPr>
        <w:drawing>
          <wp:inline distT="0" distB="0" distL="114300" distR="114300">
            <wp:extent cx="1127760" cy="1367790"/>
            <wp:effectExtent l="80645" t="0" r="10795" b="50800"/>
            <wp:docPr id="118" name="图片 6" descr="谈j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6" descr="谈jk"/>
                    <pic:cNvPicPr>
                      <a:picLocks noChangeAspect="1"/>
                    </pic:cNvPicPr>
                  </pic:nvPicPr>
                  <pic:blipFill>
                    <a:blip r:embed="rId82"/>
                    <a:srcRect b="16590"/>
                    <a:stretch>
                      <a:fillRect/>
                    </a:stretch>
                  </pic:blipFill>
                  <pic:spPr>
                    <a:xfrm>
                      <a:off x="0" y="0"/>
                      <a:ext cx="1127760" cy="1367790"/>
                    </a:xfrm>
                    <a:prstGeom prst="rect">
                      <a:avLst/>
                    </a:prstGeom>
                    <a:effectLst>
                      <a:outerShdw blurRad="50800" dist="38100" dir="10800000" algn="r" rotWithShape="0">
                        <a:prstClr val="black">
                          <a:alpha val="40000"/>
                        </a:prstClr>
                      </a:outerShdw>
                    </a:effectLst>
                  </pic:spPr>
                </pic:pic>
              </a:graphicData>
            </a:graphic>
          </wp:inline>
        </w:drawing>
      </w:r>
      <w:r>
        <w:rPr>
          <w:rFonts w:hint="default"/>
          <w:b/>
          <w:bCs/>
          <w:highlight w:val="none"/>
          <w:lang w:val="en-US" w:eastAsia="zh-CN"/>
        </w:rPr>
        <w:t>谈忠坤，</w:t>
      </w:r>
      <w:r>
        <w:rPr>
          <w:rFonts w:hint="default"/>
          <w:highlight w:val="none"/>
          <w:lang w:val="en-US" w:eastAsia="zh-CN"/>
        </w:rPr>
        <w:t>教授级高级工程师，湖南中腾科技集团有限公司董事长。指导隔震支座工艺的优化。</w:t>
      </w:r>
    </w:p>
    <w:p w14:paraId="4C06A2E1">
      <w:pPr>
        <w:pageBreakBefore w:val="0"/>
        <w:widowControl w:val="0"/>
        <w:kinsoku/>
        <w:wordWrap/>
        <w:overflowPunct/>
        <w:topLinePunct w:val="0"/>
        <w:autoSpaceDE/>
        <w:autoSpaceDN/>
        <w:bidi w:val="0"/>
        <w:adjustRightInd/>
        <w:snapToGrid/>
        <w:spacing w:beforeAutospacing="0" w:afterAutospacing="0" w:line="360" w:lineRule="auto"/>
        <w:ind w:firstLine="0" w:firstLineChars="0"/>
        <w:textAlignment w:val="auto"/>
        <w:rPr>
          <w:rFonts w:hint="default"/>
          <w:highlight w:val="none"/>
          <w:lang w:val="en-US" w:eastAsia="zh-CN"/>
        </w:rPr>
      </w:pPr>
      <w:r>
        <w:rPr>
          <w:rFonts w:hint="default"/>
          <w:highlight w:val="none"/>
        </w:rPr>
        <w:drawing>
          <wp:inline distT="0" distB="0" distL="114300" distR="114300">
            <wp:extent cx="1130935" cy="1370965"/>
            <wp:effectExtent l="15875" t="0" r="0" b="19050"/>
            <wp:docPr id="119" name="图片 7" descr="李涛(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7" descr="李涛(1)(1)(1)"/>
                    <pic:cNvPicPr>
                      <a:picLocks noChangeAspect="1"/>
                    </pic:cNvPicPr>
                  </pic:nvPicPr>
                  <pic:blipFill>
                    <a:blip r:embed="rId83"/>
                    <a:srcRect l="31514" t="11396" r="28556" b="15917"/>
                    <a:stretch>
                      <a:fillRect/>
                    </a:stretch>
                  </pic:blipFill>
                  <pic:spPr>
                    <a:xfrm>
                      <a:off x="0" y="0"/>
                      <a:ext cx="1130935" cy="1370965"/>
                    </a:xfrm>
                    <a:prstGeom prst="rect">
                      <a:avLst/>
                    </a:prstGeom>
                    <a:effectLst>
                      <a:outerShdw blurRad="50800" dist="38100" dir="18900000" algn="bl" rotWithShape="0">
                        <a:prstClr val="black">
                          <a:alpha val="40000"/>
                        </a:prstClr>
                      </a:outerShdw>
                    </a:effectLst>
                  </pic:spPr>
                </pic:pic>
              </a:graphicData>
            </a:graphic>
          </wp:inline>
        </w:drawing>
      </w:r>
      <w:r>
        <w:rPr>
          <w:rFonts w:hint="default"/>
          <w:b/>
          <w:bCs/>
          <w:highlight w:val="none"/>
          <w:lang w:val="en-US" w:eastAsia="zh-CN"/>
        </w:rPr>
        <w:t>李涛，</w:t>
      </w:r>
      <w:r>
        <w:rPr>
          <w:rFonts w:hint="default"/>
          <w:highlight w:val="none"/>
          <w:lang w:val="en-US" w:eastAsia="zh-CN"/>
        </w:rPr>
        <w:t>国家科技创新创业人才，震安科技有限公司董事长。分享创业经验，协助团队规避创业初期常见风险.</w:t>
      </w:r>
    </w:p>
    <w:p w14:paraId="50D678DC">
      <w:pPr>
        <w:pageBreakBefore w:val="0"/>
        <w:widowControl w:val="0"/>
        <w:kinsoku/>
        <w:wordWrap/>
        <w:overflowPunct/>
        <w:topLinePunct w:val="0"/>
        <w:autoSpaceDE/>
        <w:autoSpaceDN/>
        <w:bidi w:val="0"/>
        <w:adjustRightInd/>
        <w:snapToGrid/>
        <w:spacing w:beforeAutospacing="0" w:afterAutospacing="0" w:line="360" w:lineRule="auto"/>
        <w:ind w:firstLine="0" w:firstLineChars="0"/>
        <w:textAlignment w:val="auto"/>
        <w:rPr>
          <w:rFonts w:hint="default"/>
          <w:highlight w:val="none"/>
          <w:lang w:val="en-US" w:eastAsia="zh-CN"/>
        </w:rPr>
      </w:pPr>
      <w:r>
        <w:rPr>
          <w:rFonts w:hint="default"/>
          <w:highlight w:val="none"/>
        </w:rPr>
        <w:drawing>
          <wp:inline distT="0" distB="0" distL="114300" distR="114300">
            <wp:extent cx="1030605" cy="1249680"/>
            <wp:effectExtent l="69850" t="0" r="0" b="80645"/>
            <wp:docPr id="120" name="图片 9" descr="市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9" descr="市场"/>
                    <pic:cNvPicPr>
                      <a:picLocks noChangeAspect="1"/>
                    </pic:cNvPicPr>
                  </pic:nvPicPr>
                  <pic:blipFill>
                    <a:blip r:embed="rId84"/>
                    <a:srcRect b="23740"/>
                    <a:stretch>
                      <a:fillRect/>
                    </a:stretch>
                  </pic:blipFill>
                  <pic:spPr>
                    <a:xfrm flipH="1">
                      <a:off x="0" y="0"/>
                      <a:ext cx="1030605" cy="1249680"/>
                    </a:xfrm>
                    <a:prstGeom prst="rect">
                      <a:avLst/>
                    </a:prstGeom>
                    <a:effectLst>
                      <a:outerShdw blurRad="50800" dist="38100" dir="8100000" algn="tr" rotWithShape="0">
                        <a:prstClr val="black">
                          <a:alpha val="40000"/>
                        </a:prstClr>
                      </a:outerShdw>
                    </a:effectLst>
                  </pic:spPr>
                </pic:pic>
              </a:graphicData>
            </a:graphic>
          </wp:inline>
        </w:drawing>
      </w:r>
      <w:r>
        <w:rPr>
          <w:rFonts w:hint="default"/>
          <w:b/>
          <w:bCs/>
          <w:highlight w:val="none"/>
          <w:lang w:val="en-US" w:eastAsia="zh-CN"/>
        </w:rPr>
        <w:t>郁银泉，</w:t>
      </w:r>
      <w:r>
        <w:rPr>
          <w:rFonts w:hint="default"/>
          <w:highlight w:val="none"/>
          <w:lang w:val="en-US" w:eastAsia="zh-CN"/>
        </w:rPr>
        <w:t>隔震市场的技术推广者，全国工程勘探设计大师，中国建筑标准设计研究院总工程师。提供隔震支座与建筑结构协同设计的经验，推动产品与建筑规范的兼容性。</w:t>
      </w:r>
    </w:p>
    <w:p w14:paraId="63AA26F3">
      <w:pPr>
        <w:pageBreakBefore w:val="0"/>
        <w:widowControl w:val="0"/>
        <w:kinsoku/>
        <w:wordWrap/>
        <w:overflowPunct/>
        <w:topLinePunct w:val="0"/>
        <w:autoSpaceDE/>
        <w:autoSpaceDN/>
        <w:bidi w:val="0"/>
        <w:adjustRightInd/>
        <w:snapToGrid/>
        <w:spacing w:beforeAutospacing="0" w:afterAutospacing="0" w:line="360" w:lineRule="auto"/>
        <w:ind w:firstLine="0" w:firstLineChars="0"/>
        <w:textAlignment w:val="auto"/>
        <w:rPr>
          <w:rFonts w:hint="eastAsia"/>
          <w:highlight w:val="none"/>
          <w:lang w:val="en-US" w:eastAsia="zh-CN"/>
        </w:rPr>
      </w:pPr>
      <w:r>
        <w:rPr>
          <w:rFonts w:hint="default"/>
          <w:highlight w:val="none"/>
        </w:rPr>
        <w:drawing>
          <wp:inline distT="0" distB="0" distL="114300" distR="114300">
            <wp:extent cx="1156335" cy="1401445"/>
            <wp:effectExtent l="0" t="0" r="45085" b="54610"/>
            <wp:docPr id="121" name="图片 8" descr="谢礼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8" descr="谢礼立"/>
                    <pic:cNvPicPr>
                      <a:picLocks noChangeAspect="1"/>
                    </pic:cNvPicPr>
                  </pic:nvPicPr>
                  <pic:blipFill>
                    <a:blip r:embed="rId85"/>
                    <a:srcRect l="6070"/>
                    <a:stretch>
                      <a:fillRect/>
                    </a:stretch>
                  </pic:blipFill>
                  <pic:spPr>
                    <a:xfrm>
                      <a:off x="0" y="0"/>
                      <a:ext cx="1156335" cy="1401445"/>
                    </a:xfrm>
                    <a:prstGeom prst="rect">
                      <a:avLst/>
                    </a:prstGeom>
                    <a:effectLst>
                      <a:outerShdw blurRad="50800" dist="38100" algn="l" rotWithShape="0">
                        <a:prstClr val="black">
                          <a:alpha val="40000"/>
                        </a:prstClr>
                      </a:outerShdw>
                    </a:effectLst>
                  </pic:spPr>
                </pic:pic>
              </a:graphicData>
            </a:graphic>
          </wp:inline>
        </w:drawing>
      </w:r>
      <w:r>
        <w:rPr>
          <w:rFonts w:hint="default"/>
          <w:b/>
          <w:bCs/>
          <w:highlight w:val="none"/>
          <w:lang w:val="en-US" w:eastAsia="zh-CN"/>
        </w:rPr>
        <w:t>谢礼立，</w:t>
      </w:r>
      <w:r>
        <w:rPr>
          <w:rFonts w:hint="default"/>
          <w:highlight w:val="none"/>
          <w:lang w:val="en-US" w:eastAsia="zh-CN"/>
        </w:rPr>
        <w:t>地震工程权威专家，中国地震局工程力学研究所所长，国家科学技术进步奖一等奖。提供隔震技术前沿理论指导，协助团队优化产品抗震性能。</w:t>
      </w:r>
    </w:p>
    <w:p w14:paraId="1C175CD1">
      <w:pPr>
        <w:pStyle w:val="3"/>
        <w:pageBreakBefore w:val="0"/>
        <w:widowControl w:val="0"/>
        <w:kinsoku/>
        <w:wordWrap/>
        <w:overflowPunct/>
        <w:topLinePunct w:val="0"/>
        <w:autoSpaceDE/>
        <w:autoSpaceDN/>
        <w:bidi w:val="0"/>
        <w:adjustRightInd/>
        <w:snapToGrid/>
        <w:spacing w:before="0" w:beforeLines="0" w:beforeAutospacing="0" w:line="360" w:lineRule="auto"/>
        <w:textAlignment w:val="auto"/>
        <w:rPr>
          <w:rFonts w:hint="eastAsia"/>
          <w:highlight w:val="none"/>
          <w:lang w:val="en-US" w:eastAsia="zh-CN"/>
        </w:rPr>
      </w:pPr>
      <w:bookmarkStart w:id="179" w:name="_Toc14695"/>
      <w:bookmarkStart w:id="180" w:name="_Toc21986"/>
      <w:r>
        <w:rPr>
          <w:rFonts w:hint="eastAsia"/>
          <w:highlight w:val="none"/>
          <w:lang w:val="en-US" w:eastAsia="zh-CN"/>
        </w:rPr>
        <w:t>10.3研究资源</w:t>
      </w:r>
      <w:bookmarkEnd w:id="179"/>
      <w:bookmarkEnd w:id="180"/>
    </w:p>
    <w:p w14:paraId="5A97A07E">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湖南工学院在隔震支座研发中，充分发挥产学研协同优势，依托土木与建筑工程学院实验中心、绿色建材重点实验室及校级资源共享平台，构建了从材料研发到工程验证的全链条技术体系。材料实验室配备橡胶混炼机、平板硫化机及密炼设备，支撑高阻尼橡胶基体的配方优化与工艺开发；力学性能测试依托500kN电液伺服万能试验机与2000kN压力试验机，精准模拟支座在静动态荷载下的力学响应；温湿度耦合试验箱（-</w:t>
      </w:r>
      <w:r>
        <w:rPr>
          <w:rFonts w:hint="eastAsia"/>
          <w:highlight w:val="none"/>
          <w:lang w:val="en-US" w:eastAsia="zh-CN"/>
        </w:rPr>
        <w:t>5</w:t>
      </w:r>
      <w:r>
        <w:rPr>
          <w:rFonts w:hint="default"/>
          <w:highlight w:val="none"/>
          <w:lang w:val="en-US" w:eastAsia="zh-CN"/>
        </w:rPr>
        <w:t>0℃~</w:t>
      </w:r>
      <w:r>
        <w:rPr>
          <w:rFonts w:hint="eastAsia"/>
          <w:highlight w:val="none"/>
          <w:lang w:val="en-US" w:eastAsia="zh-CN"/>
        </w:rPr>
        <w:t>5</w:t>
      </w:r>
      <w:r>
        <w:rPr>
          <w:rFonts w:hint="default"/>
          <w:highlight w:val="none"/>
          <w:lang w:val="en-US" w:eastAsia="zh-CN"/>
        </w:rPr>
        <w:t>0℃）则通过极端环境模拟，验证支座的耐久性与环境适应性。此外，学院与湖南省住建厅共建的</w:t>
      </w:r>
      <w:r>
        <w:rPr>
          <w:rFonts w:hint="eastAsia"/>
          <w:highlight w:val="none"/>
          <w:lang w:val="en-US" w:eastAsia="zh-CN"/>
        </w:rPr>
        <w:t>“</w:t>
      </w:r>
      <w:r>
        <w:rPr>
          <w:rFonts w:hint="default"/>
          <w:highlight w:val="none"/>
          <w:lang w:val="en-US" w:eastAsia="zh-CN"/>
        </w:rPr>
        <w:t>建筑产业工人培训基地</w:t>
      </w:r>
      <w:r>
        <w:rPr>
          <w:rFonts w:hint="eastAsia"/>
          <w:highlight w:val="none"/>
          <w:lang w:val="en-US" w:eastAsia="zh-CN"/>
        </w:rPr>
        <w:t>”</w:t>
      </w:r>
      <w:r>
        <w:rPr>
          <w:rFonts w:hint="default"/>
          <w:highlight w:val="none"/>
          <w:lang w:val="en-US" w:eastAsia="zh-CN"/>
        </w:rPr>
        <w:t>，整合BIM建模与装配式技术培训资源，为隔震支座的施工工艺标准化提供技术验证平台。</w:t>
      </w:r>
    </w:p>
    <w:p w14:paraId="53AF4532">
      <w:pPr>
        <w:pageBreakBefore w:val="0"/>
        <w:widowControl w:val="0"/>
        <w:kinsoku/>
        <w:wordWrap/>
        <w:overflowPunct/>
        <w:topLinePunct w:val="0"/>
        <w:autoSpaceDE/>
        <w:autoSpaceDN/>
        <w:bidi w:val="0"/>
        <w:adjustRightInd/>
        <w:snapToGrid/>
        <w:spacing w:afterAutospacing="0" w:line="360" w:lineRule="auto"/>
        <w:ind w:firstLine="0" w:firstLineChars="0"/>
        <w:jc w:val="center"/>
        <w:textAlignment w:val="auto"/>
        <w:rPr>
          <w:rFonts w:hint="default"/>
          <w:highlight w:val="none"/>
          <w:lang w:val="en-US" w:eastAsia="zh-CN"/>
        </w:rPr>
      </w:pPr>
      <w:r>
        <w:rPr>
          <w:rFonts w:hint="default"/>
          <w:highlight w:val="none"/>
          <w:lang w:val="en-US" w:eastAsia="zh-CN"/>
        </w:rPr>
        <w:drawing>
          <wp:inline distT="0" distB="0" distL="114300" distR="114300">
            <wp:extent cx="3599815" cy="2520315"/>
            <wp:effectExtent l="0" t="0" r="6985" b="6985"/>
            <wp:docPr id="12" name="图片 12" descr="08a8f9012378e9d03547a7e8f9ddd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08a8f9012378e9d03547a7e8f9ddd58"/>
                    <pic:cNvPicPr>
                      <a:picLocks noChangeAspect="1"/>
                    </pic:cNvPicPr>
                  </pic:nvPicPr>
                  <pic:blipFill>
                    <a:blip r:embed="rId86"/>
                    <a:stretch>
                      <a:fillRect/>
                    </a:stretch>
                  </pic:blipFill>
                  <pic:spPr>
                    <a:xfrm>
                      <a:off x="0" y="0"/>
                      <a:ext cx="3599815" cy="2520315"/>
                    </a:xfrm>
                    <a:prstGeom prst="rect">
                      <a:avLst/>
                    </a:prstGeom>
                  </pic:spPr>
                </pic:pic>
              </a:graphicData>
            </a:graphic>
          </wp:inline>
        </w:drawing>
      </w:r>
    </w:p>
    <w:p w14:paraId="5B265BE6">
      <w:pPr>
        <w:pStyle w:val="5"/>
        <w:bidi w:val="0"/>
        <w:spacing w:before="70" w:beforeLines="29" w:beforeAutospacing="0" w:after="120" w:afterLines="50" w:afterAutospacing="0" w:line="360" w:lineRule="auto"/>
        <w:rPr>
          <w:rFonts w:hint="default"/>
          <w:highlight w:val="none"/>
          <w:lang w:val="en-US" w:eastAsia="zh-CN"/>
        </w:rPr>
      </w:pPr>
      <w:r>
        <w:rPr>
          <w:rFonts w:hint="eastAsia"/>
          <w:highlight w:val="none"/>
          <w:lang w:val="en-US" w:eastAsia="zh-CN"/>
        </w:rPr>
        <w:t>图10-1 衡御安邦在力学实验室开展实验</w:t>
      </w:r>
    </w:p>
    <w:p w14:paraId="7946FD4D">
      <w:pPr>
        <w:pageBreakBefore w:val="0"/>
        <w:widowControl w:val="0"/>
        <w:kinsoku/>
        <w:wordWrap/>
        <w:overflowPunct/>
        <w:topLinePunct w:val="0"/>
        <w:autoSpaceDE/>
        <w:autoSpaceDN/>
        <w:bidi w:val="0"/>
        <w:adjustRightInd/>
        <w:snapToGrid/>
        <w:spacing w:beforeAutospacing="0" w:line="360" w:lineRule="auto"/>
        <w:ind w:firstLine="560" w:firstLineChars="200"/>
        <w:textAlignment w:val="auto"/>
        <w:rPr>
          <w:rFonts w:hint="default"/>
          <w:highlight w:val="none"/>
          <w:lang w:val="en-US" w:eastAsia="zh-CN"/>
        </w:rPr>
      </w:pPr>
      <w:r>
        <w:rPr>
          <w:rFonts w:hint="default"/>
          <w:highlight w:val="none"/>
          <w:lang w:val="en-US" w:eastAsia="zh-CN"/>
        </w:rPr>
        <w:t>学校通过国家级技术开发委托经费（120万元）及大创立项孵化激励（4万元），为隔震支座的研发提供专项资金支持，覆盖材料采购、设备升级及测试成本。校级资源共享平台整合了土木、材料、机械等多学科设备资源，实现跨平台协作研发。绿色建材实验室的高精度分析仪器与结构实验室的加载设备联动，支撑材料-结构一体化性能研究。资金与资源的集约化配置，确保了从基础研究到工程应用的资源无缝衔接，为隔震支座的技术突破提供了</w:t>
      </w:r>
      <w:r>
        <w:rPr>
          <w:rFonts w:hint="eastAsia"/>
          <w:highlight w:val="none"/>
          <w:lang w:val="en-US" w:eastAsia="zh-CN"/>
        </w:rPr>
        <w:t>资金支持</w:t>
      </w:r>
      <w:r>
        <w:rPr>
          <w:rFonts w:hint="default"/>
          <w:highlight w:val="none"/>
          <w:lang w:val="en-US" w:eastAsia="zh-CN"/>
        </w:rPr>
        <w:t>。</w:t>
      </w:r>
    </w:p>
    <w:p w14:paraId="647672D3">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成果验证阶段，学院通过</w:t>
      </w:r>
      <w:r>
        <w:rPr>
          <w:rFonts w:hint="eastAsia"/>
          <w:highlight w:val="none"/>
          <w:lang w:val="en-US" w:eastAsia="zh-CN"/>
        </w:rPr>
        <w:t>”</w:t>
      </w:r>
      <w:r>
        <w:rPr>
          <w:rFonts w:hint="default"/>
          <w:highlight w:val="none"/>
          <w:lang w:val="en-US" w:eastAsia="zh-CN"/>
        </w:rPr>
        <w:t>产学研用</w:t>
      </w:r>
      <w:r>
        <w:rPr>
          <w:rFonts w:hint="eastAsia"/>
          <w:highlight w:val="none"/>
          <w:lang w:val="en-US" w:eastAsia="zh-CN"/>
        </w:rPr>
        <w:t>”</w:t>
      </w:r>
      <w:r>
        <w:rPr>
          <w:rFonts w:hint="default"/>
          <w:highlight w:val="none"/>
          <w:lang w:val="en-US" w:eastAsia="zh-CN"/>
        </w:rPr>
        <w:t>深度融合，联合西南建筑集团等龙头企业，推动隔震支座的工程化落地。依托国家重点研发计划子课题，在校企合作项目中开展1:1原型支座试点安装，利用振动监测系统实时采集实际工况数据，验证支座在中小型建筑中的抗震性能与适用性。在湖南省装配式建筑工程技术研究中心的框架下，结合企业承建的农村住房改造项目，完成隔震支座的规模化试装与长期性能跟踪。同时，通过基层服务校友网络对接地方政府资源，将试点成果纳入农村住房抗震改造工程，形成</w:t>
      </w:r>
      <w:r>
        <w:rPr>
          <w:rFonts w:hint="eastAsia"/>
          <w:highlight w:val="none"/>
          <w:lang w:val="en-US" w:eastAsia="zh-CN"/>
        </w:rPr>
        <w:t>”</w:t>
      </w:r>
      <w:r>
        <w:rPr>
          <w:rFonts w:hint="default"/>
          <w:highlight w:val="none"/>
          <w:lang w:val="en-US" w:eastAsia="zh-CN"/>
        </w:rPr>
        <w:t>实验室研发-企业试制-工程验证-区域推广</w:t>
      </w:r>
      <w:r>
        <w:rPr>
          <w:rFonts w:hint="eastAsia"/>
          <w:highlight w:val="none"/>
          <w:lang w:val="en-US" w:eastAsia="zh-CN"/>
        </w:rPr>
        <w:t>”</w:t>
      </w:r>
      <w:r>
        <w:rPr>
          <w:rFonts w:hint="default"/>
          <w:highlight w:val="none"/>
          <w:lang w:val="en-US" w:eastAsia="zh-CN"/>
        </w:rPr>
        <w:t>的闭环链路。校企合作不仅加速了技术成果转化，更通过实际工程反馈优化了产品设计，提升了技术成熟度。</w:t>
      </w:r>
    </w:p>
    <w:p w14:paraId="3FAF9AF1">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br w:type="page"/>
      </w:r>
    </w:p>
    <w:p w14:paraId="51AD631F">
      <w:pPr>
        <w:pStyle w:val="3"/>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bookmarkStart w:id="181" w:name="_Toc28210"/>
      <w:bookmarkStart w:id="182" w:name="_Toc2416"/>
      <w:r>
        <w:rPr>
          <w:rFonts w:hint="eastAsia"/>
          <w:highlight w:val="none"/>
          <w:lang w:val="en-US" w:eastAsia="zh-CN"/>
        </w:rPr>
        <w:t>10</w:t>
      </w:r>
      <w:r>
        <w:rPr>
          <w:rFonts w:hint="default"/>
          <w:highlight w:val="none"/>
          <w:lang w:val="en-US" w:eastAsia="zh-CN"/>
        </w:rPr>
        <w:t>.</w:t>
      </w:r>
      <w:r>
        <w:rPr>
          <w:rFonts w:hint="eastAsia"/>
          <w:highlight w:val="none"/>
          <w:lang w:val="en-US" w:eastAsia="zh-CN"/>
        </w:rPr>
        <w:t>4团队荣誉</w:t>
      </w:r>
      <w:bookmarkEnd w:id="181"/>
      <w:bookmarkEnd w:id="182"/>
    </w:p>
    <w:p w14:paraId="40E82769">
      <w:pPr>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drawing>
          <wp:inline distT="0" distB="0" distL="114300" distR="114300">
            <wp:extent cx="5039995" cy="3599815"/>
            <wp:effectExtent l="0" t="0" r="1905" b="6985"/>
            <wp:docPr id="35" name="图片 35" descr="6bd1ecf58ed356346e1952fcd0da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6bd1ecf58ed356346e1952fcd0da978"/>
                    <pic:cNvPicPr>
                      <a:picLocks noChangeAspect="1"/>
                    </pic:cNvPicPr>
                  </pic:nvPicPr>
                  <pic:blipFill>
                    <a:blip r:embed="rId87"/>
                    <a:stretch>
                      <a:fillRect/>
                    </a:stretch>
                  </pic:blipFill>
                  <pic:spPr>
                    <a:xfrm>
                      <a:off x="0" y="0"/>
                      <a:ext cx="5039995" cy="3599815"/>
                    </a:xfrm>
                    <a:prstGeom prst="rect">
                      <a:avLst/>
                    </a:prstGeom>
                  </pic:spPr>
                </pic:pic>
              </a:graphicData>
            </a:graphic>
          </wp:inline>
        </w:drawing>
      </w:r>
    </w:p>
    <w:p w14:paraId="7C413BEA">
      <w:pPr>
        <w:pageBreakBefore w:val="0"/>
        <w:widowControl w:val="0"/>
        <w:kinsoku/>
        <w:wordWrap/>
        <w:overflowPunct/>
        <w:topLinePunct w:val="0"/>
        <w:autoSpaceDE/>
        <w:autoSpaceDN/>
        <w:bidi w:val="0"/>
        <w:adjustRightInd/>
        <w:snapToGrid/>
        <w:spacing w:line="360" w:lineRule="auto"/>
        <w:ind w:firstLine="560" w:firstLineChars="200"/>
        <w:jc w:val="center"/>
        <w:textAlignment w:val="auto"/>
        <w:rPr>
          <w:rFonts w:hint="default"/>
          <w:highlight w:val="none"/>
          <w:lang w:val="en-US" w:eastAsia="zh-CN"/>
        </w:rPr>
      </w:pPr>
      <w:r>
        <w:rPr>
          <w:rFonts w:hint="default"/>
          <w:highlight w:val="none"/>
          <w:lang w:val="en-US" w:eastAsia="zh-CN"/>
        </w:rPr>
        <w:t>【国家级】2024年全国高校商业精英挑战赛二等奖</w:t>
      </w:r>
    </w:p>
    <w:p w14:paraId="7A88F02A">
      <w:pPr>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p>
    <w:p w14:paraId="38A527FB">
      <w:pPr>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drawing>
          <wp:inline distT="0" distB="0" distL="114300" distR="114300">
            <wp:extent cx="5039995" cy="3599815"/>
            <wp:effectExtent l="0" t="0" r="1905" b="6985"/>
            <wp:docPr id="40" name="图片 40" descr="C:/Users/20985/Desktop/微信图片_20250429210718.jpg微信图片_20250429210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20985/Desktop/微信图片_20250429210718.jpg微信图片_20250429210718"/>
                    <pic:cNvPicPr>
                      <a:picLocks noChangeAspect="1"/>
                    </pic:cNvPicPr>
                  </pic:nvPicPr>
                  <pic:blipFill>
                    <a:blip r:embed="rId88"/>
                    <a:srcRect t="2517" b="2517"/>
                    <a:stretch>
                      <a:fillRect/>
                    </a:stretch>
                  </pic:blipFill>
                  <pic:spPr>
                    <a:xfrm>
                      <a:off x="0" y="0"/>
                      <a:ext cx="5039995" cy="3599815"/>
                    </a:xfrm>
                    <a:prstGeom prst="rect">
                      <a:avLst/>
                    </a:prstGeom>
                  </pic:spPr>
                </pic:pic>
              </a:graphicData>
            </a:graphic>
          </wp:inline>
        </w:drawing>
      </w:r>
    </w:p>
    <w:p w14:paraId="7C52A930">
      <w:pPr>
        <w:pageBreakBefore w:val="0"/>
        <w:widowControl w:val="0"/>
        <w:kinsoku/>
        <w:wordWrap/>
        <w:overflowPunct/>
        <w:topLinePunct w:val="0"/>
        <w:autoSpaceDE/>
        <w:autoSpaceDN/>
        <w:bidi w:val="0"/>
        <w:adjustRightInd/>
        <w:snapToGrid/>
        <w:spacing w:line="360" w:lineRule="auto"/>
        <w:ind w:firstLine="560" w:firstLineChars="200"/>
        <w:jc w:val="center"/>
        <w:textAlignment w:val="auto"/>
        <w:rPr>
          <w:rFonts w:hint="eastAsia"/>
          <w:highlight w:val="none"/>
          <w:lang w:val="en-US" w:eastAsia="zh-CN"/>
        </w:rPr>
      </w:pPr>
      <w:r>
        <w:rPr>
          <w:rFonts w:hint="default"/>
          <w:highlight w:val="none"/>
          <w:lang w:val="en-US" w:eastAsia="zh-CN"/>
        </w:rPr>
        <w:t>【国家级】</w:t>
      </w:r>
      <w:r>
        <w:rPr>
          <w:rFonts w:hint="eastAsia"/>
          <w:highlight w:val="none"/>
          <w:lang w:val="en-US" w:eastAsia="zh-CN"/>
        </w:rPr>
        <w:t>中国国际大学生创新大赛铜奖</w:t>
      </w:r>
    </w:p>
    <w:p w14:paraId="01190CCF">
      <w:pPr>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highlight w:val="none"/>
          <w:lang w:val="en-US" w:eastAsia="zh-CN"/>
        </w:rPr>
      </w:pPr>
    </w:p>
    <w:p w14:paraId="45FA0A7D">
      <w:pPr>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drawing>
          <wp:inline distT="0" distB="0" distL="114300" distR="114300">
            <wp:extent cx="5039995" cy="6840220"/>
            <wp:effectExtent l="0" t="0" r="1905" b="5080"/>
            <wp:docPr id="123" name="图片 123" descr="ef00e9fa9fbe9ee5898d273ab9768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ef00e9fa9fbe9ee5898d273ab97687d"/>
                    <pic:cNvPicPr>
                      <a:picLocks noChangeAspect="1"/>
                    </pic:cNvPicPr>
                  </pic:nvPicPr>
                  <pic:blipFill>
                    <a:blip r:embed="rId89"/>
                    <a:stretch>
                      <a:fillRect/>
                    </a:stretch>
                  </pic:blipFill>
                  <pic:spPr>
                    <a:xfrm>
                      <a:off x="0" y="0"/>
                      <a:ext cx="5039995" cy="6840220"/>
                    </a:xfrm>
                    <a:prstGeom prst="rect">
                      <a:avLst/>
                    </a:prstGeom>
                  </pic:spPr>
                </pic:pic>
              </a:graphicData>
            </a:graphic>
          </wp:inline>
        </w:drawing>
      </w:r>
    </w:p>
    <w:p w14:paraId="6FCE33D8">
      <w:pPr>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default"/>
          <w:highlight w:val="none"/>
          <w:lang w:val="en-US" w:eastAsia="zh-CN"/>
        </w:rPr>
      </w:pPr>
      <w:r>
        <w:rPr>
          <w:rFonts w:hint="default"/>
          <w:highlight w:val="none"/>
          <w:lang w:val="en-US" w:eastAsia="zh-CN"/>
        </w:rPr>
        <w:t>【国家级】第十七届</w:t>
      </w:r>
      <w:r>
        <w:rPr>
          <w:rFonts w:hint="eastAsia"/>
          <w:highlight w:val="none"/>
          <w:lang w:val="en-US" w:eastAsia="zh-CN"/>
        </w:rPr>
        <w:t>”</w:t>
      </w:r>
      <w:r>
        <w:rPr>
          <w:rFonts w:hint="default"/>
          <w:highlight w:val="none"/>
          <w:lang w:val="en-US" w:eastAsia="zh-CN"/>
        </w:rPr>
        <w:t>高教杯</w:t>
      </w:r>
      <w:r>
        <w:rPr>
          <w:rFonts w:hint="eastAsia"/>
          <w:highlight w:val="none"/>
          <w:lang w:val="en-US" w:eastAsia="zh-CN"/>
        </w:rPr>
        <w:t>”</w:t>
      </w:r>
      <w:r>
        <w:rPr>
          <w:rFonts w:hint="default"/>
          <w:highlight w:val="none"/>
          <w:lang w:val="en-US" w:eastAsia="zh-CN"/>
        </w:rPr>
        <w:t>全国大学生先进成图技术与产品信息建模创新大赛</w:t>
      </w:r>
    </w:p>
    <w:p w14:paraId="029A3056">
      <w:pPr>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highlight w:val="none"/>
          <w:lang w:val="en-US" w:eastAsia="zh-CN"/>
        </w:rPr>
      </w:pPr>
    </w:p>
    <w:p w14:paraId="29D390C5">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br w:type="page"/>
      </w:r>
    </w:p>
    <w:p w14:paraId="3FA5F625">
      <w:pPr>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drawing>
          <wp:inline distT="0" distB="0" distL="114300" distR="114300">
            <wp:extent cx="5039995" cy="3599815"/>
            <wp:effectExtent l="0" t="0" r="1905" b="6985"/>
            <wp:docPr id="124" name="图片 124" descr="4baeac19d8b0d286ae227c14da480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4baeac19d8b0d286ae227c14da480ad"/>
                    <pic:cNvPicPr>
                      <a:picLocks noChangeAspect="1"/>
                    </pic:cNvPicPr>
                  </pic:nvPicPr>
                  <pic:blipFill>
                    <a:blip r:embed="rId90"/>
                    <a:stretch>
                      <a:fillRect/>
                    </a:stretch>
                  </pic:blipFill>
                  <pic:spPr>
                    <a:xfrm>
                      <a:off x="0" y="0"/>
                      <a:ext cx="5039995" cy="3599815"/>
                    </a:xfrm>
                    <a:prstGeom prst="rect">
                      <a:avLst/>
                    </a:prstGeom>
                  </pic:spPr>
                </pic:pic>
              </a:graphicData>
            </a:graphic>
          </wp:inline>
        </w:drawing>
      </w:r>
    </w:p>
    <w:p w14:paraId="7A6AFF2F">
      <w:pPr>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【国家级】</w:t>
      </w:r>
      <w:r>
        <w:rPr>
          <w:rFonts w:hint="eastAsia"/>
          <w:highlight w:val="none"/>
          <w:lang w:val="en-US" w:eastAsia="zh-CN"/>
        </w:rPr>
        <w:t>”</w:t>
      </w:r>
      <w:r>
        <w:rPr>
          <w:rFonts w:hint="default"/>
          <w:highlight w:val="none"/>
          <w:lang w:val="en-US" w:eastAsia="zh-CN"/>
        </w:rPr>
        <w:t>构力杯</w:t>
      </w:r>
      <w:r>
        <w:rPr>
          <w:rFonts w:hint="eastAsia"/>
          <w:highlight w:val="none"/>
          <w:lang w:val="en-US" w:eastAsia="zh-CN"/>
        </w:rPr>
        <w:t>”</w:t>
      </w:r>
      <w:r>
        <w:rPr>
          <w:rFonts w:hint="default"/>
          <w:highlight w:val="none"/>
          <w:lang w:val="en-US" w:eastAsia="zh-CN"/>
        </w:rPr>
        <w:t>第十七届全国大学生结构设计竞赛三等奖</w:t>
      </w:r>
    </w:p>
    <w:p w14:paraId="440CFDE8">
      <w:pPr>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highlight w:val="none"/>
          <w:lang w:val="en-US" w:eastAsia="zh-CN"/>
        </w:rPr>
      </w:pPr>
    </w:p>
    <w:p w14:paraId="09C8AD51">
      <w:pPr>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p>
    <w:p w14:paraId="161E89C6">
      <w:pPr>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drawing>
          <wp:inline distT="0" distB="0" distL="114300" distR="114300">
            <wp:extent cx="5039995" cy="3599815"/>
            <wp:effectExtent l="0" t="0" r="1905" b="6985"/>
            <wp:docPr id="36" name="图片 36" descr="95c9bfd7bb8226f4bde3f206f006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95c9bfd7bb8226f4bde3f206f006443"/>
                    <pic:cNvPicPr>
                      <a:picLocks noChangeAspect="1"/>
                    </pic:cNvPicPr>
                  </pic:nvPicPr>
                  <pic:blipFill>
                    <a:blip r:embed="rId91"/>
                    <a:stretch>
                      <a:fillRect/>
                    </a:stretch>
                  </pic:blipFill>
                  <pic:spPr>
                    <a:xfrm>
                      <a:off x="0" y="0"/>
                      <a:ext cx="5039995" cy="3599815"/>
                    </a:xfrm>
                    <a:prstGeom prst="rect">
                      <a:avLst/>
                    </a:prstGeom>
                  </pic:spPr>
                </pic:pic>
              </a:graphicData>
            </a:graphic>
          </wp:inline>
        </w:drawing>
      </w:r>
    </w:p>
    <w:p w14:paraId="36703E1D">
      <w:pPr>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【国家级】国家励志奖学金</w:t>
      </w:r>
    </w:p>
    <w:p w14:paraId="66D9A01E">
      <w:pPr>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highlight w:val="none"/>
          <w:lang w:val="en-US" w:eastAsia="zh-CN"/>
        </w:rPr>
      </w:pPr>
    </w:p>
    <w:p w14:paraId="413130D3">
      <w:pPr>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drawing>
          <wp:inline distT="0" distB="0" distL="114300" distR="114300">
            <wp:extent cx="5039995" cy="6840220"/>
            <wp:effectExtent l="0" t="0" r="1905" b="5080"/>
            <wp:docPr id="32" name="图片 32" descr="微信图片_20250415093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微信图片_20250415093549"/>
                    <pic:cNvPicPr>
                      <a:picLocks noChangeAspect="1"/>
                    </pic:cNvPicPr>
                  </pic:nvPicPr>
                  <pic:blipFill>
                    <a:blip r:embed="rId92"/>
                    <a:stretch>
                      <a:fillRect/>
                    </a:stretch>
                  </pic:blipFill>
                  <pic:spPr>
                    <a:xfrm>
                      <a:off x="0" y="0"/>
                      <a:ext cx="5039995" cy="6840220"/>
                    </a:xfrm>
                    <a:prstGeom prst="rect">
                      <a:avLst/>
                    </a:prstGeom>
                  </pic:spPr>
                </pic:pic>
              </a:graphicData>
            </a:graphic>
          </wp:inline>
        </w:drawing>
      </w:r>
    </w:p>
    <w:p w14:paraId="19452C96">
      <w:pPr>
        <w:pageBreakBefore w:val="0"/>
        <w:widowControl w:val="0"/>
        <w:kinsoku/>
        <w:wordWrap/>
        <w:overflowPunct/>
        <w:topLinePunct w:val="0"/>
        <w:autoSpaceDE/>
        <w:autoSpaceDN/>
        <w:bidi w:val="0"/>
        <w:adjustRightInd/>
        <w:snapToGrid/>
        <w:spacing w:line="360" w:lineRule="auto"/>
        <w:ind w:firstLine="560" w:firstLineChars="200"/>
        <w:jc w:val="center"/>
        <w:textAlignment w:val="auto"/>
        <w:rPr>
          <w:rFonts w:hint="default"/>
          <w:highlight w:val="none"/>
          <w:lang w:val="en-US" w:eastAsia="zh-CN"/>
        </w:rPr>
      </w:pPr>
      <w:r>
        <w:rPr>
          <w:rFonts w:hint="default"/>
          <w:highlight w:val="none"/>
          <w:lang w:val="en-US" w:eastAsia="zh-CN"/>
        </w:rPr>
        <w:t>【省部级】湖南省第十一届大学生结构设计竞赛一等奖</w:t>
      </w:r>
    </w:p>
    <w:p w14:paraId="4C8AEB04">
      <w:pPr>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highlight w:val="none"/>
          <w:lang w:val="en-US" w:eastAsia="zh-CN"/>
        </w:rPr>
      </w:pPr>
    </w:p>
    <w:p w14:paraId="74FC4148">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p>
    <w:p w14:paraId="42C4E1F9">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p>
    <w:p w14:paraId="3481787E">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p>
    <w:p w14:paraId="612F7F9F">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p>
    <w:p w14:paraId="0846DF29">
      <w:pPr>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p>
    <w:p w14:paraId="3DB52D30">
      <w:pPr>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drawing>
          <wp:inline distT="0" distB="0" distL="114300" distR="114300">
            <wp:extent cx="5039995" cy="6840220"/>
            <wp:effectExtent l="0" t="0" r="1905" b="5080"/>
            <wp:docPr id="33" name="图片 33" descr="ade631bb84ca1cd9e487fd81a486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ade631bb84ca1cd9e487fd81a486c41"/>
                    <pic:cNvPicPr>
                      <a:picLocks noChangeAspect="1"/>
                    </pic:cNvPicPr>
                  </pic:nvPicPr>
                  <pic:blipFill>
                    <a:blip r:embed="rId93"/>
                    <a:stretch>
                      <a:fillRect/>
                    </a:stretch>
                  </pic:blipFill>
                  <pic:spPr>
                    <a:xfrm>
                      <a:off x="0" y="0"/>
                      <a:ext cx="5039995" cy="6840220"/>
                    </a:xfrm>
                    <a:prstGeom prst="rect">
                      <a:avLst/>
                    </a:prstGeom>
                  </pic:spPr>
                </pic:pic>
              </a:graphicData>
            </a:graphic>
          </wp:inline>
        </w:drawing>
      </w:r>
    </w:p>
    <w:p w14:paraId="38CF3633">
      <w:pPr>
        <w:pageBreakBefore w:val="0"/>
        <w:widowControl w:val="0"/>
        <w:kinsoku/>
        <w:wordWrap/>
        <w:overflowPunct/>
        <w:topLinePunct w:val="0"/>
        <w:autoSpaceDE/>
        <w:autoSpaceDN/>
        <w:bidi w:val="0"/>
        <w:adjustRightInd/>
        <w:snapToGrid/>
        <w:spacing w:line="360" w:lineRule="auto"/>
        <w:ind w:firstLine="560" w:firstLineChars="200"/>
        <w:jc w:val="center"/>
        <w:textAlignment w:val="auto"/>
        <w:rPr>
          <w:rFonts w:hint="default"/>
          <w:highlight w:val="none"/>
          <w:lang w:val="en-US" w:eastAsia="zh-CN"/>
        </w:rPr>
      </w:pPr>
      <w:r>
        <w:rPr>
          <w:rFonts w:hint="default"/>
          <w:highlight w:val="none"/>
          <w:lang w:val="en-US" w:eastAsia="zh-CN"/>
        </w:rPr>
        <w:t>【省部级】第四十届全国中学生物理竞赛一等奖</w:t>
      </w:r>
    </w:p>
    <w:p w14:paraId="545AC6A8">
      <w:pPr>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highlight w:val="none"/>
          <w:lang w:val="en-US" w:eastAsia="zh-CN"/>
        </w:rPr>
      </w:pPr>
    </w:p>
    <w:p w14:paraId="1ADAEDA5">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p>
    <w:p w14:paraId="5F8719F3">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p>
    <w:p w14:paraId="5220FF76">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p>
    <w:p w14:paraId="3B5D026E">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p>
    <w:p w14:paraId="32CB81C8">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p>
    <w:p w14:paraId="4DF139F2">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br w:type="page"/>
      </w:r>
    </w:p>
    <w:p w14:paraId="58E3DB24">
      <w:pPr>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drawing>
          <wp:inline distT="0" distB="0" distL="114300" distR="114300">
            <wp:extent cx="5039995" cy="3599815"/>
            <wp:effectExtent l="0" t="0" r="1905" b="6985"/>
            <wp:docPr id="34" name="图片 34" descr="6a362a5a86ca26c66e14b518f54e1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6a362a5a86ca26c66e14b518f54e1b8"/>
                    <pic:cNvPicPr>
                      <a:picLocks noChangeAspect="1"/>
                    </pic:cNvPicPr>
                  </pic:nvPicPr>
                  <pic:blipFill>
                    <a:blip r:embed="rId94"/>
                    <a:stretch>
                      <a:fillRect/>
                    </a:stretch>
                  </pic:blipFill>
                  <pic:spPr>
                    <a:xfrm>
                      <a:off x="0" y="0"/>
                      <a:ext cx="5039995" cy="3599815"/>
                    </a:xfrm>
                    <a:prstGeom prst="rect">
                      <a:avLst/>
                    </a:prstGeom>
                  </pic:spPr>
                </pic:pic>
              </a:graphicData>
            </a:graphic>
          </wp:inline>
        </w:drawing>
      </w:r>
    </w:p>
    <w:p w14:paraId="51A0D359">
      <w:pPr>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default"/>
          <w:highlight w:val="none"/>
          <w:lang w:val="en-US" w:eastAsia="zh-CN"/>
        </w:rPr>
      </w:pPr>
      <w:r>
        <w:rPr>
          <w:rFonts w:hint="default"/>
          <w:highlight w:val="none"/>
          <w:lang w:val="en-US" w:eastAsia="zh-CN"/>
        </w:rPr>
        <w:t>【省部级】第十一届</w:t>
      </w:r>
      <w:r>
        <w:rPr>
          <w:rFonts w:hint="eastAsia"/>
          <w:highlight w:val="none"/>
          <w:lang w:val="en-US" w:eastAsia="zh-CN"/>
        </w:rPr>
        <w:t>”</w:t>
      </w:r>
      <w:r>
        <w:rPr>
          <w:rFonts w:hint="default"/>
          <w:highlight w:val="none"/>
          <w:lang w:val="en-US" w:eastAsia="zh-CN"/>
        </w:rPr>
        <w:t>挑战杯</w:t>
      </w:r>
      <w:r>
        <w:rPr>
          <w:rFonts w:hint="eastAsia"/>
          <w:highlight w:val="none"/>
          <w:lang w:val="en-US" w:eastAsia="zh-CN"/>
        </w:rPr>
        <w:t>”</w:t>
      </w:r>
      <w:r>
        <w:rPr>
          <w:rFonts w:hint="default"/>
          <w:highlight w:val="none"/>
          <w:lang w:val="en-US" w:eastAsia="zh-CN"/>
        </w:rPr>
        <w:t>湖南省大学生创业计划竞赛优秀指导教师</w:t>
      </w:r>
    </w:p>
    <w:p w14:paraId="2D0B1068">
      <w:pPr>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highlight w:val="none"/>
          <w:lang w:val="en-US" w:eastAsia="zh-CN"/>
        </w:rPr>
      </w:pPr>
    </w:p>
    <w:p w14:paraId="46C33EB6">
      <w:pPr>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drawing>
          <wp:inline distT="0" distB="0" distL="114300" distR="114300">
            <wp:extent cx="3599815" cy="5039995"/>
            <wp:effectExtent l="0" t="0" r="1905" b="6985"/>
            <wp:docPr id="37" name="图片 37" descr="1dcbbdd8d0160d5149ce72d949abb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1dcbbdd8d0160d5149ce72d949abb95"/>
                    <pic:cNvPicPr>
                      <a:picLocks noChangeAspect="1"/>
                    </pic:cNvPicPr>
                  </pic:nvPicPr>
                  <pic:blipFill>
                    <a:blip r:embed="rId95"/>
                    <a:stretch>
                      <a:fillRect/>
                    </a:stretch>
                  </pic:blipFill>
                  <pic:spPr>
                    <a:xfrm rot="5400000">
                      <a:off x="0" y="0"/>
                      <a:ext cx="3599815" cy="5039995"/>
                    </a:xfrm>
                    <a:prstGeom prst="rect">
                      <a:avLst/>
                    </a:prstGeom>
                  </pic:spPr>
                </pic:pic>
              </a:graphicData>
            </a:graphic>
          </wp:inline>
        </w:drawing>
      </w:r>
    </w:p>
    <w:p w14:paraId="3958DC4E">
      <w:pPr>
        <w:pageBreakBefore w:val="0"/>
        <w:widowControl w:val="0"/>
        <w:kinsoku/>
        <w:wordWrap/>
        <w:overflowPunct/>
        <w:topLinePunct w:val="0"/>
        <w:autoSpaceDE/>
        <w:autoSpaceDN/>
        <w:bidi w:val="0"/>
        <w:adjustRightInd/>
        <w:snapToGrid/>
        <w:spacing w:line="360" w:lineRule="auto"/>
        <w:ind w:firstLine="560" w:firstLineChars="200"/>
        <w:jc w:val="center"/>
        <w:textAlignment w:val="auto"/>
        <w:rPr>
          <w:rFonts w:hint="default"/>
          <w:highlight w:val="none"/>
          <w:lang w:val="en-US" w:eastAsia="zh-CN"/>
        </w:rPr>
      </w:pPr>
      <w:r>
        <w:rPr>
          <w:rFonts w:hint="default"/>
          <w:highlight w:val="none"/>
          <w:lang w:val="en-US" w:eastAsia="zh-CN"/>
        </w:rPr>
        <w:t>【省部级】2024年湖南省第九届大学生企业模拟经营竞赛一等奖</w:t>
      </w:r>
    </w:p>
    <w:p w14:paraId="54BB2F25">
      <w:pPr>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highlight w:val="none"/>
          <w:lang w:val="en-US" w:eastAsia="zh-CN"/>
        </w:rPr>
      </w:pPr>
    </w:p>
    <w:p w14:paraId="44061DB8">
      <w:pPr>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br w:type="page"/>
      </w:r>
    </w:p>
    <w:p w14:paraId="2EDFB9A2">
      <w:pPr>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drawing>
          <wp:inline distT="0" distB="0" distL="114300" distR="114300">
            <wp:extent cx="5039995" cy="3599815"/>
            <wp:effectExtent l="0" t="0" r="1905" b="6985"/>
            <wp:docPr id="38" name="图片 38" descr="C:\Users\20985\Desktop\微信图片_20250415202226.jpg微信图片_20250415202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C:\Users\20985\Desktop\微信图片_20250415202226.jpg微信图片_20250415202226"/>
                    <pic:cNvPicPr>
                      <a:picLocks noChangeAspect="1"/>
                    </pic:cNvPicPr>
                  </pic:nvPicPr>
                  <pic:blipFill>
                    <a:blip r:embed="rId96"/>
                    <a:stretch>
                      <a:fillRect/>
                    </a:stretch>
                  </pic:blipFill>
                  <pic:spPr>
                    <a:xfrm>
                      <a:off x="0" y="0"/>
                      <a:ext cx="5039995" cy="3599815"/>
                    </a:xfrm>
                    <a:prstGeom prst="rect">
                      <a:avLst/>
                    </a:prstGeom>
                  </pic:spPr>
                </pic:pic>
              </a:graphicData>
            </a:graphic>
          </wp:inline>
        </w:drawing>
      </w:r>
    </w:p>
    <w:p w14:paraId="3AB9CA23">
      <w:pPr>
        <w:pageBreakBefore w:val="0"/>
        <w:widowControl w:val="0"/>
        <w:kinsoku/>
        <w:wordWrap/>
        <w:overflowPunct/>
        <w:topLinePunct w:val="0"/>
        <w:autoSpaceDE/>
        <w:autoSpaceDN/>
        <w:bidi w:val="0"/>
        <w:adjustRightInd/>
        <w:snapToGrid/>
        <w:spacing w:line="360" w:lineRule="auto"/>
        <w:ind w:firstLine="560" w:firstLineChars="200"/>
        <w:jc w:val="center"/>
        <w:textAlignment w:val="auto"/>
        <w:rPr>
          <w:rFonts w:hint="default"/>
          <w:highlight w:val="none"/>
          <w:lang w:val="en-US" w:eastAsia="zh-CN"/>
        </w:rPr>
      </w:pPr>
      <w:r>
        <w:rPr>
          <w:rFonts w:hint="default"/>
          <w:highlight w:val="none"/>
          <w:lang w:val="en-US" w:eastAsia="zh-CN"/>
        </w:rPr>
        <w:t>【省部级】湖南省首届大学生网络文化节微视频作品三等奖</w:t>
      </w:r>
    </w:p>
    <w:p w14:paraId="6DFE2FBC">
      <w:pPr>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highlight w:val="none"/>
          <w:lang w:val="en-US" w:eastAsia="zh-CN"/>
        </w:rPr>
      </w:pPr>
    </w:p>
    <w:p w14:paraId="63659320">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p>
    <w:p w14:paraId="5E7D7BE6">
      <w:pPr>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drawing>
          <wp:inline distT="0" distB="0" distL="114300" distR="114300">
            <wp:extent cx="5039995" cy="3599815"/>
            <wp:effectExtent l="0" t="0" r="1905" b="6985"/>
            <wp:docPr id="39" name="图片 39" descr="e8ff45d6b29651f97a4df5017ec8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e8ff45d6b29651f97a4df5017ec8059"/>
                    <pic:cNvPicPr>
                      <a:picLocks noChangeAspect="1"/>
                    </pic:cNvPicPr>
                  </pic:nvPicPr>
                  <pic:blipFill>
                    <a:blip r:embed="rId97"/>
                    <a:stretch>
                      <a:fillRect/>
                    </a:stretch>
                  </pic:blipFill>
                  <pic:spPr>
                    <a:xfrm>
                      <a:off x="0" y="0"/>
                      <a:ext cx="5039995" cy="3599815"/>
                    </a:xfrm>
                    <a:prstGeom prst="rect">
                      <a:avLst/>
                    </a:prstGeom>
                  </pic:spPr>
                </pic:pic>
              </a:graphicData>
            </a:graphic>
          </wp:inline>
        </w:drawing>
      </w:r>
    </w:p>
    <w:p w14:paraId="6C6894A9">
      <w:pPr>
        <w:pageBreakBefore w:val="0"/>
        <w:widowControl w:val="0"/>
        <w:kinsoku/>
        <w:wordWrap/>
        <w:overflowPunct/>
        <w:topLinePunct w:val="0"/>
        <w:autoSpaceDE/>
        <w:autoSpaceDN/>
        <w:bidi w:val="0"/>
        <w:adjustRightInd/>
        <w:snapToGrid/>
        <w:spacing w:line="360" w:lineRule="auto"/>
        <w:ind w:firstLine="560" w:firstLineChars="200"/>
        <w:jc w:val="center"/>
        <w:textAlignment w:val="auto"/>
        <w:rPr>
          <w:rFonts w:hint="default"/>
          <w:highlight w:val="none"/>
          <w:lang w:val="en-US" w:eastAsia="zh-CN"/>
        </w:rPr>
      </w:pPr>
      <w:r>
        <w:rPr>
          <w:rFonts w:hint="default"/>
          <w:highlight w:val="none"/>
          <w:lang w:val="en-US" w:eastAsia="zh-CN"/>
        </w:rPr>
        <w:t>【市校级】一等奖学金</w:t>
      </w:r>
    </w:p>
    <w:p w14:paraId="5FE03DCC">
      <w:pPr>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highlight w:val="none"/>
          <w:lang w:val="en-US" w:eastAsia="zh-CN"/>
        </w:rPr>
      </w:pPr>
    </w:p>
    <w:p w14:paraId="6D510717">
      <w:pPr>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p>
    <w:p w14:paraId="7F17B2D7">
      <w:pPr>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drawing>
          <wp:inline distT="0" distB="0" distL="114300" distR="114300">
            <wp:extent cx="5039995" cy="3599815"/>
            <wp:effectExtent l="0" t="0" r="1905" b="6985"/>
            <wp:docPr id="41" name="图片 41" descr="微信图片_20250415201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微信图片_20250415201705"/>
                    <pic:cNvPicPr>
                      <a:picLocks noChangeAspect="1"/>
                    </pic:cNvPicPr>
                  </pic:nvPicPr>
                  <pic:blipFill>
                    <a:blip r:embed="rId98"/>
                    <a:stretch>
                      <a:fillRect/>
                    </a:stretch>
                  </pic:blipFill>
                  <pic:spPr>
                    <a:xfrm>
                      <a:off x="0" y="0"/>
                      <a:ext cx="5039995" cy="3599815"/>
                    </a:xfrm>
                    <a:prstGeom prst="rect">
                      <a:avLst/>
                    </a:prstGeom>
                  </pic:spPr>
                </pic:pic>
              </a:graphicData>
            </a:graphic>
          </wp:inline>
        </w:drawing>
      </w:r>
    </w:p>
    <w:p w14:paraId="65D76841">
      <w:pPr>
        <w:pageBreakBefore w:val="0"/>
        <w:widowControl w:val="0"/>
        <w:kinsoku/>
        <w:wordWrap/>
        <w:overflowPunct/>
        <w:topLinePunct w:val="0"/>
        <w:autoSpaceDE/>
        <w:autoSpaceDN/>
        <w:bidi w:val="0"/>
        <w:adjustRightInd/>
        <w:snapToGrid/>
        <w:spacing w:line="360" w:lineRule="auto"/>
        <w:ind w:firstLine="560" w:firstLineChars="200"/>
        <w:jc w:val="center"/>
        <w:textAlignment w:val="auto"/>
        <w:rPr>
          <w:rFonts w:hint="default"/>
          <w:highlight w:val="none"/>
          <w:lang w:val="en-US" w:eastAsia="zh-CN"/>
        </w:rPr>
      </w:pPr>
      <w:r>
        <w:rPr>
          <w:rFonts w:hint="default"/>
          <w:highlight w:val="none"/>
          <w:lang w:val="en-US" w:eastAsia="zh-CN"/>
        </w:rPr>
        <w:t>【市校级】衡阳市优秀共青团员</w:t>
      </w:r>
    </w:p>
    <w:p w14:paraId="05AB3CFF">
      <w:pPr>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highlight w:val="none"/>
          <w:lang w:val="en-US" w:eastAsia="zh-CN"/>
        </w:rPr>
      </w:pPr>
    </w:p>
    <w:p w14:paraId="7BE7FB90">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p>
    <w:p w14:paraId="1EB234A9">
      <w:pPr>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drawing>
          <wp:inline distT="0" distB="0" distL="114300" distR="114300">
            <wp:extent cx="5039995" cy="3599815"/>
            <wp:effectExtent l="0" t="0" r="1905" b="6985"/>
            <wp:docPr id="42" name="图片 42" descr="aa10af62b71ce1b70b3fe4159273e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aa10af62b71ce1b70b3fe4159273e80"/>
                    <pic:cNvPicPr>
                      <a:picLocks noChangeAspect="1"/>
                    </pic:cNvPicPr>
                  </pic:nvPicPr>
                  <pic:blipFill>
                    <a:blip r:embed="rId99"/>
                    <a:stretch>
                      <a:fillRect/>
                    </a:stretch>
                  </pic:blipFill>
                  <pic:spPr>
                    <a:xfrm>
                      <a:off x="0" y="0"/>
                      <a:ext cx="5039995" cy="3599815"/>
                    </a:xfrm>
                    <a:prstGeom prst="rect">
                      <a:avLst/>
                    </a:prstGeom>
                  </pic:spPr>
                </pic:pic>
              </a:graphicData>
            </a:graphic>
          </wp:inline>
        </w:drawing>
      </w:r>
    </w:p>
    <w:p w14:paraId="35155779">
      <w:pPr>
        <w:pageBreakBefore w:val="0"/>
        <w:widowControl w:val="0"/>
        <w:kinsoku/>
        <w:wordWrap/>
        <w:overflowPunct/>
        <w:topLinePunct w:val="0"/>
        <w:autoSpaceDE/>
        <w:autoSpaceDN/>
        <w:bidi w:val="0"/>
        <w:adjustRightInd/>
        <w:snapToGrid/>
        <w:spacing w:line="360" w:lineRule="auto"/>
        <w:ind w:firstLine="560" w:firstLineChars="200"/>
        <w:jc w:val="center"/>
        <w:textAlignment w:val="auto"/>
        <w:rPr>
          <w:rFonts w:hint="default"/>
          <w:highlight w:val="none"/>
          <w:lang w:val="en-US" w:eastAsia="zh-CN"/>
        </w:rPr>
      </w:pPr>
      <w:r>
        <w:rPr>
          <w:rFonts w:hint="default"/>
          <w:highlight w:val="none"/>
          <w:lang w:val="en-US" w:eastAsia="zh-CN"/>
        </w:rPr>
        <w:t>【市校级】就创服务中心部长聘书</w:t>
      </w:r>
    </w:p>
    <w:p w14:paraId="5B40DC05">
      <w:pPr>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highlight w:val="none"/>
          <w:lang w:val="en-US" w:eastAsia="zh-CN"/>
        </w:rPr>
      </w:pPr>
    </w:p>
    <w:p w14:paraId="36C49277">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textAlignment w:val="auto"/>
        <w:rPr>
          <w:rFonts w:hint="default" w:ascii="仿宋" w:hAnsi="仿宋" w:eastAsia="仿宋" w:cs="仿宋"/>
          <w:sz w:val="24"/>
          <w:szCs w:val="24"/>
          <w:highlight w:val="none"/>
          <w:lang w:val="en-US" w:eastAsia="zh-CN"/>
        </w:rPr>
      </w:pPr>
    </w:p>
    <w:p w14:paraId="4343A886">
      <w:pPr>
        <w:spacing w:line="360" w:lineRule="auto"/>
        <w:rPr>
          <w:rFonts w:hint="eastAsia"/>
          <w:highlight w:val="none"/>
          <w:lang w:val="en-US" w:eastAsia="zh-CN"/>
        </w:rPr>
      </w:pPr>
      <w:r>
        <w:rPr>
          <w:rFonts w:hint="eastAsia"/>
          <w:highlight w:val="none"/>
          <w:lang w:val="en-US" w:eastAsia="zh-CN"/>
        </w:rPr>
        <w:br w:type="page"/>
      </w:r>
    </w:p>
    <w:p w14:paraId="4B8CBE7C">
      <w:pPr>
        <w:pStyle w:val="2"/>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highlight w:val="none"/>
          <w:lang w:val="en-US" w:eastAsia="zh-CN"/>
        </w:rPr>
      </w:pPr>
      <w:bookmarkStart w:id="183" w:name="_Toc10313"/>
      <w:bookmarkStart w:id="184" w:name="_Toc19050"/>
      <w:r>
        <w:rPr>
          <w:rFonts w:hint="eastAsia"/>
          <w:highlight w:val="none"/>
          <w:lang w:val="en-US" w:eastAsia="zh-CN"/>
        </w:rPr>
        <w:t>第十一章 风险分析</w:t>
      </w:r>
      <w:bookmarkEnd w:id="183"/>
      <w:bookmarkEnd w:id="184"/>
    </w:p>
    <w:p w14:paraId="666E642A">
      <w:pPr>
        <w:pStyle w:val="3"/>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bookmarkStart w:id="185" w:name="_Toc6779"/>
      <w:bookmarkStart w:id="186" w:name="_Toc28428"/>
      <w:r>
        <w:rPr>
          <w:rFonts w:hint="eastAsia"/>
          <w:highlight w:val="none"/>
          <w:lang w:val="en-US" w:eastAsia="zh-CN"/>
        </w:rPr>
        <w:t>11.1项目存在的风险</w:t>
      </w:r>
      <w:bookmarkEnd w:id="185"/>
      <w:bookmarkEnd w:id="186"/>
    </w:p>
    <w:p w14:paraId="4BBA1C09">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ascii="Times New Roman" w:hAnsi="Times New Roman" w:eastAsia="楷体" w:cs="仿宋"/>
          <w:sz w:val="28"/>
          <w:szCs w:val="24"/>
          <w:highlight w:val="none"/>
          <w:lang w:val="en-US" w:eastAsia="zh-CN"/>
        </w:rPr>
      </w:pPr>
      <w:r>
        <w:rPr>
          <w:rFonts w:hint="eastAsia" w:ascii="Times New Roman" w:hAnsi="Times New Roman" w:eastAsia="楷体" w:cs="仿宋"/>
          <w:sz w:val="28"/>
          <w:szCs w:val="24"/>
          <w:highlight w:val="none"/>
          <w:lang w:val="en-US" w:eastAsia="zh-CN"/>
        </w:rPr>
        <w:t>（1）技术仿制风险</w:t>
      </w:r>
    </w:p>
    <w:p w14:paraId="1B9AB211">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ascii="Times New Roman" w:hAnsi="Times New Roman" w:eastAsia="楷体" w:cs="仿宋"/>
          <w:sz w:val="28"/>
          <w:szCs w:val="24"/>
          <w:highlight w:val="none"/>
          <w:lang w:val="en-US" w:eastAsia="zh-CN"/>
        </w:rPr>
      </w:pPr>
      <w:r>
        <w:rPr>
          <w:rFonts w:hint="eastAsia" w:ascii="Times New Roman" w:hAnsi="Times New Roman" w:eastAsia="楷体" w:cs="仿宋"/>
          <w:sz w:val="28"/>
          <w:szCs w:val="24"/>
          <w:highlight w:val="none"/>
          <w:lang w:val="en-US" w:eastAsia="zh-CN"/>
        </w:rPr>
        <w:t>团队相关技术获得了国家专利授权，但不法企业可以通过公开渠道获取技术信息进而进行仿制，产品的专利权存在被盗用的风险。仿制产品若以低价冲击市场，将挤压项目利润空间。</w:t>
      </w:r>
    </w:p>
    <w:p w14:paraId="4BDA8D88">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ascii="Times New Roman" w:hAnsi="Times New Roman" w:eastAsia="楷体" w:cs="仿宋"/>
          <w:sz w:val="28"/>
          <w:szCs w:val="24"/>
          <w:highlight w:val="none"/>
          <w:lang w:val="en-US" w:eastAsia="zh-CN"/>
        </w:rPr>
      </w:pPr>
      <w:r>
        <w:rPr>
          <w:rFonts w:hint="eastAsia" w:ascii="Times New Roman" w:hAnsi="Times New Roman" w:eastAsia="楷体" w:cs="仿宋"/>
          <w:sz w:val="28"/>
          <w:szCs w:val="24"/>
          <w:highlight w:val="none"/>
          <w:lang w:val="en-US" w:eastAsia="zh-CN"/>
        </w:rPr>
        <w:t>（2）生产依赖风险</w:t>
      </w:r>
    </w:p>
    <w:p w14:paraId="4D8C9596">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ascii="Times New Roman" w:hAnsi="Times New Roman" w:eastAsia="楷体" w:cs="仿宋"/>
          <w:sz w:val="28"/>
          <w:szCs w:val="24"/>
          <w:highlight w:val="none"/>
          <w:lang w:val="en-US" w:eastAsia="zh-CN"/>
        </w:rPr>
      </w:pPr>
      <w:r>
        <w:rPr>
          <w:rFonts w:hint="eastAsia" w:ascii="Times New Roman" w:hAnsi="Times New Roman" w:eastAsia="楷体" w:cs="仿宋"/>
          <w:sz w:val="28"/>
          <w:szCs w:val="24"/>
          <w:highlight w:val="none"/>
          <w:lang w:val="en-US" w:eastAsia="zh-CN"/>
        </w:rPr>
        <w:t>项目采用代工模式，生产质量高度依赖合作厂商的品控能力，且存在无法按照工期提供产品的风险。若代工厂产能不足或工艺不达标，可能导致产品良率下降、交货延迟，影响政府集采订单履约能力。</w:t>
      </w:r>
    </w:p>
    <w:p w14:paraId="2CC51517">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ascii="Times New Roman" w:hAnsi="Times New Roman" w:eastAsia="楷体" w:cs="仿宋"/>
          <w:sz w:val="28"/>
          <w:szCs w:val="24"/>
          <w:highlight w:val="none"/>
          <w:lang w:val="en-US" w:eastAsia="zh-CN"/>
        </w:rPr>
      </w:pPr>
      <w:r>
        <w:rPr>
          <w:rFonts w:hint="eastAsia" w:ascii="Times New Roman" w:hAnsi="Times New Roman" w:eastAsia="楷体" w:cs="仿宋"/>
          <w:sz w:val="28"/>
          <w:szCs w:val="24"/>
          <w:highlight w:val="none"/>
          <w:lang w:val="en-US" w:eastAsia="zh-CN"/>
        </w:rPr>
        <w:t>（3）政策执行滞后</w:t>
      </w:r>
    </w:p>
    <w:p w14:paraId="27DFF496">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ascii="Times New Roman" w:hAnsi="Times New Roman" w:eastAsia="楷体" w:cs="仿宋"/>
          <w:sz w:val="28"/>
          <w:szCs w:val="24"/>
          <w:highlight w:val="none"/>
          <w:lang w:val="en-US" w:eastAsia="zh-CN"/>
        </w:rPr>
      </w:pPr>
      <w:r>
        <w:rPr>
          <w:rFonts w:hint="eastAsia" w:ascii="Times New Roman" w:hAnsi="Times New Roman" w:eastAsia="楷体" w:cs="仿宋"/>
          <w:sz w:val="28"/>
          <w:szCs w:val="24"/>
          <w:highlight w:val="none"/>
          <w:lang w:val="en-US" w:eastAsia="zh-CN"/>
        </w:rPr>
        <w:t>项目营收高度依赖政府抗震改造补贴，但部分县域因财政压力或审批流程冗长，导致补贴延迟发放，农户自筹资金压力骤增，订单转化率下降35%。同时，当前市场集中于西南高烈度区，尚未形成全国性布局，区域需求易受地震活跃周期影响。</w:t>
      </w:r>
    </w:p>
    <w:p w14:paraId="45A77185">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ascii="Times New Roman" w:hAnsi="Times New Roman" w:eastAsia="楷体" w:cs="仿宋"/>
          <w:sz w:val="28"/>
          <w:szCs w:val="24"/>
          <w:highlight w:val="none"/>
          <w:lang w:val="en-US" w:eastAsia="zh-CN"/>
        </w:rPr>
      </w:pPr>
      <w:r>
        <w:rPr>
          <w:rFonts w:hint="eastAsia" w:ascii="Times New Roman" w:hAnsi="Times New Roman" w:eastAsia="楷体" w:cs="仿宋"/>
          <w:sz w:val="28"/>
          <w:szCs w:val="24"/>
          <w:highlight w:val="none"/>
          <w:lang w:val="en-US" w:eastAsia="zh-CN"/>
        </w:rPr>
        <w:t>（4）村民认知壁垒</w:t>
      </w:r>
    </w:p>
    <w:p w14:paraId="010CC5DB">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ascii="Times New Roman" w:hAnsi="Times New Roman" w:eastAsia="楷体" w:cs="仿宋"/>
          <w:sz w:val="28"/>
          <w:szCs w:val="24"/>
          <w:highlight w:val="none"/>
          <w:lang w:val="en-US" w:eastAsia="zh-CN"/>
        </w:rPr>
      </w:pPr>
      <w:r>
        <w:rPr>
          <w:rFonts w:hint="eastAsia" w:ascii="Times New Roman" w:hAnsi="Times New Roman" w:eastAsia="楷体" w:cs="仿宋"/>
          <w:sz w:val="28"/>
          <w:szCs w:val="24"/>
          <w:highlight w:val="none"/>
          <w:lang w:val="en-US" w:eastAsia="zh-CN"/>
        </w:rPr>
        <w:t>村镇居民对隔震技术认知不足，63%的农户认为</w:t>
      </w:r>
      <w:r>
        <w:rPr>
          <w:rFonts w:hint="eastAsia" w:cs="仿宋"/>
          <w:sz w:val="28"/>
          <w:szCs w:val="24"/>
          <w:highlight w:val="none"/>
          <w:lang w:val="en-US" w:eastAsia="zh-CN"/>
        </w:rPr>
        <w:t>”</w:t>
      </w:r>
      <w:r>
        <w:rPr>
          <w:rFonts w:hint="eastAsia" w:ascii="Times New Roman" w:hAnsi="Times New Roman" w:eastAsia="楷体" w:cs="仿宋"/>
          <w:sz w:val="28"/>
          <w:szCs w:val="24"/>
          <w:highlight w:val="none"/>
          <w:lang w:val="en-US" w:eastAsia="zh-CN"/>
        </w:rPr>
        <w:t>传统砖石结构更牢固</w:t>
      </w:r>
      <w:r>
        <w:rPr>
          <w:rFonts w:hint="eastAsia" w:cs="仿宋"/>
          <w:sz w:val="28"/>
          <w:szCs w:val="24"/>
          <w:highlight w:val="none"/>
          <w:lang w:val="en-US" w:eastAsia="zh-CN"/>
        </w:rPr>
        <w:t>”</w:t>
      </w:r>
      <w:r>
        <w:rPr>
          <w:rFonts w:hint="eastAsia" w:ascii="Times New Roman" w:hAnsi="Times New Roman" w:eastAsia="楷体" w:cs="仿宋"/>
          <w:sz w:val="28"/>
          <w:szCs w:val="24"/>
          <w:highlight w:val="none"/>
          <w:lang w:val="en-US" w:eastAsia="zh-CN"/>
        </w:rPr>
        <w:t>，且对新技术成本与长期效益存疑。此外，部分偏远地区施工队缺乏标准化安装培训，可能因操作不当影响隔震效果，加剧村民信任危机。</w:t>
      </w:r>
    </w:p>
    <w:p w14:paraId="184BFD5A">
      <w:pPr>
        <w:pStyle w:val="3"/>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bookmarkStart w:id="187" w:name="_Toc16265"/>
      <w:bookmarkStart w:id="188" w:name="_Toc77"/>
      <w:r>
        <w:rPr>
          <w:rFonts w:hint="eastAsia"/>
          <w:highlight w:val="none"/>
          <w:lang w:val="en-US" w:eastAsia="zh-CN"/>
        </w:rPr>
        <w:t>11.2风险防控对策</w:t>
      </w:r>
      <w:bookmarkEnd w:id="187"/>
      <w:bookmarkEnd w:id="188"/>
    </w:p>
    <w:p w14:paraId="21B076A1">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ascii="Times New Roman" w:hAnsi="Times New Roman" w:eastAsia="楷体" w:cs="仿宋"/>
          <w:sz w:val="28"/>
          <w:szCs w:val="24"/>
          <w:highlight w:val="none"/>
          <w:lang w:val="en-US" w:eastAsia="zh-CN"/>
        </w:rPr>
      </w:pPr>
      <w:r>
        <w:rPr>
          <w:rFonts w:hint="eastAsia" w:ascii="Times New Roman" w:hAnsi="Times New Roman" w:eastAsia="楷体" w:cs="仿宋"/>
          <w:sz w:val="28"/>
          <w:szCs w:val="24"/>
          <w:highlight w:val="none"/>
          <w:lang w:val="en-US" w:eastAsia="zh-CN"/>
        </w:rPr>
        <w:t>（1）技术保护强化</w:t>
      </w:r>
    </w:p>
    <w:p w14:paraId="62134904">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ascii="Times New Roman" w:hAnsi="Times New Roman" w:eastAsia="楷体" w:cs="仿宋"/>
          <w:sz w:val="28"/>
          <w:szCs w:val="24"/>
          <w:highlight w:val="none"/>
          <w:lang w:val="en-US" w:eastAsia="zh-CN"/>
        </w:rPr>
      </w:pPr>
      <w:r>
        <w:rPr>
          <w:rFonts w:hint="eastAsia" w:ascii="Times New Roman" w:hAnsi="Times New Roman" w:eastAsia="楷体" w:cs="仿宋"/>
          <w:sz w:val="28"/>
          <w:szCs w:val="24"/>
          <w:highlight w:val="none"/>
          <w:lang w:val="en-US" w:eastAsia="zh-CN"/>
        </w:rPr>
        <w:t>在加强知识产权保护的过程中，随着国家相关法律法规的持续健全和公众产权保护观念的逐步增强，团队创新成果的知识产权维护必将获得更为坚实的制度支撑和社会基础。同时，借助权威媒体传播，在扩大社会认知度的过程中凸显项目的公益价值与社会效益，通过法律路径明晰产权边界、伦理叙事强化公众认同、情感共鸣深化品牌信任，构建知识产权的多维防护体系。</w:t>
      </w:r>
    </w:p>
    <w:p w14:paraId="3CCEC002">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ascii="Times New Roman" w:hAnsi="Times New Roman" w:eastAsia="楷体" w:cs="仿宋"/>
          <w:sz w:val="28"/>
          <w:szCs w:val="24"/>
          <w:highlight w:val="none"/>
          <w:lang w:val="en-US" w:eastAsia="zh-CN"/>
        </w:rPr>
      </w:pPr>
      <w:r>
        <w:rPr>
          <w:rFonts w:hint="eastAsia" w:ascii="Times New Roman" w:hAnsi="Times New Roman" w:eastAsia="楷体" w:cs="仿宋"/>
          <w:sz w:val="28"/>
          <w:szCs w:val="24"/>
          <w:highlight w:val="none"/>
          <w:lang w:val="en-US" w:eastAsia="zh-CN"/>
        </w:rPr>
        <w:t>（2）供应链韧性提升</w:t>
      </w:r>
    </w:p>
    <w:p w14:paraId="1272BD0C">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ascii="Times New Roman" w:hAnsi="Times New Roman" w:eastAsia="楷体" w:cs="仿宋"/>
          <w:sz w:val="28"/>
          <w:szCs w:val="24"/>
          <w:highlight w:val="none"/>
          <w:lang w:val="en-US" w:eastAsia="zh-CN"/>
        </w:rPr>
      </w:pPr>
      <w:r>
        <w:rPr>
          <w:rFonts w:hint="eastAsia" w:ascii="Times New Roman" w:hAnsi="Times New Roman" w:eastAsia="楷体" w:cs="仿宋"/>
          <w:sz w:val="28"/>
          <w:szCs w:val="24"/>
          <w:highlight w:val="none"/>
          <w:lang w:val="en-US" w:eastAsia="zh-CN"/>
        </w:rPr>
        <w:t>在产学研深度融合框架下，团队将着力构建技术转化协作机制，通过建立专利池共享模式激发产业链主体参与动能，加速村镇隔震技术的市场化渗透。同步推进标准化协议框架建设，在权责划分、履约监管、利益分配等维度形成闭环管理机制，通过法律契约固化技术成果转化路径，确保创新要素在合规生态中实现价值流转。</w:t>
      </w:r>
    </w:p>
    <w:p w14:paraId="1620A168">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ascii="Times New Roman" w:hAnsi="Times New Roman" w:eastAsia="楷体" w:cs="仿宋"/>
          <w:sz w:val="28"/>
          <w:szCs w:val="24"/>
          <w:highlight w:val="none"/>
          <w:lang w:val="en-US" w:eastAsia="zh-CN"/>
        </w:rPr>
      </w:pPr>
      <w:r>
        <w:rPr>
          <w:rFonts w:hint="eastAsia" w:ascii="Times New Roman" w:hAnsi="Times New Roman" w:eastAsia="楷体" w:cs="仿宋"/>
          <w:sz w:val="28"/>
          <w:szCs w:val="24"/>
          <w:highlight w:val="none"/>
          <w:lang w:val="en-US" w:eastAsia="zh-CN"/>
        </w:rPr>
        <w:t>（3）政策对接优化</w:t>
      </w:r>
    </w:p>
    <w:p w14:paraId="720DC7BC">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ascii="Times New Roman" w:hAnsi="Times New Roman" w:eastAsia="楷体" w:cs="仿宋"/>
          <w:sz w:val="28"/>
          <w:szCs w:val="24"/>
          <w:highlight w:val="none"/>
          <w:lang w:val="en-US" w:eastAsia="zh-CN"/>
        </w:rPr>
      </w:pPr>
      <w:r>
        <w:rPr>
          <w:rFonts w:hint="eastAsia" w:ascii="Times New Roman" w:hAnsi="Times New Roman" w:eastAsia="楷体" w:cs="仿宋"/>
          <w:sz w:val="28"/>
          <w:szCs w:val="24"/>
          <w:highlight w:val="none"/>
          <w:lang w:val="en-US" w:eastAsia="zh-CN"/>
        </w:rPr>
        <w:t>构建</w:t>
      </w:r>
      <w:r>
        <w:rPr>
          <w:rFonts w:hint="eastAsia" w:cs="仿宋"/>
          <w:sz w:val="28"/>
          <w:szCs w:val="24"/>
          <w:highlight w:val="none"/>
          <w:lang w:val="en-US" w:eastAsia="zh-CN"/>
        </w:rPr>
        <w:t>”</w:t>
      </w:r>
      <w:r>
        <w:rPr>
          <w:rFonts w:hint="eastAsia" w:ascii="Times New Roman" w:hAnsi="Times New Roman" w:eastAsia="楷体" w:cs="仿宋"/>
          <w:sz w:val="28"/>
          <w:szCs w:val="24"/>
          <w:highlight w:val="none"/>
          <w:lang w:val="en-US" w:eastAsia="zh-CN"/>
        </w:rPr>
        <w:t>数据驱动-政校协同-资源置换</w:t>
      </w:r>
      <w:r>
        <w:rPr>
          <w:rFonts w:hint="eastAsia" w:cs="仿宋"/>
          <w:sz w:val="28"/>
          <w:szCs w:val="24"/>
          <w:highlight w:val="none"/>
          <w:lang w:val="en-US" w:eastAsia="zh-CN"/>
        </w:rPr>
        <w:t>”</w:t>
      </w:r>
      <w:r>
        <w:rPr>
          <w:rFonts w:hint="eastAsia" w:ascii="Times New Roman" w:hAnsi="Times New Roman" w:eastAsia="楷体" w:cs="仿宋"/>
          <w:sz w:val="28"/>
          <w:szCs w:val="24"/>
          <w:highlight w:val="none"/>
          <w:lang w:val="en-US" w:eastAsia="zh-CN"/>
        </w:rPr>
        <w:t>政策闭环，通过5个省级示范村建立政策衔接试验田，以补贴效率、农户满意度等实证数据反哺《政策优化建议书》，依托高校智库嵌入部委工作组实现政策需求传导，同步以抗震样板房公益建设撬动地方政府民生工程立项及资金优先配给。</w:t>
      </w:r>
    </w:p>
    <w:p w14:paraId="2C305AF9">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ascii="Times New Roman" w:hAnsi="Times New Roman" w:eastAsia="楷体" w:cs="仿宋"/>
          <w:sz w:val="28"/>
          <w:szCs w:val="24"/>
          <w:highlight w:val="none"/>
          <w:lang w:val="en-US" w:eastAsia="zh-CN"/>
        </w:rPr>
      </w:pPr>
      <w:r>
        <w:rPr>
          <w:rFonts w:hint="eastAsia" w:ascii="Times New Roman" w:hAnsi="Times New Roman" w:eastAsia="楷体" w:cs="仿宋"/>
          <w:sz w:val="28"/>
          <w:szCs w:val="24"/>
          <w:highlight w:val="none"/>
          <w:lang w:val="en-US" w:eastAsia="zh-CN"/>
        </w:rPr>
        <w:t>（4）村民教育示范</w:t>
      </w:r>
    </w:p>
    <w:p w14:paraId="0CD7F8A3">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560" w:firstLineChars="200"/>
        <w:textAlignment w:val="auto"/>
        <w:rPr>
          <w:rFonts w:hint="eastAsia" w:ascii="Times New Roman" w:hAnsi="Times New Roman" w:eastAsia="楷体" w:cs="仿宋"/>
          <w:sz w:val="28"/>
          <w:szCs w:val="24"/>
          <w:highlight w:val="none"/>
          <w:lang w:val="en-US" w:eastAsia="zh-CN"/>
        </w:rPr>
      </w:pPr>
      <w:r>
        <w:rPr>
          <w:rFonts w:hint="eastAsia" w:ascii="Times New Roman" w:hAnsi="Times New Roman" w:eastAsia="楷体" w:cs="仿宋"/>
          <w:sz w:val="28"/>
          <w:szCs w:val="24"/>
          <w:highlight w:val="none"/>
          <w:lang w:val="en-US" w:eastAsia="zh-CN"/>
        </w:rPr>
        <w:t>打造</w:t>
      </w:r>
      <w:r>
        <w:rPr>
          <w:rFonts w:hint="eastAsia" w:cs="仿宋"/>
          <w:sz w:val="28"/>
          <w:szCs w:val="24"/>
          <w:highlight w:val="none"/>
          <w:lang w:val="en-US" w:eastAsia="zh-CN"/>
        </w:rPr>
        <w:t>”</w:t>
      </w:r>
      <w:r>
        <w:rPr>
          <w:rFonts w:hint="eastAsia" w:ascii="Times New Roman" w:hAnsi="Times New Roman" w:eastAsia="楷体" w:cs="仿宋"/>
          <w:sz w:val="28"/>
          <w:szCs w:val="24"/>
          <w:highlight w:val="none"/>
          <w:lang w:val="en-US" w:eastAsia="zh-CN"/>
        </w:rPr>
        <w:t>乡贤示范引领-沉浸式科普-在地化认证</w:t>
      </w:r>
      <w:r>
        <w:rPr>
          <w:rFonts w:hint="eastAsia" w:cs="仿宋"/>
          <w:sz w:val="28"/>
          <w:szCs w:val="24"/>
          <w:highlight w:val="none"/>
          <w:lang w:val="en-US" w:eastAsia="zh-CN"/>
        </w:rPr>
        <w:t>”</w:t>
      </w:r>
      <w:r>
        <w:rPr>
          <w:rFonts w:hint="eastAsia" w:ascii="Times New Roman" w:hAnsi="Times New Roman" w:eastAsia="楷体" w:cs="仿宋"/>
          <w:sz w:val="28"/>
          <w:szCs w:val="24"/>
          <w:highlight w:val="none"/>
          <w:lang w:val="en-US" w:eastAsia="zh-CN"/>
        </w:rPr>
        <w:t>多维体系，运用德高望重者住宅改造形成熟人社会示范效应，VR震害模拟装置巡回展示构建认知冲击，联动职校构建</w:t>
      </w:r>
      <w:r>
        <w:rPr>
          <w:rFonts w:hint="eastAsia" w:cs="仿宋"/>
          <w:sz w:val="28"/>
          <w:szCs w:val="24"/>
          <w:highlight w:val="none"/>
          <w:lang w:val="en-US" w:eastAsia="zh-CN"/>
        </w:rPr>
        <w:t>”</w:t>
      </w:r>
      <w:r>
        <w:rPr>
          <w:rFonts w:hint="eastAsia" w:ascii="Times New Roman" w:hAnsi="Times New Roman" w:eastAsia="楷体" w:cs="仿宋"/>
          <w:sz w:val="28"/>
          <w:szCs w:val="24"/>
          <w:highlight w:val="none"/>
          <w:lang w:val="en-US" w:eastAsia="zh-CN"/>
        </w:rPr>
        <w:t>培训-认证-就业</w:t>
      </w:r>
      <w:r>
        <w:rPr>
          <w:rFonts w:hint="eastAsia" w:cs="仿宋"/>
          <w:sz w:val="28"/>
          <w:szCs w:val="24"/>
          <w:highlight w:val="none"/>
          <w:lang w:val="en-US" w:eastAsia="zh-CN"/>
        </w:rPr>
        <w:t>”</w:t>
      </w:r>
      <w:r>
        <w:rPr>
          <w:rFonts w:hint="eastAsia" w:ascii="Times New Roman" w:hAnsi="Times New Roman" w:eastAsia="楷体" w:cs="仿宋"/>
          <w:sz w:val="28"/>
          <w:szCs w:val="24"/>
          <w:highlight w:val="none"/>
          <w:lang w:val="en-US" w:eastAsia="zh-CN"/>
        </w:rPr>
        <w:t>在地化技能认证体系，实现技术推广与社区治理的双向赋能。</w:t>
      </w:r>
    </w:p>
    <w:p w14:paraId="61589EE1">
      <w:pPr>
        <w:spacing w:line="360" w:lineRule="auto"/>
        <w:rPr>
          <w:rFonts w:hint="eastAsia" w:ascii="Times New Roman" w:hAnsi="Times New Roman" w:eastAsia="楷体" w:cs="仿宋"/>
          <w:sz w:val="28"/>
          <w:szCs w:val="24"/>
          <w:highlight w:val="none"/>
          <w:lang w:val="en-US" w:eastAsia="zh-CN"/>
        </w:rPr>
      </w:pPr>
      <w:r>
        <w:rPr>
          <w:rFonts w:hint="eastAsia" w:ascii="Times New Roman" w:hAnsi="Times New Roman" w:eastAsia="楷体" w:cs="仿宋"/>
          <w:sz w:val="28"/>
          <w:szCs w:val="24"/>
          <w:highlight w:val="none"/>
          <w:lang w:val="en-US" w:eastAsia="zh-CN"/>
        </w:rPr>
        <w:br w:type="page"/>
      </w:r>
    </w:p>
    <w:p w14:paraId="112BC14E">
      <w:pPr>
        <w:pStyle w:val="2"/>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highlight w:val="none"/>
          <w:lang w:val="en-US" w:eastAsia="zh-CN"/>
        </w:rPr>
      </w:pPr>
      <w:bookmarkStart w:id="189" w:name="_Toc1610"/>
      <w:bookmarkStart w:id="190" w:name="_Toc28064"/>
      <w:r>
        <w:rPr>
          <w:rFonts w:hint="eastAsia"/>
          <w:highlight w:val="none"/>
          <w:lang w:val="en-US" w:eastAsia="zh-CN"/>
        </w:rPr>
        <w:t>第十二章 未来规划</w:t>
      </w:r>
      <w:bookmarkEnd w:id="189"/>
      <w:bookmarkEnd w:id="190"/>
    </w:p>
    <w:p w14:paraId="46F376E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2025-2026年：公司成立与区域突破</w:t>
      </w:r>
    </w:p>
    <w:p w14:paraId="3A7213A6">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b/>
          <w:bCs/>
          <w:highlight w:val="none"/>
          <w:lang w:val="en-US" w:eastAsia="zh-CN"/>
        </w:rPr>
      </w:pPr>
      <w:r>
        <w:rPr>
          <w:rFonts w:hint="eastAsia"/>
          <w:b/>
          <w:bCs/>
          <w:highlight w:val="none"/>
          <w:lang w:val="en-US" w:eastAsia="zh-CN"/>
        </w:rPr>
        <w:t>（1）</w:t>
      </w:r>
      <w:r>
        <w:rPr>
          <w:rFonts w:hint="default"/>
          <w:b/>
          <w:bCs/>
          <w:highlight w:val="none"/>
          <w:lang w:val="en-US" w:eastAsia="zh-CN"/>
        </w:rPr>
        <w:t>公司注册与团队建设</w:t>
      </w:r>
    </w:p>
    <w:p w14:paraId="4C88FCD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2025年于湖南衡阳注册</w:t>
      </w:r>
      <w:r>
        <w:rPr>
          <w:rFonts w:hint="eastAsia"/>
          <w:highlight w:val="none"/>
          <w:lang w:val="en-US" w:eastAsia="zh-CN"/>
        </w:rPr>
        <w:t>“</w:t>
      </w:r>
      <w:r>
        <w:rPr>
          <w:rFonts w:hint="default"/>
          <w:highlight w:val="none"/>
          <w:lang w:val="en-US" w:eastAsia="zh-CN"/>
        </w:rPr>
        <w:t>衡御安邦科技有限公司</w:t>
      </w:r>
      <w:r>
        <w:rPr>
          <w:rFonts w:hint="eastAsia"/>
          <w:highlight w:val="none"/>
          <w:lang w:val="en-US" w:eastAsia="zh-CN"/>
        </w:rPr>
        <w:t>”</w:t>
      </w:r>
      <w:r>
        <w:rPr>
          <w:rFonts w:hint="default"/>
          <w:highlight w:val="none"/>
          <w:lang w:val="en-US" w:eastAsia="zh-CN"/>
        </w:rPr>
        <w:t>（注册资本500万元），核心团队13人（技术研发8人、西南市场专家3人、运营管理2人）</w:t>
      </w:r>
      <w:r>
        <w:rPr>
          <w:rFonts w:hint="eastAsia"/>
          <w:highlight w:val="none"/>
          <w:lang w:val="en-US" w:eastAsia="zh-CN"/>
        </w:rPr>
        <w:t>。</w:t>
      </w:r>
    </w:p>
    <w:p w14:paraId="04FF9B52">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b/>
          <w:bCs/>
          <w:highlight w:val="none"/>
          <w:lang w:val="en-US" w:eastAsia="zh-CN"/>
        </w:rPr>
      </w:pPr>
      <w:r>
        <w:rPr>
          <w:rFonts w:hint="eastAsia"/>
          <w:b/>
          <w:bCs/>
          <w:highlight w:val="none"/>
          <w:lang w:val="en-US" w:eastAsia="zh-CN"/>
        </w:rPr>
        <w:t>（2）</w:t>
      </w:r>
      <w:r>
        <w:rPr>
          <w:rFonts w:hint="default"/>
          <w:b/>
          <w:bCs/>
          <w:highlight w:val="none"/>
          <w:lang w:val="en-US" w:eastAsia="zh-CN"/>
        </w:rPr>
        <w:t>资金与市场突破</w:t>
      </w:r>
    </w:p>
    <w:p w14:paraId="2E49427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highlight w:val="none"/>
          <w:lang w:val="en-US" w:eastAsia="zh-CN"/>
        </w:rPr>
      </w:pPr>
      <w:r>
        <w:rPr>
          <w:rFonts w:hint="default"/>
          <w:highlight w:val="none"/>
          <w:lang w:val="en-US" w:eastAsia="zh-CN"/>
        </w:rPr>
        <w:t>融资落地：预计第一轮天使轮拟融资</w:t>
      </w:r>
      <w:r>
        <w:rPr>
          <w:rFonts w:hint="eastAsia"/>
          <w:highlight w:val="none"/>
          <w:lang w:val="en-US" w:eastAsia="zh-CN"/>
        </w:rPr>
        <w:t>300</w:t>
      </w:r>
      <w:r>
        <w:rPr>
          <w:rFonts w:hint="default"/>
          <w:highlight w:val="none"/>
          <w:lang w:val="en-US" w:eastAsia="zh-CN"/>
        </w:rPr>
        <w:t>万元，第二轮</w:t>
      </w:r>
      <w:r>
        <w:rPr>
          <w:rFonts w:hint="eastAsia"/>
          <w:highlight w:val="none"/>
          <w:lang w:val="en-US" w:eastAsia="zh-CN"/>
        </w:rPr>
        <w:t>600</w:t>
      </w:r>
      <w:r>
        <w:rPr>
          <w:rFonts w:hint="default"/>
          <w:highlight w:val="none"/>
          <w:lang w:val="en-US" w:eastAsia="zh-CN"/>
        </w:rPr>
        <w:t>万元，用于优化环保橡胶基材、热硫化工艺、智能监测系统的研发，采购全自动硫化机、热压成型机、质检设备，建设云川办事处，拓展政府抗震改造项目，通过央视报道提升品牌影响力</w:t>
      </w:r>
      <w:r>
        <w:rPr>
          <w:rFonts w:hint="eastAsia"/>
          <w:highlight w:val="none"/>
          <w:lang w:val="en-US" w:eastAsia="zh-CN"/>
        </w:rPr>
        <w:t>；</w:t>
      </w:r>
    </w:p>
    <w:p w14:paraId="3DF20A1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区域布局：云南昆明、四川成都及凉山州设3个办事处，覆盖西南高烈度地震区。</w:t>
      </w:r>
    </w:p>
    <w:p w14:paraId="2100F469">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b/>
          <w:bCs/>
          <w:highlight w:val="none"/>
          <w:lang w:val="en-US" w:eastAsia="zh-CN"/>
        </w:rPr>
      </w:pPr>
      <w:r>
        <w:rPr>
          <w:rFonts w:hint="eastAsia"/>
          <w:b/>
          <w:bCs/>
          <w:highlight w:val="none"/>
          <w:lang w:val="en-US" w:eastAsia="zh-CN"/>
        </w:rPr>
        <w:t>（3）</w:t>
      </w:r>
      <w:r>
        <w:rPr>
          <w:rFonts w:hint="default"/>
          <w:b/>
          <w:bCs/>
          <w:highlight w:val="none"/>
          <w:lang w:val="en-US" w:eastAsia="zh-CN"/>
        </w:rPr>
        <w:t>经营目标</w:t>
      </w:r>
    </w:p>
    <w:p w14:paraId="047329C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产品销量：轻量化隔震支座单价</w:t>
      </w:r>
      <w:r>
        <w:rPr>
          <w:rFonts w:hint="eastAsia"/>
          <w:highlight w:val="none"/>
          <w:lang w:val="en-US" w:eastAsia="zh-CN"/>
        </w:rPr>
        <w:t>50-100</w:t>
      </w:r>
      <w:r>
        <w:rPr>
          <w:rFonts w:hint="default"/>
          <w:highlight w:val="none"/>
          <w:lang w:val="en-US" w:eastAsia="zh-CN"/>
        </w:rPr>
        <w:t>元/m2、楼梯支座</w:t>
      </w:r>
      <w:r>
        <w:rPr>
          <w:rFonts w:hint="eastAsia"/>
          <w:highlight w:val="none"/>
          <w:lang w:val="en-US" w:eastAsia="zh-CN"/>
        </w:rPr>
        <w:t>600-800</w:t>
      </w:r>
      <w:r>
        <w:rPr>
          <w:rFonts w:hint="default"/>
          <w:highlight w:val="none"/>
          <w:lang w:val="en-US" w:eastAsia="zh-CN"/>
        </w:rPr>
        <w:t>元/个；</w:t>
      </w:r>
    </w:p>
    <w:p w14:paraId="32BD2A8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战略定位：以</w:t>
      </w:r>
      <w:r>
        <w:rPr>
          <w:rFonts w:hint="eastAsia"/>
          <w:highlight w:val="none"/>
          <w:lang w:val="en-US" w:eastAsia="zh-CN"/>
        </w:rPr>
        <w:t>”</w:t>
      </w:r>
      <w:r>
        <w:rPr>
          <w:rFonts w:hint="default"/>
          <w:highlight w:val="none"/>
          <w:lang w:val="en-US" w:eastAsia="zh-CN"/>
        </w:rPr>
        <w:t>轻量化+低成本</w:t>
      </w:r>
      <w:r>
        <w:rPr>
          <w:rFonts w:hint="eastAsia"/>
          <w:highlight w:val="none"/>
          <w:lang w:val="en-US" w:eastAsia="zh-CN"/>
        </w:rPr>
        <w:t>”</w:t>
      </w:r>
      <w:r>
        <w:rPr>
          <w:rFonts w:hint="default"/>
          <w:highlight w:val="none"/>
          <w:lang w:val="en-US" w:eastAsia="zh-CN"/>
        </w:rPr>
        <w:t>技术填补村镇抗震空白，2026年成为西南地区行业标杆。</w:t>
      </w:r>
    </w:p>
    <w:p w14:paraId="08DD499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bookmarkStart w:id="191" w:name="_Toc28421"/>
      <w:r>
        <w:rPr>
          <w:rFonts w:hint="default"/>
          <w:highlight w:val="none"/>
          <w:lang w:val="en-US" w:eastAsia="zh-CN"/>
        </w:rPr>
        <w:t>量产装配式隔震模块</w:t>
      </w:r>
      <w:bookmarkEnd w:id="191"/>
    </w:p>
    <w:p w14:paraId="1789C7C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2027-2028年：量产装配式隔震模块，且施工效率提升50%，与万科等房企合作。</w:t>
      </w:r>
    </w:p>
    <w:p w14:paraId="3883E64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highlight w:val="none"/>
          <w:lang w:val="en-US" w:eastAsia="zh-CN"/>
        </w:rPr>
      </w:pPr>
      <w:r>
        <w:rPr>
          <w:rFonts w:hint="default"/>
          <w:highlight w:val="none"/>
          <w:lang w:val="en-US" w:eastAsia="zh-CN"/>
        </w:rPr>
        <w:t>2028-2030年：拓展东南亚</w:t>
      </w:r>
      <w:r>
        <w:rPr>
          <w:rFonts w:hint="eastAsia"/>
          <w:highlight w:val="none"/>
          <w:lang w:val="en-US" w:eastAsia="zh-CN"/>
        </w:rPr>
        <w:t>（缅甸、印度尼西亚）</w:t>
      </w:r>
      <w:r>
        <w:rPr>
          <w:rFonts w:hint="default"/>
          <w:highlight w:val="none"/>
          <w:lang w:val="en-US" w:eastAsia="zh-CN"/>
        </w:rPr>
        <w:t>及南美市场</w:t>
      </w:r>
      <w:r>
        <w:rPr>
          <w:rFonts w:hint="eastAsia"/>
          <w:highlight w:val="none"/>
          <w:lang w:val="en-US" w:eastAsia="zh-CN"/>
        </w:rPr>
        <w:t>（秘鲁、智利</w:t>
      </w:r>
      <w:r>
        <w:rPr>
          <w:rFonts w:hint="default"/>
          <w:highlight w:val="none"/>
          <w:lang w:val="en-US" w:eastAsia="zh-CN"/>
        </w:rPr>
        <w:t>，出口占比20%，</w:t>
      </w:r>
      <w:r>
        <w:rPr>
          <w:rFonts w:hint="eastAsia"/>
          <w:highlight w:val="none"/>
          <w:lang w:val="en-US" w:eastAsia="zh-CN"/>
        </w:rPr>
        <w:t>年总销售额</w:t>
      </w:r>
      <w:r>
        <w:rPr>
          <w:rFonts w:hint="default"/>
          <w:highlight w:val="none"/>
          <w:lang w:val="en-US" w:eastAsia="zh-CN"/>
        </w:rPr>
        <w:t>破</w:t>
      </w:r>
      <w:r>
        <w:rPr>
          <w:rFonts w:hint="eastAsia"/>
          <w:highlight w:val="none"/>
          <w:lang w:val="en-US" w:eastAsia="zh-CN"/>
        </w:rPr>
        <w:t>1255万</w:t>
      </w:r>
      <w:r>
        <w:rPr>
          <w:rFonts w:hint="default"/>
          <w:highlight w:val="none"/>
          <w:lang w:val="en-US" w:eastAsia="zh-CN"/>
        </w:rPr>
        <w:t>元。</w:t>
      </w:r>
    </w:p>
    <w:p w14:paraId="6C6432BD">
      <w:pPr>
        <w:bidi w:val="0"/>
        <w:spacing w:line="360" w:lineRule="auto"/>
        <w:jc w:val="left"/>
        <w:rPr>
          <w:rFonts w:hint="eastAsia" w:ascii="Times New Roman" w:hAnsi="Times New Roman" w:eastAsia="楷体" w:cs="宋体"/>
          <w:kern w:val="2"/>
          <w:sz w:val="28"/>
          <w:szCs w:val="22"/>
          <w:lang w:val="en-US" w:eastAsia="zh-CN" w:bidi="ar-SA"/>
        </w:rPr>
      </w:pPr>
    </w:p>
    <w:p w14:paraId="2F5DE731">
      <w:pPr>
        <w:pStyle w:val="2"/>
        <w:numPr>
          <w:ilvl w:val="0"/>
          <w:numId w:val="0"/>
        </w:numPr>
        <w:bidi w:val="0"/>
        <w:spacing w:line="360" w:lineRule="auto"/>
        <w:ind w:leftChars="0"/>
        <w:jc w:val="center"/>
        <w:rPr>
          <w:rFonts w:hint="eastAsia"/>
          <w:lang w:val="en-US" w:eastAsia="zh-CN"/>
        </w:rPr>
      </w:pPr>
      <w:bookmarkStart w:id="192" w:name="_Toc3413"/>
      <w:bookmarkStart w:id="193" w:name="_Toc28471"/>
      <w:r>
        <w:rPr>
          <w:rFonts w:hint="eastAsia"/>
          <w:lang w:val="en-US" w:eastAsia="zh-CN"/>
        </w:rPr>
        <w:t>第十三章 相关证明材料</w:t>
      </w:r>
      <w:bookmarkEnd w:id="192"/>
      <w:bookmarkEnd w:id="193"/>
    </w:p>
    <w:p w14:paraId="2763C3CA">
      <w:pPr>
        <w:pStyle w:val="3"/>
        <w:numPr>
          <w:ilvl w:val="1"/>
          <w:numId w:val="0"/>
        </w:numPr>
        <w:bidi w:val="0"/>
        <w:spacing w:line="360" w:lineRule="auto"/>
        <w:ind w:left="0" w:leftChars="0" w:firstLine="0" w:firstLineChars="0"/>
        <w:rPr>
          <w:rFonts w:hint="eastAsia" w:ascii="Times New Roman" w:hAnsi="Times New Roman" w:eastAsia="仿宋" w:cs="Arial"/>
          <w:b/>
          <w:snapToGrid w:val="0"/>
          <w:color w:val="000000"/>
          <w:kern w:val="0"/>
          <w:sz w:val="30"/>
          <w:szCs w:val="30"/>
          <w:lang w:val="en-US" w:eastAsia="zh-CN" w:bidi="ar-SA"/>
        </w:rPr>
      </w:pPr>
      <w:bookmarkStart w:id="194" w:name="_Toc30841"/>
      <w:bookmarkStart w:id="195" w:name="_Toc8210"/>
      <w:bookmarkStart w:id="196" w:name="_Toc16304"/>
      <w:bookmarkStart w:id="197" w:name="_Toc22108"/>
      <w:r>
        <w:rPr>
          <w:rFonts w:hint="eastAsia" w:ascii="Times New Roman" w:hAnsi="Times New Roman" w:eastAsia="仿宋" w:cs="Arial"/>
          <w:b/>
          <w:snapToGrid w:val="0"/>
          <w:color w:val="000000"/>
          <w:kern w:val="0"/>
          <w:sz w:val="30"/>
          <w:szCs w:val="30"/>
          <w:lang w:val="en-US" w:eastAsia="zh-CN" w:bidi="ar-SA"/>
        </w:rPr>
        <w:t>13.1</w:t>
      </w:r>
      <w:r>
        <w:rPr>
          <w:rFonts w:hint="eastAsia" w:ascii="楷体" w:hAnsi="楷体" w:eastAsia="楷体" w:cs="楷体"/>
          <w:b/>
          <w:snapToGrid w:val="0"/>
          <w:color w:val="000000"/>
          <w:kern w:val="0"/>
          <w:sz w:val="30"/>
          <w:szCs w:val="30"/>
          <w:lang w:val="en-US" w:eastAsia="zh-CN" w:bidi="ar-SA"/>
        </w:rPr>
        <w:t>相关科研成果证明</w:t>
      </w:r>
      <w:bookmarkEnd w:id="194"/>
      <w:bookmarkEnd w:id="195"/>
      <w:bookmarkEnd w:id="196"/>
      <w:bookmarkEnd w:id="197"/>
    </w:p>
    <w:p w14:paraId="01DBAE40">
      <w:pPr>
        <w:pStyle w:val="4"/>
        <w:numPr>
          <w:ilvl w:val="2"/>
          <w:numId w:val="0"/>
        </w:numPr>
        <w:bidi w:val="0"/>
        <w:spacing w:line="360" w:lineRule="auto"/>
        <w:ind w:left="0" w:leftChars="0" w:firstLine="720" w:firstLineChars="0"/>
        <w:rPr>
          <w:rFonts w:hint="eastAsia" w:ascii="Times New Roman" w:hAnsi="Times New Roman" w:eastAsia="楷体" w:cs="Times New Roman"/>
          <w:b/>
          <w:bCs/>
          <w:snapToGrid w:val="0"/>
          <w:color w:val="000000"/>
          <w:kern w:val="0"/>
          <w:sz w:val="28"/>
          <w:szCs w:val="28"/>
          <w:lang w:val="en-US" w:eastAsia="zh-CN" w:bidi="ar-SA"/>
        </w:rPr>
      </w:pPr>
      <w:bookmarkStart w:id="198" w:name="_Toc8458"/>
      <w:bookmarkStart w:id="199" w:name="_Toc31381"/>
      <w:bookmarkStart w:id="200" w:name="_Toc4930"/>
      <w:bookmarkStart w:id="201" w:name="_Toc16923"/>
      <w:r>
        <w:rPr>
          <w:rFonts w:hint="eastAsia" w:ascii="Times New Roman" w:hAnsi="Times New Roman" w:cs="Times New Roman"/>
          <w:b/>
          <w:bCs/>
          <w:snapToGrid w:val="0"/>
          <w:color w:val="000000"/>
          <w:kern w:val="0"/>
          <w:sz w:val="28"/>
          <w:szCs w:val="28"/>
          <w:lang w:val="en-US" w:eastAsia="zh-CN" w:bidi="ar-SA"/>
        </w:rPr>
        <w:t>13.1.1</w:t>
      </w:r>
      <w:r>
        <w:rPr>
          <w:rFonts w:hint="eastAsia" w:ascii="Times New Roman" w:hAnsi="Times New Roman" w:eastAsia="楷体" w:cs="Times New Roman"/>
          <w:b/>
          <w:bCs/>
          <w:snapToGrid w:val="0"/>
          <w:color w:val="000000"/>
          <w:kern w:val="0"/>
          <w:sz w:val="28"/>
          <w:szCs w:val="28"/>
          <w:lang w:val="en-US" w:eastAsia="zh-CN" w:bidi="ar-SA"/>
        </w:rPr>
        <w:t>科技查新报告</w:t>
      </w:r>
      <w:bookmarkEnd w:id="198"/>
      <w:bookmarkEnd w:id="199"/>
      <w:bookmarkEnd w:id="200"/>
      <w:bookmarkEnd w:id="201"/>
    </w:p>
    <w:p w14:paraId="31A97A55">
      <w:pPr>
        <w:spacing w:line="360" w:lineRule="auto"/>
        <w:ind w:left="0" w:leftChars="0" w:firstLine="0" w:firstLineChars="0"/>
        <w:jc w:val="center"/>
        <w:rPr>
          <w:rFonts w:hint="default" w:ascii="Times New Roman" w:hAnsi="Times New Roman" w:eastAsia="仿宋" w:cstheme="minorBidi"/>
          <w:b w:val="0"/>
          <w:bCs/>
          <w:kern w:val="44"/>
          <w:sz w:val="24"/>
          <w:szCs w:val="24"/>
          <w:lang w:val="en-US" w:eastAsia="zh-CN" w:bidi="ar-SA"/>
        </w:rPr>
      </w:pPr>
      <w:r>
        <w:rPr>
          <w:rFonts w:hint="default" w:ascii="Times New Roman" w:hAnsi="Times New Roman" w:eastAsia="楷体" w:cs="楷体"/>
          <w:b w:val="0"/>
          <w:bCs w:val="0"/>
          <w:kern w:val="2"/>
          <w:sz w:val="28"/>
          <w:szCs w:val="28"/>
          <w:lang w:val="en-US" w:eastAsia="zh-CN" w:bidi="ar-SA"/>
        </w:rPr>
        <w:drawing>
          <wp:inline distT="0" distB="0" distL="114300" distR="114300">
            <wp:extent cx="5008245" cy="7030085"/>
            <wp:effectExtent l="103505" t="111125" r="107950" b="135890"/>
            <wp:docPr id="178" name="图片 178" descr="20240711113812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descr="20240711113812_00"/>
                    <pic:cNvPicPr>
                      <a:picLocks noChangeAspect="1"/>
                    </pic:cNvPicPr>
                  </pic:nvPicPr>
                  <pic:blipFill>
                    <a:blip r:embed="rId100"/>
                    <a:srcRect t="815"/>
                    <a:stretch>
                      <a:fillRect/>
                    </a:stretch>
                  </pic:blipFill>
                  <pic:spPr>
                    <a:xfrm>
                      <a:off x="0" y="0"/>
                      <a:ext cx="5008245" cy="7030085"/>
                    </a:xfrm>
                    <a:prstGeom prst="rect">
                      <a:avLst/>
                    </a:prstGeom>
                    <a:effectLst>
                      <a:outerShdw blurRad="63500" sx="102000" sy="102000" algn="ctr" rotWithShape="0">
                        <a:prstClr val="black">
                          <a:alpha val="40000"/>
                        </a:prstClr>
                      </a:outerShdw>
                    </a:effectLst>
                  </pic:spPr>
                </pic:pic>
              </a:graphicData>
            </a:graphic>
          </wp:inline>
        </w:drawing>
      </w:r>
      <w:r>
        <w:rPr>
          <w:rFonts w:hint="default" w:ascii="Times New Roman" w:hAnsi="Times New Roman" w:eastAsia="仿宋" w:cstheme="minorBidi"/>
          <w:b w:val="0"/>
          <w:bCs/>
          <w:kern w:val="44"/>
          <w:sz w:val="24"/>
          <w:szCs w:val="24"/>
          <w:lang w:val="en-US" w:eastAsia="zh-CN" w:bidi="ar-SA"/>
        </w:rPr>
        <w:br w:type="page"/>
      </w:r>
    </w:p>
    <w:p w14:paraId="3F8D046A">
      <w:pPr>
        <w:bidi w:val="0"/>
        <w:spacing w:line="360" w:lineRule="auto"/>
        <w:ind w:left="0" w:leftChars="0" w:firstLine="0" w:firstLineChars="0"/>
        <w:jc w:val="both"/>
        <w:rPr>
          <w:rFonts w:hint="eastAsia" w:ascii="Times New Roman" w:hAnsi="Times New Roman" w:eastAsia="楷体" w:cs="楷体"/>
          <w:b w:val="0"/>
          <w:bCs w:val="0"/>
          <w:kern w:val="2"/>
          <w:sz w:val="28"/>
          <w:szCs w:val="28"/>
          <w:lang w:val="en-US" w:eastAsia="zh-CN" w:bidi="ar-SA"/>
        </w:rPr>
      </w:pPr>
    </w:p>
    <w:p w14:paraId="6E0A03E9">
      <w:pPr>
        <w:spacing w:line="360" w:lineRule="auto"/>
        <w:ind w:left="0" w:leftChars="0" w:firstLine="0" w:firstLineChars="0"/>
        <w:jc w:val="center"/>
        <w:rPr>
          <w:rFonts w:hint="eastAsia" w:ascii="Times New Roman" w:hAnsi="Times New Roman" w:eastAsia="仿宋" w:cstheme="minorBidi"/>
          <w:b w:val="0"/>
          <w:bCs/>
          <w:kern w:val="44"/>
          <w:sz w:val="24"/>
          <w:szCs w:val="24"/>
          <w:lang w:val="en-US" w:eastAsia="zh-CN" w:bidi="ar-SA"/>
        </w:rPr>
      </w:pPr>
      <w:r>
        <w:rPr>
          <w:rFonts w:hint="default" w:ascii="Times New Roman" w:hAnsi="Times New Roman" w:eastAsia="仿宋" w:cstheme="minorBidi"/>
          <w:b w:val="0"/>
          <w:bCs/>
          <w:kern w:val="44"/>
          <w:sz w:val="24"/>
          <w:szCs w:val="24"/>
          <w:lang w:val="en-US" w:eastAsia="zh-CN" w:bidi="ar-SA"/>
        </w:rPr>
        <w:drawing>
          <wp:inline distT="0" distB="0" distL="114300" distR="114300">
            <wp:extent cx="5293360" cy="7401560"/>
            <wp:effectExtent l="106680" t="114935" r="111760" b="128905"/>
            <wp:docPr id="179" name="图片 179" descr="20240711113812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descr="20240711113812_01"/>
                    <pic:cNvPicPr>
                      <a:picLocks noChangeAspect="1"/>
                    </pic:cNvPicPr>
                  </pic:nvPicPr>
                  <pic:blipFill>
                    <a:blip r:embed="rId101"/>
                    <a:srcRect t="1173"/>
                    <a:stretch>
                      <a:fillRect/>
                    </a:stretch>
                  </pic:blipFill>
                  <pic:spPr>
                    <a:xfrm>
                      <a:off x="0" y="0"/>
                      <a:ext cx="5293360" cy="7401560"/>
                    </a:xfrm>
                    <a:prstGeom prst="rect">
                      <a:avLst/>
                    </a:prstGeom>
                    <a:effectLst>
                      <a:outerShdw blurRad="63500" sx="102000" sy="102000" algn="ctr" rotWithShape="0">
                        <a:prstClr val="black">
                          <a:alpha val="40000"/>
                        </a:prstClr>
                      </a:outerShdw>
                    </a:effectLst>
                  </pic:spPr>
                </pic:pic>
              </a:graphicData>
            </a:graphic>
          </wp:inline>
        </w:drawing>
      </w:r>
      <w:r>
        <w:rPr>
          <w:rFonts w:hint="eastAsia" w:ascii="Times New Roman" w:hAnsi="Times New Roman" w:eastAsia="仿宋" w:cstheme="minorBidi"/>
          <w:b w:val="0"/>
          <w:bCs/>
          <w:kern w:val="44"/>
          <w:sz w:val="24"/>
          <w:szCs w:val="24"/>
          <w:lang w:val="en-US" w:eastAsia="zh-CN" w:bidi="ar-SA"/>
        </w:rPr>
        <w:br w:type="page"/>
      </w:r>
    </w:p>
    <w:p w14:paraId="2A34BD90">
      <w:pPr>
        <w:spacing w:line="360" w:lineRule="auto"/>
        <w:ind w:left="0" w:leftChars="0" w:firstLine="0" w:firstLineChars="0"/>
        <w:jc w:val="center"/>
        <w:rPr>
          <w:rFonts w:hint="eastAsia"/>
          <w:lang w:val="en-US" w:eastAsia="zh-CN"/>
        </w:rPr>
      </w:pPr>
    </w:p>
    <w:p w14:paraId="2311072B">
      <w:pPr>
        <w:bidi w:val="0"/>
        <w:spacing w:line="360" w:lineRule="auto"/>
        <w:ind w:left="0" w:leftChars="0" w:firstLine="0" w:firstLineChars="0"/>
        <w:jc w:val="center"/>
        <w:rPr>
          <w:rFonts w:hint="eastAsia" w:ascii="Times New Roman" w:hAnsi="Times New Roman" w:eastAsia="楷体" w:cs="楷体"/>
          <w:b w:val="0"/>
          <w:bCs w:val="0"/>
          <w:kern w:val="2"/>
          <w:sz w:val="28"/>
          <w:szCs w:val="28"/>
          <w:lang w:val="en-US" w:eastAsia="zh-CN" w:bidi="ar-SA"/>
        </w:rPr>
      </w:pPr>
      <w:r>
        <w:rPr>
          <w:rFonts w:hint="eastAsia" w:ascii="Times New Roman" w:hAnsi="Times New Roman" w:eastAsia="楷体" w:cs="楷体"/>
          <w:b w:val="0"/>
          <w:bCs w:val="0"/>
          <w:kern w:val="2"/>
          <w:sz w:val="28"/>
          <w:szCs w:val="28"/>
          <w:lang w:val="en-US" w:eastAsia="zh-CN" w:bidi="ar-SA"/>
        </w:rPr>
        <w:drawing>
          <wp:inline distT="0" distB="0" distL="114300" distR="114300">
            <wp:extent cx="5285105" cy="7401560"/>
            <wp:effectExtent l="106680" t="114935" r="107315" b="128905"/>
            <wp:docPr id="180" name="图片 180" descr="20240711113812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descr="20240711113812_02"/>
                    <pic:cNvPicPr>
                      <a:picLocks noChangeAspect="1"/>
                    </pic:cNvPicPr>
                  </pic:nvPicPr>
                  <pic:blipFill>
                    <a:blip r:embed="rId102"/>
                    <a:srcRect t="1012"/>
                    <a:stretch>
                      <a:fillRect/>
                    </a:stretch>
                  </pic:blipFill>
                  <pic:spPr>
                    <a:xfrm>
                      <a:off x="0" y="0"/>
                      <a:ext cx="5285105" cy="7401560"/>
                    </a:xfrm>
                    <a:prstGeom prst="rect">
                      <a:avLst/>
                    </a:prstGeom>
                    <a:effectLst>
                      <a:outerShdw blurRad="63500" sx="102000" sy="102000" algn="ctr" rotWithShape="0">
                        <a:prstClr val="black">
                          <a:alpha val="40000"/>
                        </a:prstClr>
                      </a:outerShdw>
                    </a:effectLst>
                  </pic:spPr>
                </pic:pic>
              </a:graphicData>
            </a:graphic>
          </wp:inline>
        </w:drawing>
      </w:r>
    </w:p>
    <w:p w14:paraId="6D4F3F95">
      <w:pPr>
        <w:spacing w:line="360" w:lineRule="auto"/>
        <w:rPr>
          <w:rFonts w:hint="default"/>
          <w:lang w:val="en-US" w:eastAsia="zh-CN"/>
        </w:rPr>
      </w:pPr>
      <w:r>
        <w:rPr>
          <w:rFonts w:hint="default"/>
          <w:lang w:val="en-US" w:eastAsia="zh-CN"/>
        </w:rPr>
        <w:br w:type="page"/>
      </w:r>
    </w:p>
    <w:p w14:paraId="32E1FAF2">
      <w:pPr>
        <w:spacing w:line="360" w:lineRule="auto"/>
        <w:ind w:left="0" w:leftChars="0" w:firstLine="0" w:firstLineChars="0"/>
        <w:rPr>
          <w:rFonts w:hint="default"/>
          <w:lang w:val="en-US" w:eastAsia="zh-CN"/>
        </w:rPr>
      </w:pPr>
    </w:p>
    <w:p w14:paraId="0D92E52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楷体" w:cstheme="minorBidi"/>
          <w:b w:val="0"/>
          <w:bCs/>
          <w:kern w:val="44"/>
          <w:sz w:val="28"/>
          <w:szCs w:val="28"/>
          <w:lang w:val="en-US" w:eastAsia="zh-CN" w:bidi="ar-SA"/>
        </w:rPr>
      </w:pPr>
      <w:r>
        <w:rPr>
          <w:rFonts w:hint="default" w:ascii="Times New Roman" w:hAnsi="Times New Roman" w:eastAsia="楷体" w:cstheme="minorBidi"/>
          <w:b w:val="0"/>
          <w:bCs/>
          <w:kern w:val="44"/>
          <w:sz w:val="28"/>
          <w:szCs w:val="28"/>
          <w:lang w:val="en-US" w:eastAsia="zh-CN" w:bidi="ar-SA"/>
        </w:rPr>
        <w:drawing>
          <wp:inline distT="0" distB="0" distL="114300" distR="114300">
            <wp:extent cx="5278120" cy="7400925"/>
            <wp:effectExtent l="106045" t="114935" r="114935" b="129540"/>
            <wp:docPr id="181" name="图片 181" descr="20240711113812_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1" descr="20240711113812_03(1)"/>
                    <pic:cNvPicPr>
                      <a:picLocks noChangeAspect="1"/>
                    </pic:cNvPicPr>
                  </pic:nvPicPr>
                  <pic:blipFill>
                    <a:blip r:embed="rId103"/>
                    <a:srcRect t="893"/>
                    <a:stretch>
                      <a:fillRect/>
                    </a:stretch>
                  </pic:blipFill>
                  <pic:spPr>
                    <a:xfrm>
                      <a:off x="0" y="0"/>
                      <a:ext cx="5278120" cy="7400925"/>
                    </a:xfrm>
                    <a:prstGeom prst="rect">
                      <a:avLst/>
                    </a:prstGeom>
                    <a:effectLst>
                      <a:outerShdw blurRad="63500" sx="102000" sy="102000" algn="ctr" rotWithShape="0">
                        <a:prstClr val="black">
                          <a:alpha val="40000"/>
                        </a:prstClr>
                      </a:outerShdw>
                    </a:effectLst>
                  </pic:spPr>
                </pic:pic>
              </a:graphicData>
            </a:graphic>
          </wp:inline>
        </w:drawing>
      </w:r>
    </w:p>
    <w:p w14:paraId="2CDB19A3">
      <w:pPr>
        <w:spacing w:line="360" w:lineRule="auto"/>
        <w:rPr>
          <w:rFonts w:hint="eastAsia" w:ascii="Times New Roman" w:hAnsi="Times New Roman" w:eastAsia="仿宋" w:cstheme="minorBidi"/>
          <w:b w:val="0"/>
          <w:bCs/>
          <w:kern w:val="44"/>
          <w:sz w:val="28"/>
          <w:szCs w:val="28"/>
          <w:lang w:val="en-US" w:eastAsia="zh-CN" w:bidi="ar-SA"/>
        </w:rPr>
      </w:pPr>
      <w:r>
        <w:rPr>
          <w:rFonts w:hint="eastAsia" w:ascii="Times New Roman" w:hAnsi="Times New Roman" w:eastAsia="仿宋" w:cstheme="minorBidi"/>
          <w:b w:val="0"/>
          <w:bCs/>
          <w:kern w:val="44"/>
          <w:sz w:val="28"/>
          <w:szCs w:val="28"/>
          <w:lang w:val="en-US" w:eastAsia="zh-CN" w:bidi="ar-SA"/>
        </w:rPr>
        <w:br w:type="page"/>
      </w:r>
    </w:p>
    <w:p w14:paraId="447D12F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仿宋" w:cstheme="minorBidi"/>
          <w:b w:val="0"/>
          <w:bCs/>
          <w:kern w:val="44"/>
          <w:sz w:val="28"/>
          <w:szCs w:val="28"/>
          <w:lang w:val="en-US" w:eastAsia="zh-CN" w:bidi="ar-SA"/>
        </w:rPr>
      </w:pPr>
    </w:p>
    <w:p w14:paraId="0920551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仿宋" w:cstheme="minorBidi"/>
          <w:b w:val="0"/>
          <w:bCs/>
          <w:kern w:val="44"/>
          <w:sz w:val="28"/>
          <w:szCs w:val="28"/>
          <w:lang w:val="en-US" w:eastAsia="zh-CN" w:bidi="ar-SA"/>
        </w:rPr>
      </w:pPr>
      <w:r>
        <w:rPr>
          <w:rFonts w:hint="eastAsia" w:ascii="Times New Roman" w:hAnsi="Times New Roman" w:eastAsia="仿宋" w:cstheme="minorBidi"/>
          <w:b w:val="0"/>
          <w:bCs/>
          <w:kern w:val="44"/>
          <w:sz w:val="28"/>
          <w:szCs w:val="28"/>
          <w:lang w:val="en-US" w:eastAsia="zh-CN" w:bidi="ar-SA"/>
        </w:rPr>
        <w:drawing>
          <wp:inline distT="0" distB="0" distL="114300" distR="114300">
            <wp:extent cx="5288915" cy="7401560"/>
            <wp:effectExtent l="106680" t="114935" r="116205" b="128905"/>
            <wp:docPr id="184" name="图片 184" descr="20240711113812_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descr="20240711113812_04(1)"/>
                    <pic:cNvPicPr>
                      <a:picLocks noChangeAspect="1"/>
                    </pic:cNvPicPr>
                  </pic:nvPicPr>
                  <pic:blipFill>
                    <a:blip r:embed="rId104"/>
                    <a:srcRect t="1088"/>
                    <a:stretch>
                      <a:fillRect/>
                    </a:stretch>
                  </pic:blipFill>
                  <pic:spPr>
                    <a:xfrm>
                      <a:off x="0" y="0"/>
                      <a:ext cx="5288915" cy="7401560"/>
                    </a:xfrm>
                    <a:prstGeom prst="rect">
                      <a:avLst/>
                    </a:prstGeom>
                    <a:effectLst>
                      <a:outerShdw blurRad="63500" sx="102000" sy="102000" algn="ctr" rotWithShape="0">
                        <a:prstClr val="black">
                          <a:alpha val="40000"/>
                        </a:prstClr>
                      </a:outerShdw>
                    </a:effectLst>
                  </pic:spPr>
                </pic:pic>
              </a:graphicData>
            </a:graphic>
          </wp:inline>
        </w:drawing>
      </w:r>
    </w:p>
    <w:p w14:paraId="4F5070CC">
      <w:pPr>
        <w:pStyle w:val="5"/>
        <w:spacing w:line="360" w:lineRule="auto"/>
        <w:ind w:left="0" w:leftChars="0" w:firstLine="0" w:firstLineChars="0"/>
        <w:jc w:val="center"/>
        <w:rPr>
          <w:rFonts w:hint="eastAsia" w:ascii="Times New Roman" w:hAnsi="Times New Roman" w:eastAsia="楷体" w:cs="楷体"/>
          <w:b w:val="0"/>
          <w:bCs w:val="0"/>
          <w:kern w:val="2"/>
          <w:sz w:val="28"/>
          <w:szCs w:val="28"/>
          <w:lang w:val="en-US" w:eastAsia="zh-CN" w:bidi="ar-SA"/>
        </w:rPr>
      </w:pPr>
    </w:p>
    <w:p w14:paraId="78C2D72D">
      <w:pPr>
        <w:spacing w:line="360" w:lineRule="auto"/>
        <w:rPr>
          <w:rFonts w:hint="eastAsia"/>
          <w:lang w:val="en-US" w:eastAsia="zh-CN"/>
        </w:rPr>
      </w:pPr>
      <w:r>
        <w:rPr>
          <w:rFonts w:hint="eastAsia"/>
          <w:lang w:val="en-US" w:eastAsia="zh-CN"/>
        </w:rPr>
        <w:br w:type="page"/>
      </w:r>
    </w:p>
    <w:p w14:paraId="452C662B">
      <w:pPr>
        <w:spacing w:line="360" w:lineRule="auto"/>
        <w:rPr>
          <w:rFonts w:hint="eastAsia"/>
          <w:lang w:val="en-US" w:eastAsia="zh-CN"/>
        </w:rPr>
      </w:pPr>
    </w:p>
    <w:p w14:paraId="1D106844">
      <w:pPr>
        <w:bidi w:val="0"/>
        <w:spacing w:line="360" w:lineRule="auto"/>
        <w:ind w:left="0" w:leftChars="0" w:firstLine="0" w:firstLineChars="0"/>
        <w:jc w:val="center"/>
        <w:rPr>
          <w:rFonts w:hint="eastAsia" w:ascii="Times New Roman" w:hAnsi="Times New Roman" w:eastAsia="楷体" w:cs="楷体"/>
          <w:b w:val="0"/>
          <w:bCs w:val="0"/>
          <w:kern w:val="2"/>
          <w:sz w:val="28"/>
          <w:szCs w:val="28"/>
          <w:lang w:val="en-US" w:eastAsia="zh-CN" w:bidi="ar-SA"/>
        </w:rPr>
      </w:pPr>
      <w:r>
        <w:rPr>
          <w:rFonts w:hint="eastAsia" w:ascii="Times New Roman" w:hAnsi="Times New Roman" w:eastAsia="楷体" w:cs="楷体"/>
          <w:b w:val="0"/>
          <w:bCs w:val="0"/>
          <w:kern w:val="2"/>
          <w:sz w:val="28"/>
          <w:szCs w:val="28"/>
          <w:lang w:val="en-US" w:eastAsia="zh-CN" w:bidi="ar-SA"/>
        </w:rPr>
        <w:drawing>
          <wp:inline distT="0" distB="0" distL="114300" distR="114300">
            <wp:extent cx="5294630" cy="7401560"/>
            <wp:effectExtent l="106680" t="114935" r="110490" b="128905"/>
            <wp:docPr id="185" name="图片 185" descr="20240711113812_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descr="20240711113812_05(1)"/>
                    <pic:cNvPicPr>
                      <a:picLocks noChangeAspect="1"/>
                    </pic:cNvPicPr>
                  </pic:nvPicPr>
                  <pic:blipFill>
                    <a:blip r:embed="rId105"/>
                    <a:srcRect t="1199"/>
                    <a:stretch>
                      <a:fillRect/>
                    </a:stretch>
                  </pic:blipFill>
                  <pic:spPr>
                    <a:xfrm>
                      <a:off x="0" y="0"/>
                      <a:ext cx="5294630" cy="7401560"/>
                    </a:xfrm>
                    <a:prstGeom prst="rect">
                      <a:avLst/>
                    </a:prstGeom>
                    <a:effectLst>
                      <a:outerShdw blurRad="63500" sx="102000" sy="102000" algn="ctr" rotWithShape="0">
                        <a:prstClr val="black">
                          <a:alpha val="40000"/>
                        </a:prstClr>
                      </a:outerShdw>
                    </a:effectLst>
                  </pic:spPr>
                </pic:pic>
              </a:graphicData>
            </a:graphic>
          </wp:inline>
        </w:drawing>
      </w:r>
    </w:p>
    <w:p w14:paraId="0B57EAD1">
      <w:pPr>
        <w:spacing w:line="360" w:lineRule="auto"/>
        <w:rPr>
          <w:rFonts w:hint="eastAsia"/>
          <w:lang w:val="en-US" w:eastAsia="zh-CN"/>
        </w:rPr>
      </w:pPr>
      <w:r>
        <w:rPr>
          <w:rFonts w:hint="eastAsia"/>
          <w:lang w:val="en-US" w:eastAsia="zh-CN"/>
        </w:rPr>
        <w:br w:type="page"/>
      </w:r>
    </w:p>
    <w:p w14:paraId="534120CB">
      <w:pPr>
        <w:bidi w:val="0"/>
        <w:spacing w:line="360" w:lineRule="auto"/>
        <w:ind w:left="0" w:leftChars="0" w:firstLine="0" w:firstLineChars="0"/>
        <w:jc w:val="both"/>
        <w:rPr>
          <w:rFonts w:hint="eastAsia" w:ascii="Times New Roman" w:hAnsi="Times New Roman" w:eastAsia="楷体" w:cs="楷体"/>
          <w:b w:val="0"/>
          <w:bCs w:val="0"/>
          <w:kern w:val="2"/>
          <w:sz w:val="28"/>
          <w:szCs w:val="28"/>
          <w:lang w:val="en-US" w:eastAsia="zh-CN" w:bidi="ar-SA"/>
        </w:rPr>
      </w:pPr>
    </w:p>
    <w:p w14:paraId="39EBD608">
      <w:pPr>
        <w:bidi w:val="0"/>
        <w:spacing w:line="360" w:lineRule="auto"/>
        <w:ind w:left="0" w:leftChars="0" w:firstLine="0" w:firstLineChars="0"/>
        <w:jc w:val="center"/>
        <w:rPr>
          <w:rFonts w:hint="eastAsia" w:ascii="Times New Roman" w:hAnsi="Times New Roman" w:eastAsia="楷体" w:cs="楷体"/>
          <w:b w:val="0"/>
          <w:bCs w:val="0"/>
          <w:kern w:val="2"/>
          <w:sz w:val="28"/>
          <w:szCs w:val="28"/>
          <w:lang w:val="en-US" w:eastAsia="zh-CN" w:bidi="ar-SA"/>
        </w:rPr>
      </w:pPr>
      <w:r>
        <w:rPr>
          <w:rFonts w:hint="eastAsia" w:ascii="Times New Roman" w:hAnsi="Times New Roman" w:eastAsia="楷体" w:cs="楷体"/>
          <w:b w:val="0"/>
          <w:bCs w:val="0"/>
          <w:kern w:val="2"/>
          <w:sz w:val="28"/>
          <w:szCs w:val="28"/>
          <w:lang w:val="en-US" w:eastAsia="zh-CN" w:bidi="ar-SA"/>
        </w:rPr>
        <w:drawing>
          <wp:inline distT="0" distB="0" distL="114300" distR="114300">
            <wp:extent cx="5290820" cy="7401560"/>
            <wp:effectExtent l="106680" t="114935" r="114300" b="128905"/>
            <wp:docPr id="186" name="图片 186" descr="20240711113812_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86" descr="20240711113812_06(1)"/>
                    <pic:cNvPicPr>
                      <a:picLocks noChangeAspect="1"/>
                    </pic:cNvPicPr>
                  </pic:nvPicPr>
                  <pic:blipFill>
                    <a:blip r:embed="rId106"/>
                    <a:srcRect t="1122"/>
                    <a:stretch>
                      <a:fillRect/>
                    </a:stretch>
                  </pic:blipFill>
                  <pic:spPr>
                    <a:xfrm>
                      <a:off x="0" y="0"/>
                      <a:ext cx="5290820" cy="7401560"/>
                    </a:xfrm>
                    <a:prstGeom prst="rect">
                      <a:avLst/>
                    </a:prstGeom>
                    <a:effectLst>
                      <a:outerShdw blurRad="63500" sx="102000" sy="102000" algn="ctr" rotWithShape="0">
                        <a:prstClr val="black">
                          <a:alpha val="40000"/>
                        </a:prstClr>
                      </a:outerShdw>
                    </a:effectLst>
                  </pic:spPr>
                </pic:pic>
              </a:graphicData>
            </a:graphic>
          </wp:inline>
        </w:drawing>
      </w:r>
    </w:p>
    <w:p w14:paraId="4394EDC7">
      <w:pPr>
        <w:spacing w:line="360" w:lineRule="auto"/>
        <w:rPr>
          <w:rFonts w:hint="eastAsia"/>
          <w:lang w:val="en-US" w:eastAsia="zh-CN"/>
        </w:rPr>
      </w:pPr>
      <w:r>
        <w:rPr>
          <w:rFonts w:hint="eastAsia"/>
          <w:lang w:val="en-US" w:eastAsia="zh-CN"/>
        </w:rPr>
        <w:br w:type="page"/>
      </w:r>
    </w:p>
    <w:p w14:paraId="563451C2">
      <w:pPr>
        <w:spacing w:line="360" w:lineRule="auto"/>
        <w:rPr>
          <w:rFonts w:hint="eastAsia"/>
          <w:lang w:val="en-US" w:eastAsia="zh-CN"/>
        </w:rPr>
      </w:pPr>
    </w:p>
    <w:p w14:paraId="48E8878A">
      <w:pPr>
        <w:spacing w:line="360" w:lineRule="auto"/>
        <w:ind w:left="0" w:leftChars="0" w:firstLine="0" w:firstLineChars="0"/>
        <w:jc w:val="center"/>
        <w:rPr>
          <w:rFonts w:hint="eastAsia"/>
          <w:lang w:val="en-US" w:eastAsia="zh-CN"/>
        </w:rPr>
      </w:pPr>
      <w:r>
        <w:rPr>
          <w:rFonts w:hint="eastAsia"/>
          <w:lang w:val="en-US" w:eastAsia="zh-CN"/>
        </w:rPr>
        <w:drawing>
          <wp:inline distT="0" distB="0" distL="114300" distR="114300">
            <wp:extent cx="5283835" cy="7401560"/>
            <wp:effectExtent l="106680" t="114935" r="108585" b="128905"/>
            <wp:docPr id="187" name="图片 187" descr="20240711113812_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descr="20240711113812_07(1)"/>
                    <pic:cNvPicPr>
                      <a:picLocks noChangeAspect="1"/>
                    </pic:cNvPicPr>
                  </pic:nvPicPr>
                  <pic:blipFill>
                    <a:blip r:embed="rId107"/>
                    <a:srcRect t="986"/>
                    <a:stretch>
                      <a:fillRect/>
                    </a:stretch>
                  </pic:blipFill>
                  <pic:spPr>
                    <a:xfrm>
                      <a:off x="0" y="0"/>
                      <a:ext cx="5283835" cy="7401560"/>
                    </a:xfrm>
                    <a:prstGeom prst="rect">
                      <a:avLst/>
                    </a:prstGeom>
                    <a:effectLst>
                      <a:outerShdw blurRad="63500" sx="102000" sy="102000" algn="ctr" rotWithShape="0">
                        <a:prstClr val="black">
                          <a:alpha val="40000"/>
                        </a:prstClr>
                      </a:outerShdw>
                    </a:effectLst>
                  </pic:spPr>
                </pic:pic>
              </a:graphicData>
            </a:graphic>
          </wp:inline>
        </w:drawing>
      </w:r>
    </w:p>
    <w:p w14:paraId="76C7918E">
      <w:pPr>
        <w:bidi w:val="0"/>
        <w:spacing w:line="360" w:lineRule="auto"/>
        <w:ind w:left="0" w:leftChars="0" w:firstLine="0" w:firstLineChars="0"/>
        <w:jc w:val="center"/>
        <w:rPr>
          <w:rFonts w:hint="eastAsia" w:ascii="Times New Roman" w:hAnsi="Times New Roman" w:eastAsia="楷体" w:cs="楷体"/>
          <w:b w:val="0"/>
          <w:bCs w:val="0"/>
          <w:kern w:val="2"/>
          <w:sz w:val="28"/>
          <w:szCs w:val="28"/>
          <w:lang w:val="en-US" w:eastAsia="zh-CN" w:bidi="ar-SA"/>
        </w:rPr>
      </w:pPr>
    </w:p>
    <w:p w14:paraId="10F7413F">
      <w:pPr>
        <w:spacing w:line="360" w:lineRule="auto"/>
        <w:ind w:left="0" w:leftChars="0" w:firstLine="0" w:firstLineChars="0"/>
        <w:rPr>
          <w:rFonts w:hint="eastAsia"/>
          <w:lang w:val="en-US" w:eastAsia="zh-CN"/>
        </w:rPr>
      </w:pPr>
      <w:r>
        <w:rPr>
          <w:rFonts w:hint="eastAsia"/>
          <w:lang w:val="en-US" w:eastAsia="zh-CN"/>
        </w:rPr>
        <w:br w:type="page"/>
      </w:r>
    </w:p>
    <w:p w14:paraId="3DAF4999">
      <w:pPr>
        <w:spacing w:line="360" w:lineRule="auto"/>
        <w:rPr>
          <w:rFonts w:hint="eastAsia"/>
          <w:lang w:val="en-US" w:eastAsia="zh-CN"/>
        </w:rPr>
      </w:pPr>
    </w:p>
    <w:p w14:paraId="60D3773D">
      <w:pPr>
        <w:bidi w:val="0"/>
        <w:spacing w:line="360" w:lineRule="auto"/>
        <w:ind w:left="0" w:leftChars="0" w:firstLine="0" w:firstLineChars="0"/>
        <w:jc w:val="center"/>
        <w:rPr>
          <w:rFonts w:hint="eastAsia" w:ascii="Times New Roman" w:hAnsi="Times New Roman" w:eastAsia="楷体" w:cs="楷体"/>
          <w:b w:val="0"/>
          <w:bCs w:val="0"/>
          <w:kern w:val="2"/>
          <w:sz w:val="28"/>
          <w:szCs w:val="28"/>
          <w:lang w:val="en-US" w:eastAsia="zh-CN" w:bidi="ar-SA"/>
        </w:rPr>
      </w:pPr>
      <w:r>
        <w:rPr>
          <w:rFonts w:hint="eastAsia" w:ascii="Times New Roman" w:hAnsi="Times New Roman" w:eastAsia="楷体" w:cs="楷体"/>
          <w:b w:val="0"/>
          <w:bCs w:val="0"/>
          <w:kern w:val="2"/>
          <w:sz w:val="28"/>
          <w:szCs w:val="28"/>
          <w:lang w:val="en-US" w:eastAsia="zh-CN" w:bidi="ar-SA"/>
        </w:rPr>
        <w:drawing>
          <wp:inline distT="0" distB="0" distL="114300" distR="114300">
            <wp:extent cx="5281295" cy="7401560"/>
            <wp:effectExtent l="106045" t="114935" r="111760" b="128905"/>
            <wp:docPr id="188" name="图片 188" descr="20240711113812_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8" descr="20240711113812_08(1)"/>
                    <pic:cNvPicPr>
                      <a:picLocks noChangeAspect="1"/>
                    </pic:cNvPicPr>
                  </pic:nvPicPr>
                  <pic:blipFill>
                    <a:blip r:embed="rId108"/>
                    <a:srcRect t="944"/>
                    <a:stretch>
                      <a:fillRect/>
                    </a:stretch>
                  </pic:blipFill>
                  <pic:spPr>
                    <a:xfrm>
                      <a:off x="0" y="0"/>
                      <a:ext cx="5281295" cy="7401560"/>
                    </a:xfrm>
                    <a:prstGeom prst="rect">
                      <a:avLst/>
                    </a:prstGeom>
                    <a:effectLst>
                      <a:outerShdw blurRad="63500" sx="102000" sy="102000" algn="ctr" rotWithShape="0">
                        <a:prstClr val="black">
                          <a:alpha val="40000"/>
                        </a:prstClr>
                      </a:outerShdw>
                    </a:effectLst>
                  </pic:spPr>
                </pic:pic>
              </a:graphicData>
            </a:graphic>
          </wp:inline>
        </w:drawing>
      </w:r>
    </w:p>
    <w:p w14:paraId="2DD95A3A">
      <w:pPr>
        <w:spacing w:line="360" w:lineRule="auto"/>
        <w:rPr>
          <w:rFonts w:hint="eastAsia"/>
          <w:lang w:val="en-US" w:eastAsia="zh-CN"/>
        </w:rPr>
      </w:pPr>
      <w:r>
        <w:rPr>
          <w:rFonts w:hint="eastAsia"/>
          <w:lang w:val="en-US" w:eastAsia="zh-CN"/>
        </w:rPr>
        <w:br w:type="page"/>
      </w:r>
    </w:p>
    <w:p w14:paraId="083DC374">
      <w:pPr>
        <w:spacing w:line="360" w:lineRule="auto"/>
        <w:ind w:left="0" w:leftChars="0" w:firstLine="0" w:firstLineChars="0"/>
        <w:jc w:val="center"/>
        <w:rPr>
          <w:rFonts w:hint="eastAsia"/>
          <w:lang w:val="en-US" w:eastAsia="zh-CN"/>
        </w:rPr>
      </w:pPr>
    </w:p>
    <w:p w14:paraId="102EA137">
      <w:pPr>
        <w:bidi w:val="0"/>
        <w:spacing w:line="360" w:lineRule="auto"/>
        <w:ind w:left="0" w:leftChars="0" w:firstLine="0" w:firstLineChars="0"/>
        <w:jc w:val="center"/>
        <w:rPr>
          <w:rFonts w:hint="eastAsia" w:ascii="Times New Roman" w:hAnsi="Times New Roman" w:eastAsia="楷体" w:cs="楷体"/>
          <w:b w:val="0"/>
          <w:bCs w:val="0"/>
          <w:kern w:val="2"/>
          <w:sz w:val="28"/>
          <w:szCs w:val="28"/>
          <w:lang w:val="en-US" w:eastAsia="zh-CN" w:bidi="ar-SA"/>
        </w:rPr>
      </w:pPr>
      <w:r>
        <w:rPr>
          <w:rFonts w:hint="eastAsia" w:ascii="Times New Roman" w:hAnsi="Times New Roman" w:eastAsia="楷体" w:cs="楷体"/>
          <w:b w:val="0"/>
          <w:bCs w:val="0"/>
          <w:kern w:val="2"/>
          <w:sz w:val="28"/>
          <w:szCs w:val="28"/>
          <w:lang w:val="en-US" w:eastAsia="zh-CN" w:bidi="ar-SA"/>
        </w:rPr>
        <w:drawing>
          <wp:inline distT="0" distB="0" distL="114300" distR="114300">
            <wp:extent cx="5280660" cy="7401560"/>
            <wp:effectExtent l="106045" t="114935" r="112395" b="128905"/>
            <wp:docPr id="189" name="图片 189" descr="20240711113812_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9" descr="20240711113812_09(1)"/>
                    <pic:cNvPicPr>
                      <a:picLocks noChangeAspect="1"/>
                    </pic:cNvPicPr>
                  </pic:nvPicPr>
                  <pic:blipFill>
                    <a:blip r:embed="rId109"/>
                    <a:srcRect t="927"/>
                    <a:stretch>
                      <a:fillRect/>
                    </a:stretch>
                  </pic:blipFill>
                  <pic:spPr>
                    <a:xfrm>
                      <a:off x="0" y="0"/>
                      <a:ext cx="5280660" cy="7401560"/>
                    </a:xfrm>
                    <a:prstGeom prst="rect">
                      <a:avLst/>
                    </a:prstGeom>
                    <a:effectLst>
                      <a:outerShdw blurRad="63500" sx="102000" sy="102000" algn="ctr" rotWithShape="0">
                        <a:prstClr val="black">
                          <a:alpha val="40000"/>
                        </a:prstClr>
                      </a:outerShdw>
                    </a:effectLst>
                  </pic:spPr>
                </pic:pic>
              </a:graphicData>
            </a:graphic>
          </wp:inline>
        </w:drawing>
      </w:r>
    </w:p>
    <w:p w14:paraId="3F3D5208">
      <w:pPr>
        <w:spacing w:line="360" w:lineRule="auto"/>
        <w:rPr>
          <w:rFonts w:hint="eastAsia"/>
          <w:lang w:val="en-US" w:eastAsia="zh-CN"/>
        </w:rPr>
      </w:pPr>
      <w:r>
        <w:rPr>
          <w:rFonts w:hint="eastAsia"/>
          <w:lang w:val="en-US" w:eastAsia="zh-CN"/>
        </w:rPr>
        <w:br w:type="page"/>
      </w:r>
    </w:p>
    <w:p w14:paraId="0E48E30E">
      <w:pPr>
        <w:spacing w:line="360" w:lineRule="auto"/>
        <w:rPr>
          <w:rFonts w:hint="eastAsia"/>
          <w:lang w:val="en-US" w:eastAsia="zh-CN"/>
        </w:rPr>
      </w:pPr>
    </w:p>
    <w:p w14:paraId="5A2F38C6">
      <w:pPr>
        <w:bidi w:val="0"/>
        <w:spacing w:line="360" w:lineRule="auto"/>
        <w:ind w:left="0" w:leftChars="0" w:firstLine="0" w:firstLineChars="0"/>
        <w:jc w:val="center"/>
        <w:rPr>
          <w:rFonts w:hint="eastAsia" w:ascii="Times New Roman" w:hAnsi="Times New Roman" w:eastAsia="楷体" w:cs="楷体"/>
          <w:b w:val="0"/>
          <w:bCs w:val="0"/>
          <w:kern w:val="2"/>
          <w:sz w:val="28"/>
          <w:szCs w:val="28"/>
          <w:lang w:val="en-US" w:eastAsia="zh-CN" w:bidi="ar-SA"/>
        </w:rPr>
      </w:pPr>
      <w:r>
        <w:rPr>
          <w:rFonts w:hint="eastAsia" w:ascii="Times New Roman" w:hAnsi="Times New Roman" w:eastAsia="楷体" w:cs="楷体"/>
          <w:b w:val="0"/>
          <w:bCs w:val="0"/>
          <w:kern w:val="2"/>
          <w:sz w:val="28"/>
          <w:szCs w:val="28"/>
          <w:lang w:val="en-US" w:eastAsia="zh-CN" w:bidi="ar-SA"/>
        </w:rPr>
        <w:drawing>
          <wp:inline distT="0" distB="0" distL="114300" distR="114300">
            <wp:extent cx="5278120" cy="7397115"/>
            <wp:effectExtent l="106045" t="114935" r="114935" b="133350"/>
            <wp:docPr id="190" name="图片 190" descr="20240711113812_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0" descr="20240711113812_10(1)"/>
                    <pic:cNvPicPr>
                      <a:picLocks noChangeAspect="1"/>
                    </pic:cNvPicPr>
                  </pic:nvPicPr>
                  <pic:blipFill>
                    <a:blip r:embed="rId110"/>
                    <a:srcRect t="944"/>
                    <a:stretch>
                      <a:fillRect/>
                    </a:stretch>
                  </pic:blipFill>
                  <pic:spPr>
                    <a:xfrm>
                      <a:off x="0" y="0"/>
                      <a:ext cx="5278120" cy="7397115"/>
                    </a:xfrm>
                    <a:prstGeom prst="rect">
                      <a:avLst/>
                    </a:prstGeom>
                    <a:effectLst>
                      <a:outerShdw blurRad="63500" sx="102000" sy="102000" algn="ctr" rotWithShape="0">
                        <a:prstClr val="black">
                          <a:alpha val="40000"/>
                        </a:prstClr>
                      </a:outerShdw>
                    </a:effectLst>
                  </pic:spPr>
                </pic:pic>
              </a:graphicData>
            </a:graphic>
          </wp:inline>
        </w:drawing>
      </w:r>
    </w:p>
    <w:p w14:paraId="70D88F6A">
      <w:pPr>
        <w:spacing w:line="360" w:lineRule="auto"/>
        <w:rPr>
          <w:rFonts w:hint="eastAsia" w:ascii="Times New Roman" w:hAnsi="Times New Roman" w:eastAsia="仿宋" w:cstheme="minorBidi"/>
          <w:b w:val="0"/>
          <w:bCs/>
          <w:kern w:val="44"/>
          <w:sz w:val="28"/>
          <w:szCs w:val="28"/>
          <w:lang w:val="en-US" w:eastAsia="zh-CN" w:bidi="ar-SA"/>
        </w:rPr>
      </w:pPr>
      <w:r>
        <w:rPr>
          <w:rFonts w:hint="eastAsia" w:ascii="Times New Roman" w:hAnsi="Times New Roman" w:eastAsia="仿宋" w:cstheme="minorBidi"/>
          <w:b w:val="0"/>
          <w:bCs/>
          <w:kern w:val="44"/>
          <w:sz w:val="28"/>
          <w:szCs w:val="28"/>
          <w:lang w:val="en-US" w:eastAsia="zh-CN" w:bidi="ar-SA"/>
        </w:rPr>
        <w:br w:type="page"/>
      </w:r>
    </w:p>
    <w:p w14:paraId="71648235">
      <w:pPr>
        <w:spacing w:line="360" w:lineRule="auto"/>
        <w:ind w:left="0" w:leftChars="0" w:firstLine="0" w:firstLineChars="0"/>
        <w:jc w:val="center"/>
        <w:rPr>
          <w:rFonts w:hint="eastAsia" w:ascii="Times New Roman" w:hAnsi="Times New Roman" w:eastAsia="仿宋" w:cstheme="minorBidi"/>
          <w:b w:val="0"/>
          <w:bCs/>
          <w:kern w:val="44"/>
          <w:sz w:val="28"/>
          <w:szCs w:val="28"/>
          <w:lang w:val="en-US" w:eastAsia="zh-CN" w:bidi="ar-SA"/>
        </w:rPr>
      </w:pPr>
    </w:p>
    <w:p w14:paraId="05E9881C">
      <w:pPr>
        <w:bidi w:val="0"/>
        <w:spacing w:line="360" w:lineRule="auto"/>
        <w:ind w:left="0" w:leftChars="0" w:firstLine="0" w:firstLineChars="0"/>
        <w:jc w:val="center"/>
        <w:rPr>
          <w:rFonts w:hint="eastAsia" w:ascii="Times New Roman" w:hAnsi="Times New Roman" w:eastAsia="楷体" w:cs="楷体"/>
          <w:b w:val="0"/>
          <w:bCs w:val="0"/>
          <w:kern w:val="2"/>
          <w:sz w:val="28"/>
          <w:szCs w:val="28"/>
          <w:lang w:val="en-US" w:eastAsia="zh-CN" w:bidi="ar-SA"/>
        </w:rPr>
      </w:pPr>
      <w:r>
        <w:rPr>
          <w:rFonts w:hint="eastAsia" w:ascii="Times New Roman" w:hAnsi="Times New Roman" w:eastAsia="楷体" w:cs="楷体"/>
          <w:b w:val="0"/>
          <w:bCs w:val="0"/>
          <w:kern w:val="2"/>
          <w:sz w:val="28"/>
          <w:szCs w:val="28"/>
          <w:lang w:val="en-US" w:eastAsia="zh-CN" w:bidi="ar-SA"/>
        </w:rPr>
        <w:drawing>
          <wp:inline distT="0" distB="0" distL="114300" distR="114300">
            <wp:extent cx="5278120" cy="7397115"/>
            <wp:effectExtent l="106045" t="114935" r="114935" b="133350"/>
            <wp:docPr id="191" name="图片 191" descr="20240711113812_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91" descr="20240711113812_11(1)"/>
                    <pic:cNvPicPr>
                      <a:picLocks noChangeAspect="1"/>
                    </pic:cNvPicPr>
                  </pic:nvPicPr>
                  <pic:blipFill>
                    <a:blip r:embed="rId111"/>
                    <a:srcRect t="944"/>
                    <a:stretch>
                      <a:fillRect/>
                    </a:stretch>
                  </pic:blipFill>
                  <pic:spPr>
                    <a:xfrm>
                      <a:off x="0" y="0"/>
                      <a:ext cx="5278120" cy="7397115"/>
                    </a:xfrm>
                    <a:prstGeom prst="rect">
                      <a:avLst/>
                    </a:prstGeom>
                    <a:effectLst>
                      <a:outerShdw blurRad="63500" sx="102000" sy="102000" algn="ctr" rotWithShape="0">
                        <a:prstClr val="black">
                          <a:alpha val="40000"/>
                        </a:prstClr>
                      </a:outerShdw>
                    </a:effectLst>
                  </pic:spPr>
                </pic:pic>
              </a:graphicData>
            </a:graphic>
          </wp:inline>
        </w:drawing>
      </w:r>
    </w:p>
    <w:p w14:paraId="7B9F47B1">
      <w:pPr>
        <w:spacing w:line="360" w:lineRule="auto"/>
        <w:rPr>
          <w:rFonts w:hint="eastAsia" w:ascii="Times New Roman" w:hAnsi="Times New Roman" w:eastAsia="仿宋" w:cstheme="minorBidi"/>
          <w:b w:val="0"/>
          <w:bCs/>
          <w:kern w:val="44"/>
          <w:sz w:val="28"/>
          <w:szCs w:val="28"/>
          <w:lang w:val="en-US" w:eastAsia="zh-CN" w:bidi="ar-SA"/>
        </w:rPr>
      </w:pPr>
      <w:r>
        <w:rPr>
          <w:rFonts w:hint="eastAsia" w:ascii="Times New Roman" w:hAnsi="Times New Roman" w:eastAsia="仿宋" w:cstheme="minorBidi"/>
          <w:b w:val="0"/>
          <w:bCs/>
          <w:kern w:val="44"/>
          <w:sz w:val="28"/>
          <w:szCs w:val="28"/>
          <w:lang w:val="en-US" w:eastAsia="zh-CN" w:bidi="ar-SA"/>
        </w:rPr>
        <w:br w:type="page"/>
      </w:r>
    </w:p>
    <w:p w14:paraId="01FFD60A">
      <w:pPr>
        <w:spacing w:line="360" w:lineRule="auto"/>
        <w:ind w:left="0" w:leftChars="0" w:firstLine="0" w:firstLineChars="0"/>
        <w:jc w:val="center"/>
        <w:rPr>
          <w:rFonts w:hint="eastAsia" w:ascii="Times New Roman" w:hAnsi="Times New Roman" w:eastAsia="仿宋" w:cstheme="minorBidi"/>
          <w:b w:val="0"/>
          <w:bCs/>
          <w:kern w:val="44"/>
          <w:sz w:val="28"/>
          <w:szCs w:val="28"/>
          <w:lang w:val="en-US" w:eastAsia="zh-CN" w:bidi="ar-SA"/>
        </w:rPr>
      </w:pPr>
    </w:p>
    <w:p w14:paraId="40139EB0">
      <w:pPr>
        <w:bidi w:val="0"/>
        <w:spacing w:line="360" w:lineRule="auto"/>
        <w:ind w:left="0" w:leftChars="0" w:firstLine="0" w:firstLineChars="0"/>
        <w:jc w:val="center"/>
        <w:rPr>
          <w:rFonts w:hint="eastAsia" w:ascii="Times New Roman" w:hAnsi="Times New Roman" w:eastAsia="楷体" w:cs="楷体"/>
          <w:b w:val="0"/>
          <w:bCs w:val="0"/>
          <w:kern w:val="2"/>
          <w:sz w:val="28"/>
          <w:szCs w:val="28"/>
          <w:lang w:val="en-US" w:eastAsia="zh-CN" w:bidi="ar-SA"/>
        </w:rPr>
      </w:pPr>
      <w:r>
        <w:rPr>
          <w:rFonts w:hint="eastAsia" w:ascii="Times New Roman" w:hAnsi="Times New Roman" w:eastAsia="楷体" w:cs="楷体"/>
          <w:b w:val="0"/>
          <w:bCs w:val="0"/>
          <w:kern w:val="2"/>
          <w:sz w:val="28"/>
          <w:szCs w:val="28"/>
          <w:lang w:val="en-US" w:eastAsia="zh-CN" w:bidi="ar-SA"/>
        </w:rPr>
        <w:drawing>
          <wp:inline distT="0" distB="0" distL="114300" distR="114300">
            <wp:extent cx="5278120" cy="7386955"/>
            <wp:effectExtent l="106045" t="114935" r="114935" b="130810"/>
            <wp:docPr id="192" name="图片 192" descr="20240711113812_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descr="20240711113812_12(1)"/>
                    <pic:cNvPicPr>
                      <a:picLocks noChangeAspect="1"/>
                    </pic:cNvPicPr>
                  </pic:nvPicPr>
                  <pic:blipFill>
                    <a:blip r:embed="rId112"/>
                    <a:srcRect t="1080"/>
                    <a:stretch>
                      <a:fillRect/>
                    </a:stretch>
                  </pic:blipFill>
                  <pic:spPr>
                    <a:xfrm>
                      <a:off x="0" y="0"/>
                      <a:ext cx="5278120" cy="7386955"/>
                    </a:xfrm>
                    <a:prstGeom prst="rect">
                      <a:avLst/>
                    </a:prstGeom>
                    <a:effectLst>
                      <a:outerShdw blurRad="63500" sx="102000" sy="102000" algn="ctr" rotWithShape="0">
                        <a:prstClr val="black">
                          <a:alpha val="40000"/>
                        </a:prstClr>
                      </a:outerShdw>
                    </a:effectLst>
                  </pic:spPr>
                </pic:pic>
              </a:graphicData>
            </a:graphic>
          </wp:inline>
        </w:drawing>
      </w:r>
    </w:p>
    <w:p w14:paraId="6F4EFA43">
      <w:pPr>
        <w:spacing w:line="360" w:lineRule="auto"/>
        <w:rPr>
          <w:rFonts w:hint="eastAsia"/>
          <w:lang w:val="en-US" w:eastAsia="zh-CN"/>
        </w:rPr>
      </w:pPr>
      <w:r>
        <w:rPr>
          <w:rFonts w:hint="eastAsia" w:ascii="Times New Roman" w:hAnsi="Times New Roman" w:eastAsia="仿宋" w:cstheme="minorBidi"/>
          <w:b w:val="0"/>
          <w:bCs/>
          <w:kern w:val="44"/>
          <w:sz w:val="28"/>
          <w:szCs w:val="28"/>
          <w:lang w:val="en-US" w:eastAsia="zh-CN" w:bidi="ar-SA"/>
        </w:rPr>
        <w:br w:type="page"/>
      </w:r>
    </w:p>
    <w:p w14:paraId="798C9326">
      <w:pPr>
        <w:pStyle w:val="3"/>
        <w:numPr>
          <w:ilvl w:val="1"/>
          <w:numId w:val="0"/>
        </w:numPr>
        <w:bidi w:val="0"/>
        <w:spacing w:line="360" w:lineRule="auto"/>
        <w:ind w:left="0" w:leftChars="0" w:firstLine="0" w:firstLineChars="0"/>
        <w:rPr>
          <w:rFonts w:hint="eastAsia" w:ascii="楷体" w:hAnsi="楷体" w:eastAsia="楷体" w:cs="楷体"/>
          <w:lang w:val="en-US" w:eastAsia="zh-CN"/>
        </w:rPr>
      </w:pPr>
      <w:bookmarkStart w:id="202" w:name="_Toc8252"/>
      <w:bookmarkStart w:id="203" w:name="_Toc28440"/>
      <w:bookmarkStart w:id="204" w:name="_Toc6844"/>
      <w:bookmarkStart w:id="205" w:name="_Toc22779"/>
      <w:bookmarkStart w:id="206" w:name="_Toc12157"/>
      <w:bookmarkStart w:id="207" w:name="_Toc7252"/>
      <w:r>
        <w:rPr>
          <w:rFonts w:hint="eastAsia" w:ascii="Times New Roman" w:hAnsi="Times New Roman" w:eastAsia="仿宋" w:cs="Arial"/>
          <w:b/>
          <w:snapToGrid w:val="0"/>
          <w:color w:val="000000"/>
          <w:kern w:val="0"/>
          <w:sz w:val="30"/>
          <w:szCs w:val="30"/>
          <w:lang w:val="en-US" w:eastAsia="zh-CN" w:bidi="ar-SA"/>
        </w:rPr>
        <w:t>13.2</w:t>
      </w:r>
      <w:r>
        <w:rPr>
          <w:rFonts w:hint="eastAsia" w:ascii="楷体" w:hAnsi="楷体" w:eastAsia="楷体" w:cs="楷体"/>
          <w:lang w:val="en-US" w:eastAsia="zh-CN"/>
        </w:rPr>
        <w:t>所获专利</w:t>
      </w:r>
      <w:bookmarkEnd w:id="202"/>
      <w:bookmarkEnd w:id="203"/>
      <w:bookmarkEnd w:id="204"/>
      <w:bookmarkEnd w:id="205"/>
    </w:p>
    <w:p w14:paraId="3DD6962C">
      <w:pPr>
        <w:pStyle w:val="4"/>
        <w:numPr>
          <w:ilvl w:val="2"/>
          <w:numId w:val="0"/>
        </w:numPr>
        <w:bidi w:val="0"/>
        <w:spacing w:line="360" w:lineRule="auto"/>
        <w:ind w:left="0" w:leftChars="0" w:firstLine="720" w:firstLineChars="0"/>
        <w:rPr>
          <w:rFonts w:hint="eastAsia" w:ascii="Times New Roman" w:hAnsi="Times New Roman" w:eastAsia="楷体" w:cs="Times New Roman"/>
          <w:b/>
          <w:bCs/>
          <w:snapToGrid w:val="0"/>
          <w:color w:val="000000"/>
          <w:kern w:val="0"/>
          <w:sz w:val="28"/>
          <w:szCs w:val="28"/>
          <w:lang w:val="en-US" w:eastAsia="zh-CN" w:bidi="ar-SA"/>
        </w:rPr>
      </w:pPr>
      <w:bookmarkStart w:id="208" w:name="_Toc13926"/>
      <w:bookmarkStart w:id="209" w:name="_Toc6598"/>
      <w:bookmarkStart w:id="210" w:name="_Toc24071"/>
      <w:bookmarkStart w:id="211" w:name="_Toc2130"/>
      <w:bookmarkStart w:id="212" w:name="_Toc9800"/>
      <w:r>
        <w:rPr>
          <w:rFonts w:hint="eastAsia" w:ascii="Times New Roman" w:hAnsi="Times New Roman" w:cs="Times New Roman"/>
          <w:b/>
          <w:bCs/>
          <w:snapToGrid w:val="0"/>
          <w:color w:val="000000"/>
          <w:kern w:val="0"/>
          <w:sz w:val="28"/>
          <w:szCs w:val="28"/>
          <w:lang w:val="en-US" w:eastAsia="zh-CN" w:bidi="ar-SA"/>
        </w:rPr>
        <w:t>13.2.1</w:t>
      </w:r>
      <w:r>
        <w:rPr>
          <w:rFonts w:hint="eastAsia" w:ascii="Times New Roman" w:hAnsi="Times New Roman" w:eastAsia="楷体" w:cs="Times New Roman"/>
          <w:b/>
          <w:bCs/>
          <w:snapToGrid w:val="0"/>
          <w:color w:val="000000"/>
          <w:kern w:val="0"/>
          <w:sz w:val="28"/>
          <w:szCs w:val="28"/>
          <w:lang w:val="en-US" w:eastAsia="zh-CN" w:bidi="ar-SA"/>
        </w:rPr>
        <w:t>“一种隔震支座”专利申请受理通知书</w:t>
      </w:r>
      <w:bookmarkEnd w:id="208"/>
      <w:bookmarkEnd w:id="209"/>
      <w:bookmarkEnd w:id="210"/>
      <w:bookmarkEnd w:id="211"/>
      <w:bookmarkEnd w:id="212"/>
      <w:bookmarkStart w:id="213" w:name="_Toc9540"/>
      <w:bookmarkStart w:id="214" w:name="_Toc25456"/>
      <w:bookmarkStart w:id="215" w:name="_Toc21369"/>
    </w:p>
    <w:p w14:paraId="4DAF5037">
      <w:pPr>
        <w:spacing w:line="360" w:lineRule="auto"/>
        <w:ind w:left="0" w:leftChars="0" w:firstLine="0" w:firstLineChars="0"/>
        <w:jc w:val="center"/>
        <w:rPr>
          <w:rFonts w:hint="eastAsia"/>
          <w:lang w:val="en-US" w:eastAsia="zh-CN"/>
        </w:rPr>
      </w:pPr>
      <w:r>
        <w:rPr>
          <w:rFonts w:hint="default"/>
          <w:lang w:val="en-US" w:eastAsia="zh-CN"/>
        </w:rPr>
        <w:drawing>
          <wp:inline distT="0" distB="0" distL="114300" distR="114300">
            <wp:extent cx="5313680" cy="7401560"/>
            <wp:effectExtent l="106680" t="114935" r="116840" b="128905"/>
            <wp:docPr id="229" name="图片 20" descr="C:/Users/蒋晨星/Desktop/WPS图片(1).pngWPS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20" descr="C:/Users/蒋晨星/Desktop/WPS图片(1).pngWPS图片(1)"/>
                    <pic:cNvPicPr>
                      <a:picLocks noChangeAspect="1"/>
                    </pic:cNvPicPr>
                  </pic:nvPicPr>
                  <pic:blipFill>
                    <a:blip r:embed="rId113"/>
                    <a:srcRect t="776" b="776"/>
                    <a:stretch>
                      <a:fillRect/>
                    </a:stretch>
                  </pic:blipFill>
                  <pic:spPr>
                    <a:xfrm>
                      <a:off x="0" y="0"/>
                      <a:ext cx="5313680" cy="7401560"/>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7D0642B4">
      <w:pPr>
        <w:pStyle w:val="4"/>
        <w:numPr>
          <w:ilvl w:val="2"/>
          <w:numId w:val="0"/>
        </w:numPr>
        <w:bidi w:val="0"/>
        <w:spacing w:line="360" w:lineRule="auto"/>
        <w:ind w:left="0" w:leftChars="0" w:firstLine="720" w:firstLineChars="0"/>
        <w:rPr>
          <w:rFonts w:hint="eastAsia" w:ascii="Times New Roman" w:hAnsi="Times New Roman" w:eastAsia="楷体" w:cs="Times New Roman"/>
          <w:b/>
          <w:bCs/>
          <w:snapToGrid w:val="0"/>
          <w:color w:val="000000"/>
          <w:kern w:val="0"/>
          <w:sz w:val="28"/>
          <w:szCs w:val="28"/>
          <w:lang w:val="en-US" w:eastAsia="zh-CN" w:bidi="ar-SA"/>
        </w:rPr>
      </w:pPr>
      <w:bookmarkStart w:id="216" w:name="_Toc11114"/>
      <w:bookmarkStart w:id="217" w:name="_Toc7139"/>
      <w:r>
        <w:rPr>
          <w:rFonts w:hint="eastAsia" w:ascii="Times New Roman" w:hAnsi="Times New Roman" w:cs="Times New Roman"/>
          <w:b/>
          <w:bCs/>
          <w:snapToGrid w:val="0"/>
          <w:color w:val="000000"/>
          <w:kern w:val="0"/>
          <w:sz w:val="28"/>
          <w:szCs w:val="28"/>
          <w:lang w:val="en-US" w:eastAsia="zh-CN" w:bidi="ar-SA"/>
        </w:rPr>
        <w:t>13.</w:t>
      </w:r>
      <w:r>
        <w:rPr>
          <w:rFonts w:hint="eastAsia" w:ascii="Times New Roman" w:hAnsi="Times New Roman" w:eastAsia="楷体" w:cs="Times New Roman"/>
          <w:b/>
          <w:bCs/>
          <w:snapToGrid w:val="0"/>
          <w:color w:val="000000"/>
          <w:kern w:val="0"/>
          <w:sz w:val="28"/>
          <w:szCs w:val="28"/>
          <w:lang w:val="en-US" w:eastAsia="zh-CN" w:bidi="ar-SA"/>
        </w:rPr>
        <w:t>2.2“隔震支座”专利申请受理通知书</w:t>
      </w:r>
      <w:bookmarkEnd w:id="213"/>
      <w:bookmarkEnd w:id="214"/>
      <w:bookmarkEnd w:id="215"/>
      <w:bookmarkEnd w:id="216"/>
      <w:bookmarkEnd w:id="217"/>
    </w:p>
    <w:p w14:paraId="7189321E">
      <w:pPr>
        <w:pStyle w:val="4"/>
        <w:numPr>
          <w:ilvl w:val="2"/>
          <w:numId w:val="0"/>
        </w:numPr>
        <w:bidi w:val="0"/>
        <w:spacing w:line="360" w:lineRule="auto"/>
        <w:jc w:val="center"/>
        <w:rPr>
          <w:rFonts w:hint="eastAsia" w:ascii="Times New Roman" w:hAnsi="Times New Roman" w:eastAsia="楷体" w:cs="Times New Roman"/>
          <w:b/>
          <w:bCs/>
          <w:snapToGrid w:val="0"/>
          <w:color w:val="000000"/>
          <w:kern w:val="0"/>
          <w:sz w:val="28"/>
          <w:szCs w:val="28"/>
          <w:lang w:val="en-US" w:eastAsia="zh-CN" w:bidi="ar-SA"/>
        </w:rPr>
        <w:sectPr>
          <w:pgSz w:w="11910" w:h="16840"/>
          <w:pgMar w:top="1417" w:right="1417" w:bottom="1417" w:left="1417" w:header="567" w:footer="567" w:gutter="0"/>
          <w:pgNumType w:fmt="decimal"/>
          <w:cols w:space="0" w:num="1"/>
          <w:rtlGutter w:val="0"/>
          <w:docGrid w:linePitch="312" w:charSpace="0"/>
        </w:sectPr>
      </w:pPr>
      <w:bookmarkStart w:id="218" w:name="_Toc20993"/>
      <w:bookmarkStart w:id="219" w:name="_Toc12190"/>
      <w:bookmarkStart w:id="220" w:name="_Toc21281"/>
      <w:r>
        <w:rPr>
          <w:rFonts w:hint="default" w:ascii="Times New Roman" w:hAnsi="Times New Roman" w:eastAsia="楷体" w:cs="Times New Roman"/>
          <w:b/>
          <w:bCs/>
          <w:snapToGrid w:val="0"/>
          <w:color w:val="000000"/>
          <w:kern w:val="0"/>
          <w:sz w:val="28"/>
          <w:szCs w:val="28"/>
          <w:lang w:val="en-US" w:eastAsia="zh-CN" w:bidi="ar-SA"/>
        </w:rPr>
        <w:drawing>
          <wp:inline distT="0" distB="0" distL="114300" distR="114300">
            <wp:extent cx="5313045" cy="7401560"/>
            <wp:effectExtent l="106680" t="114935" r="117475" b="128905"/>
            <wp:docPr id="230" name="图片 20" descr="C:/Users/蒋晨星/Desktop/WPS图片(1).pngWPS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20" descr="C:/Users/蒋晨星/Desktop/WPS图片(1).pngWPS图片(1)"/>
                    <pic:cNvPicPr>
                      <a:picLocks noChangeAspect="1"/>
                    </pic:cNvPicPr>
                  </pic:nvPicPr>
                  <pic:blipFill>
                    <a:blip r:embed="rId114"/>
                    <a:srcRect t="851" b="851"/>
                    <a:stretch>
                      <a:fillRect/>
                    </a:stretch>
                  </pic:blipFill>
                  <pic:spPr>
                    <a:xfrm>
                      <a:off x="0" y="0"/>
                      <a:ext cx="5313045" cy="7401560"/>
                    </a:xfrm>
                    <a:prstGeom prst="rect">
                      <a:avLst/>
                    </a:prstGeom>
                    <a:noFill/>
                    <a:ln>
                      <a:noFill/>
                    </a:ln>
                    <a:effectLst>
                      <a:outerShdw blurRad="63500" sx="102000" sy="102000" algn="ctr" rotWithShape="0">
                        <a:prstClr val="black">
                          <a:alpha val="40000"/>
                        </a:prstClr>
                      </a:outerShdw>
                    </a:effectLst>
                  </pic:spPr>
                </pic:pic>
              </a:graphicData>
            </a:graphic>
          </wp:inline>
        </w:drawing>
      </w:r>
      <w:bookmarkEnd w:id="218"/>
      <w:bookmarkEnd w:id="219"/>
      <w:bookmarkEnd w:id="220"/>
    </w:p>
    <w:p w14:paraId="5222BB3E">
      <w:pPr>
        <w:pStyle w:val="4"/>
        <w:numPr>
          <w:ilvl w:val="2"/>
          <w:numId w:val="0"/>
        </w:numPr>
        <w:bidi w:val="0"/>
        <w:spacing w:line="360" w:lineRule="auto"/>
        <w:ind w:left="0" w:leftChars="0" w:firstLine="720" w:firstLineChars="0"/>
        <w:rPr>
          <w:rFonts w:hint="eastAsia" w:ascii="Times New Roman" w:hAnsi="Times New Roman" w:eastAsia="楷体" w:cs="Times New Roman"/>
          <w:b/>
          <w:bCs/>
          <w:snapToGrid w:val="0"/>
          <w:color w:val="000000"/>
          <w:kern w:val="0"/>
          <w:sz w:val="28"/>
          <w:szCs w:val="28"/>
          <w:lang w:val="en-US" w:eastAsia="zh-CN" w:bidi="ar-SA"/>
        </w:rPr>
      </w:pPr>
      <w:bookmarkStart w:id="221" w:name="_Toc26760"/>
      <w:bookmarkStart w:id="222" w:name="_Toc7144"/>
      <w:r>
        <w:rPr>
          <w:rFonts w:hint="eastAsia" w:ascii="Times New Roman" w:hAnsi="Times New Roman" w:cs="Times New Roman"/>
          <w:b/>
          <w:bCs/>
          <w:snapToGrid w:val="0"/>
          <w:color w:val="000000"/>
          <w:kern w:val="0"/>
          <w:sz w:val="28"/>
          <w:szCs w:val="28"/>
          <w:lang w:val="en-US" w:eastAsia="zh-CN" w:bidi="ar-SA"/>
        </w:rPr>
        <w:t>13.</w:t>
      </w:r>
      <w:r>
        <w:rPr>
          <w:rFonts w:hint="eastAsia" w:ascii="Times New Roman" w:hAnsi="Times New Roman" w:eastAsia="楷体" w:cs="Times New Roman"/>
          <w:b/>
          <w:bCs/>
          <w:snapToGrid w:val="0"/>
          <w:color w:val="000000"/>
          <w:kern w:val="0"/>
          <w:sz w:val="28"/>
          <w:szCs w:val="28"/>
          <w:lang w:val="en-US" w:eastAsia="zh-CN" w:bidi="ar-SA"/>
        </w:rPr>
        <w:t>2.3“一种隔震支座”专利申请受理通知书</w:t>
      </w:r>
      <w:bookmarkEnd w:id="221"/>
      <w:bookmarkEnd w:id="222"/>
    </w:p>
    <w:p w14:paraId="0F9FF6F0">
      <w:pPr>
        <w:pStyle w:val="4"/>
        <w:numPr>
          <w:ilvl w:val="2"/>
          <w:numId w:val="0"/>
        </w:numPr>
        <w:bidi w:val="0"/>
        <w:spacing w:line="360" w:lineRule="auto"/>
        <w:jc w:val="center"/>
        <w:rPr>
          <w:rFonts w:hint="eastAsia"/>
          <w:lang w:val="en-US" w:eastAsia="zh-CN"/>
        </w:rPr>
        <w:sectPr>
          <w:pgSz w:w="11910" w:h="16840"/>
          <w:pgMar w:top="1417" w:right="1417" w:bottom="1417" w:left="1417" w:header="567" w:footer="567" w:gutter="0"/>
          <w:pgNumType w:fmt="decimal"/>
          <w:cols w:space="0" w:num="1"/>
          <w:rtlGutter w:val="0"/>
          <w:docGrid w:linePitch="312" w:charSpace="0"/>
        </w:sectPr>
      </w:pPr>
      <w:bookmarkStart w:id="223" w:name="_Toc1056"/>
      <w:bookmarkStart w:id="224" w:name="_Toc28792"/>
      <w:bookmarkStart w:id="225" w:name="_Toc4429"/>
      <w:r>
        <w:drawing>
          <wp:inline distT="0" distB="0" distL="114300" distR="114300">
            <wp:extent cx="5292090" cy="7401560"/>
            <wp:effectExtent l="106680" t="114935" r="113030" b="128905"/>
            <wp:docPr id="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
                    <pic:cNvPicPr>
                      <a:picLocks noChangeAspect="1"/>
                    </pic:cNvPicPr>
                  </pic:nvPicPr>
                  <pic:blipFill>
                    <a:blip r:embed="rId115"/>
                    <a:stretch>
                      <a:fillRect/>
                    </a:stretch>
                  </pic:blipFill>
                  <pic:spPr>
                    <a:xfrm>
                      <a:off x="0" y="0"/>
                      <a:ext cx="5292090" cy="7401560"/>
                    </a:xfrm>
                    <a:prstGeom prst="rect">
                      <a:avLst/>
                    </a:prstGeom>
                    <a:noFill/>
                    <a:ln>
                      <a:noFill/>
                    </a:ln>
                    <a:effectLst>
                      <a:outerShdw blurRad="63500" sx="102000" sy="102000" algn="ctr" rotWithShape="0">
                        <a:prstClr val="black">
                          <a:alpha val="40000"/>
                        </a:prstClr>
                      </a:outerShdw>
                    </a:effectLst>
                  </pic:spPr>
                </pic:pic>
              </a:graphicData>
            </a:graphic>
          </wp:inline>
        </w:drawing>
      </w:r>
      <w:bookmarkEnd w:id="223"/>
      <w:bookmarkEnd w:id="224"/>
      <w:bookmarkEnd w:id="225"/>
    </w:p>
    <w:bookmarkEnd w:id="206"/>
    <w:p w14:paraId="6730224C">
      <w:pPr>
        <w:pStyle w:val="3"/>
        <w:bidi w:val="0"/>
        <w:spacing w:line="360" w:lineRule="auto"/>
        <w:rPr>
          <w:rFonts w:hint="default"/>
          <w:lang w:val="en-US" w:eastAsia="zh-CN"/>
        </w:rPr>
      </w:pPr>
      <w:bookmarkStart w:id="226" w:name="_Toc3706"/>
      <w:bookmarkStart w:id="227" w:name="_Toc13925"/>
      <w:bookmarkStart w:id="228" w:name="_Toc15504"/>
      <w:bookmarkStart w:id="229" w:name="_Toc21381"/>
      <w:r>
        <w:rPr>
          <w:rFonts w:hint="eastAsia"/>
          <w:lang w:val="en-US" w:eastAsia="zh-CN"/>
        </w:rPr>
        <w:t>13.4</w:t>
      </w:r>
      <w:r>
        <w:rPr>
          <w:rFonts w:hint="eastAsia" w:ascii="楷体" w:hAnsi="楷体" w:eastAsia="楷体" w:cs="楷体"/>
          <w:lang w:val="en-US" w:eastAsia="zh-CN"/>
        </w:rPr>
        <w:t>应用证明</w:t>
      </w:r>
      <w:bookmarkEnd w:id="226"/>
      <w:bookmarkEnd w:id="227"/>
      <w:bookmarkEnd w:id="228"/>
      <w:bookmarkEnd w:id="229"/>
    </w:p>
    <w:bookmarkEnd w:id="207"/>
    <w:p w14:paraId="37AB3983">
      <w:pPr>
        <w:pStyle w:val="4"/>
        <w:numPr>
          <w:ilvl w:val="2"/>
          <w:numId w:val="0"/>
        </w:numPr>
        <w:bidi w:val="0"/>
        <w:spacing w:line="360" w:lineRule="auto"/>
        <w:ind w:left="0" w:leftChars="0" w:firstLine="720" w:firstLineChars="0"/>
        <w:rPr>
          <w:rFonts w:hint="default" w:ascii="Times New Roman" w:hAnsi="Times New Roman" w:eastAsia="楷体" w:cs="Times New Roman"/>
          <w:b/>
          <w:bCs/>
          <w:snapToGrid w:val="0"/>
          <w:color w:val="000000"/>
          <w:kern w:val="0"/>
          <w:sz w:val="28"/>
          <w:szCs w:val="28"/>
          <w:lang w:val="en-US" w:eastAsia="zh-CN" w:bidi="ar-SA"/>
        </w:rPr>
      </w:pPr>
      <w:bookmarkStart w:id="230" w:name="_Toc9602"/>
      <w:bookmarkStart w:id="231" w:name="_Toc6443"/>
      <w:bookmarkStart w:id="232" w:name="_Toc29204"/>
      <w:bookmarkStart w:id="233" w:name="_Toc22461"/>
      <w:bookmarkStart w:id="234" w:name="_Toc1819"/>
      <w:r>
        <w:rPr>
          <w:rFonts w:hint="eastAsia" w:ascii="Times New Roman" w:hAnsi="Times New Roman" w:cs="Times New Roman"/>
          <w:b/>
          <w:bCs/>
          <w:snapToGrid w:val="0"/>
          <w:color w:val="000000"/>
          <w:kern w:val="0"/>
          <w:sz w:val="28"/>
          <w:szCs w:val="28"/>
          <w:lang w:val="en-US" w:eastAsia="zh-CN" w:bidi="ar-SA"/>
        </w:rPr>
        <w:t>13.</w:t>
      </w:r>
      <w:r>
        <w:rPr>
          <w:rFonts w:hint="eastAsia" w:ascii="Times New Roman" w:hAnsi="Times New Roman" w:eastAsia="楷体" w:cs="Times New Roman"/>
          <w:b/>
          <w:bCs/>
          <w:snapToGrid w:val="0"/>
          <w:color w:val="000000"/>
          <w:kern w:val="0"/>
          <w:sz w:val="28"/>
          <w:szCs w:val="28"/>
          <w:lang w:val="en-US" w:eastAsia="zh-CN" w:bidi="ar-SA"/>
        </w:rPr>
        <w:t>4.1四川攀枝花市东区银江镇民居抗震加固工程</w:t>
      </w:r>
      <w:bookmarkEnd w:id="230"/>
      <w:bookmarkEnd w:id="231"/>
      <w:bookmarkEnd w:id="232"/>
      <w:bookmarkEnd w:id="233"/>
      <w:bookmarkEnd w:id="234"/>
    </w:p>
    <w:p w14:paraId="2447AA99">
      <w:pPr>
        <w:numPr>
          <w:ilvl w:val="0"/>
          <w:numId w:val="0"/>
        </w:numPr>
        <w:bidi w:val="0"/>
        <w:spacing w:line="360" w:lineRule="auto"/>
        <w:ind w:leftChars="0"/>
        <w:jc w:val="center"/>
        <w:rPr>
          <w:rFonts w:hint="eastAsia" w:ascii="Times New Roman" w:hAnsi="Times New Roman" w:eastAsia="楷体" w:cs="楷体"/>
          <w:b w:val="0"/>
          <w:bCs w:val="0"/>
          <w:kern w:val="2"/>
          <w:sz w:val="28"/>
          <w:szCs w:val="28"/>
          <w:lang w:val="en-US" w:eastAsia="zh-CN" w:bidi="ar-SA"/>
        </w:rPr>
        <w:sectPr>
          <w:footerReference r:id="rId5" w:type="default"/>
          <w:pgSz w:w="11910" w:h="16840"/>
          <w:pgMar w:top="1417" w:right="1417" w:bottom="1417" w:left="1417" w:header="567" w:footer="567" w:gutter="0"/>
          <w:pgNumType w:fmt="decimal"/>
          <w:cols w:space="0" w:num="1"/>
          <w:rtlGutter w:val="0"/>
          <w:docGrid w:linePitch="312" w:charSpace="0"/>
        </w:sectPr>
      </w:pPr>
      <w:r>
        <w:rPr>
          <w:rFonts w:hint="default" w:ascii="Times New Roman" w:hAnsi="Times New Roman" w:eastAsia="楷体" w:cs="楷体"/>
          <w:b w:val="0"/>
          <w:bCs w:val="0"/>
          <w:kern w:val="2"/>
          <w:sz w:val="28"/>
          <w:szCs w:val="28"/>
          <w:lang w:val="en-US" w:eastAsia="zh-CN" w:bidi="ar-SA"/>
        </w:rPr>
        <w:drawing>
          <wp:inline distT="0" distB="0" distL="114300" distR="114300">
            <wp:extent cx="5277485" cy="7401560"/>
            <wp:effectExtent l="106045" t="114935" r="115570" b="128905"/>
            <wp:docPr id="199" name="图片 14" descr="C:/Users/王羡/Desktop/11.png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4" descr="C:/Users/王羡/Desktop/11.png11"/>
                    <pic:cNvPicPr>
                      <a:picLocks noChangeAspect="1"/>
                    </pic:cNvPicPr>
                  </pic:nvPicPr>
                  <pic:blipFill>
                    <a:blip r:embed="rId116"/>
                    <a:srcRect l="5121" r="5121"/>
                    <a:stretch>
                      <a:fillRect/>
                    </a:stretch>
                  </pic:blipFill>
                  <pic:spPr>
                    <a:xfrm>
                      <a:off x="0" y="0"/>
                      <a:ext cx="5277485" cy="7401560"/>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3CE20883">
      <w:pPr>
        <w:pStyle w:val="4"/>
        <w:numPr>
          <w:ilvl w:val="2"/>
          <w:numId w:val="0"/>
        </w:numPr>
        <w:bidi w:val="0"/>
        <w:spacing w:line="360" w:lineRule="auto"/>
        <w:ind w:left="0" w:leftChars="0" w:firstLine="720" w:firstLineChars="0"/>
        <w:rPr>
          <w:rFonts w:hint="default" w:ascii="Times New Roman" w:hAnsi="Times New Roman" w:eastAsia="楷体" w:cs="Times New Roman"/>
          <w:b/>
          <w:bCs/>
          <w:snapToGrid w:val="0"/>
          <w:color w:val="000000"/>
          <w:kern w:val="0"/>
          <w:sz w:val="28"/>
          <w:szCs w:val="28"/>
          <w:lang w:val="en-US" w:eastAsia="zh-CN" w:bidi="ar-SA"/>
        </w:rPr>
      </w:pPr>
      <w:bookmarkStart w:id="235" w:name="_Toc9835"/>
      <w:bookmarkStart w:id="236" w:name="_Toc6115"/>
      <w:bookmarkStart w:id="237" w:name="_Toc764"/>
      <w:bookmarkStart w:id="238" w:name="_Toc14934"/>
      <w:bookmarkStart w:id="239" w:name="_Toc16755"/>
      <w:r>
        <w:rPr>
          <w:rFonts w:hint="eastAsia" w:ascii="Times New Roman" w:hAnsi="Times New Roman" w:cs="Times New Roman"/>
          <w:b/>
          <w:bCs/>
          <w:snapToGrid w:val="0"/>
          <w:color w:val="000000"/>
          <w:kern w:val="0"/>
          <w:sz w:val="28"/>
          <w:szCs w:val="28"/>
          <w:lang w:val="en-US" w:eastAsia="zh-CN" w:bidi="ar-SA"/>
        </w:rPr>
        <w:t>13.</w:t>
      </w:r>
      <w:r>
        <w:rPr>
          <w:rFonts w:hint="eastAsia" w:ascii="Times New Roman" w:hAnsi="Times New Roman" w:eastAsia="楷体" w:cs="Times New Roman"/>
          <w:b/>
          <w:bCs/>
          <w:snapToGrid w:val="0"/>
          <w:color w:val="000000"/>
          <w:kern w:val="0"/>
          <w:sz w:val="28"/>
          <w:szCs w:val="28"/>
          <w:lang w:val="en-US" w:eastAsia="zh-CN" w:bidi="ar-SA"/>
        </w:rPr>
        <w:t>4.2贵州省铜仁市碧江区坝黄镇抗震加固工程</w:t>
      </w:r>
      <w:bookmarkEnd w:id="235"/>
      <w:bookmarkEnd w:id="236"/>
      <w:bookmarkEnd w:id="237"/>
      <w:bookmarkEnd w:id="238"/>
      <w:bookmarkEnd w:id="239"/>
    </w:p>
    <w:p w14:paraId="5640895B">
      <w:pPr>
        <w:pStyle w:val="5"/>
        <w:numPr>
          <w:ilvl w:val="0"/>
          <w:numId w:val="0"/>
        </w:numPr>
        <w:bidi w:val="0"/>
        <w:spacing w:line="360" w:lineRule="auto"/>
        <w:ind w:leftChars="0"/>
        <w:jc w:val="center"/>
        <w:rPr>
          <w:rFonts w:hint="eastAsia" w:ascii="Times New Roman" w:hAnsi="Times New Roman" w:eastAsia="楷体" w:cs="楷体"/>
          <w:b w:val="0"/>
          <w:bCs w:val="0"/>
          <w:kern w:val="2"/>
          <w:sz w:val="28"/>
          <w:szCs w:val="28"/>
          <w:lang w:val="en-US" w:eastAsia="zh-CN" w:bidi="ar-SA"/>
        </w:rPr>
      </w:pPr>
      <w:r>
        <w:rPr>
          <w:rFonts w:hint="default" w:ascii="Times New Roman" w:hAnsi="Times New Roman" w:eastAsia="楷体" w:cs="楷体"/>
          <w:b w:val="0"/>
          <w:bCs w:val="0"/>
          <w:kern w:val="2"/>
          <w:sz w:val="28"/>
          <w:szCs w:val="28"/>
          <w:lang w:val="en-US" w:eastAsia="zh-CN" w:bidi="ar-SA"/>
        </w:rPr>
        <w:drawing>
          <wp:inline distT="0" distB="0" distL="114300" distR="114300">
            <wp:extent cx="5273675" cy="7401560"/>
            <wp:effectExtent l="106045" t="114935" r="106680" b="128905"/>
            <wp:docPr id="201" name="图片 17" descr="C:/Users/蒋晨星/Desktop/微信图片_20250429181747.jpg微信图片_20250429181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17" descr="C:/Users/蒋晨星/Desktop/微信图片_20250429181747.jpg微信图片_20250429181747"/>
                    <pic:cNvPicPr>
                      <a:picLocks noChangeAspect="1"/>
                    </pic:cNvPicPr>
                  </pic:nvPicPr>
                  <pic:blipFill>
                    <a:blip r:embed="rId117"/>
                    <a:srcRect t="2850" b="2850"/>
                    <a:stretch>
                      <a:fillRect/>
                    </a:stretch>
                  </pic:blipFill>
                  <pic:spPr>
                    <a:xfrm>
                      <a:off x="0" y="0"/>
                      <a:ext cx="5273675" cy="7401560"/>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21DB27EA">
      <w:pPr>
        <w:numPr>
          <w:ilvl w:val="0"/>
          <w:numId w:val="0"/>
        </w:numPr>
        <w:bidi w:val="0"/>
        <w:spacing w:line="360" w:lineRule="auto"/>
        <w:ind w:leftChars="0"/>
        <w:jc w:val="center"/>
        <w:rPr>
          <w:rFonts w:hint="eastAsia" w:ascii="Times New Roman" w:hAnsi="Times New Roman" w:eastAsia="楷体" w:cs="楷体"/>
          <w:b/>
          <w:bCs/>
          <w:kern w:val="2"/>
          <w:sz w:val="28"/>
          <w:szCs w:val="28"/>
          <w:lang w:val="en-US" w:eastAsia="zh-CN" w:bidi="ar-SA"/>
        </w:rPr>
        <w:sectPr>
          <w:pgSz w:w="11910" w:h="16840"/>
          <w:pgMar w:top="1417" w:right="1417" w:bottom="1417" w:left="1417" w:header="567" w:footer="567" w:gutter="0"/>
          <w:pgNumType w:fmt="decimal"/>
          <w:cols w:space="0" w:num="1"/>
          <w:rtlGutter w:val="0"/>
          <w:docGrid w:linePitch="312" w:charSpace="0"/>
        </w:sectPr>
      </w:pPr>
    </w:p>
    <w:p w14:paraId="2DB9D480">
      <w:pPr>
        <w:pStyle w:val="4"/>
        <w:numPr>
          <w:ilvl w:val="2"/>
          <w:numId w:val="0"/>
        </w:numPr>
        <w:bidi w:val="0"/>
        <w:spacing w:line="360" w:lineRule="auto"/>
        <w:ind w:leftChars="0" w:firstLine="562" w:firstLineChars="200"/>
        <w:rPr>
          <w:rFonts w:hint="default" w:ascii="Times New Roman" w:hAnsi="Times New Roman" w:eastAsia="楷体" w:cs="Times New Roman"/>
          <w:b/>
          <w:bCs/>
          <w:snapToGrid w:val="0"/>
          <w:color w:val="000000"/>
          <w:kern w:val="0"/>
          <w:sz w:val="28"/>
          <w:szCs w:val="28"/>
          <w:lang w:val="en-US" w:eastAsia="zh-CN" w:bidi="ar-SA"/>
        </w:rPr>
      </w:pPr>
      <w:bookmarkStart w:id="240" w:name="_Toc17559"/>
      <w:bookmarkStart w:id="241" w:name="_Toc477"/>
      <w:bookmarkStart w:id="242" w:name="_Toc23742"/>
      <w:bookmarkStart w:id="243" w:name="_Toc546"/>
      <w:bookmarkStart w:id="244" w:name="_Toc17582"/>
      <w:r>
        <w:rPr>
          <w:rFonts w:hint="eastAsia" w:ascii="Times New Roman" w:hAnsi="Times New Roman" w:cs="Times New Roman"/>
          <w:b/>
          <w:bCs/>
          <w:snapToGrid w:val="0"/>
          <w:color w:val="000000"/>
          <w:kern w:val="0"/>
          <w:sz w:val="28"/>
          <w:szCs w:val="28"/>
          <w:lang w:val="en-US" w:eastAsia="zh-CN" w:bidi="ar-SA"/>
        </w:rPr>
        <w:t>13.</w:t>
      </w:r>
      <w:r>
        <w:rPr>
          <w:rFonts w:hint="eastAsia" w:ascii="Times New Roman" w:hAnsi="Times New Roman" w:eastAsia="楷体" w:cs="Times New Roman"/>
          <w:b/>
          <w:bCs/>
          <w:snapToGrid w:val="0"/>
          <w:color w:val="000000"/>
          <w:kern w:val="0"/>
          <w:sz w:val="28"/>
          <w:szCs w:val="28"/>
          <w:lang w:val="en-US" w:eastAsia="zh-CN" w:bidi="ar-SA"/>
        </w:rPr>
        <w:t>4.3云南省昆明市右林县圭山镇糯黑村抗震加固工程</w:t>
      </w:r>
      <w:bookmarkEnd w:id="240"/>
      <w:bookmarkEnd w:id="241"/>
      <w:bookmarkEnd w:id="242"/>
      <w:bookmarkEnd w:id="243"/>
      <w:bookmarkEnd w:id="244"/>
    </w:p>
    <w:p w14:paraId="54266670">
      <w:pPr>
        <w:pStyle w:val="5"/>
        <w:spacing w:line="360" w:lineRule="auto"/>
        <w:ind w:left="0" w:leftChars="0" w:firstLine="0" w:firstLineChars="0"/>
        <w:jc w:val="center"/>
        <w:rPr>
          <w:rFonts w:hint="eastAsia" w:ascii="Times New Roman" w:hAnsi="Times New Roman" w:eastAsia="楷体" w:cs="楷体"/>
          <w:b w:val="0"/>
          <w:bCs w:val="0"/>
          <w:kern w:val="2"/>
          <w:sz w:val="28"/>
          <w:szCs w:val="28"/>
          <w:lang w:val="en-US" w:eastAsia="zh-CN" w:bidi="ar-SA"/>
        </w:rPr>
        <w:sectPr>
          <w:pgSz w:w="11910" w:h="16840"/>
          <w:pgMar w:top="1417" w:right="1417" w:bottom="1417" w:left="1417" w:header="567" w:footer="567" w:gutter="0"/>
          <w:pgNumType w:fmt="decimal"/>
          <w:cols w:space="0" w:num="1"/>
          <w:rtlGutter w:val="0"/>
          <w:docGrid w:linePitch="312" w:charSpace="0"/>
        </w:sectPr>
      </w:pPr>
      <w:r>
        <w:rPr>
          <w:rFonts w:hint="default" w:ascii="Times New Roman" w:hAnsi="Times New Roman" w:eastAsia="楷体" w:cs="楷体"/>
          <w:b w:val="0"/>
          <w:bCs w:val="0"/>
          <w:kern w:val="2"/>
          <w:sz w:val="28"/>
          <w:szCs w:val="28"/>
          <w:lang w:val="en-US" w:eastAsia="zh-CN" w:bidi="ar-SA"/>
        </w:rPr>
        <w:drawing>
          <wp:inline distT="0" distB="0" distL="114300" distR="114300">
            <wp:extent cx="5123815" cy="7401560"/>
            <wp:effectExtent l="104775" t="114935" r="105410" b="128905"/>
            <wp:docPr id="202" name="图片 202" descr="微信图片_20250429182408"/>
            <wp:cNvGraphicFramePr/>
            <a:graphic xmlns:a="http://schemas.openxmlformats.org/drawingml/2006/main">
              <a:graphicData uri="http://schemas.openxmlformats.org/drawingml/2006/picture">
                <pic:pic xmlns:pic="http://schemas.openxmlformats.org/drawingml/2006/picture">
                  <pic:nvPicPr>
                    <pic:cNvPr id="202" name="图片 202" descr="微信图片_20250429182408"/>
                    <pic:cNvPicPr/>
                  </pic:nvPicPr>
                  <pic:blipFill>
                    <a:blip r:embed="rId118"/>
                    <a:stretch>
                      <a:fillRect/>
                    </a:stretch>
                  </pic:blipFill>
                  <pic:spPr>
                    <a:xfrm>
                      <a:off x="0" y="0"/>
                      <a:ext cx="5123815" cy="7401560"/>
                    </a:xfrm>
                    <a:prstGeom prst="rect">
                      <a:avLst/>
                    </a:prstGeom>
                    <a:effectLst>
                      <a:outerShdw blurRad="63500" sx="102000" sy="102000" algn="ctr" rotWithShape="0">
                        <a:prstClr val="black">
                          <a:alpha val="40000"/>
                        </a:prstClr>
                      </a:outerShdw>
                    </a:effectLst>
                  </pic:spPr>
                </pic:pic>
              </a:graphicData>
            </a:graphic>
          </wp:inline>
        </w:drawing>
      </w:r>
    </w:p>
    <w:p w14:paraId="616982AB">
      <w:pPr>
        <w:pStyle w:val="4"/>
        <w:numPr>
          <w:ilvl w:val="2"/>
          <w:numId w:val="0"/>
        </w:numPr>
        <w:bidi w:val="0"/>
        <w:spacing w:line="360" w:lineRule="auto"/>
        <w:ind w:firstLine="843" w:firstLineChars="300"/>
        <w:rPr>
          <w:rFonts w:hint="eastAsia" w:ascii="Times New Roman" w:hAnsi="Times New Roman" w:eastAsia="楷体" w:cs="Times New Roman"/>
          <w:b/>
          <w:bCs/>
          <w:snapToGrid w:val="0"/>
          <w:color w:val="000000"/>
          <w:kern w:val="0"/>
          <w:sz w:val="28"/>
          <w:szCs w:val="28"/>
          <w:lang w:val="en-US" w:eastAsia="zh-CN" w:bidi="ar-SA"/>
        </w:rPr>
      </w:pPr>
      <w:bookmarkStart w:id="245" w:name="_Toc28146"/>
      <w:bookmarkStart w:id="246" w:name="_Toc31917"/>
      <w:bookmarkStart w:id="247" w:name="_Toc20540"/>
      <w:bookmarkStart w:id="248" w:name="_Toc20632"/>
      <w:bookmarkStart w:id="249" w:name="_Toc25563"/>
      <w:r>
        <w:rPr>
          <w:rFonts w:hint="eastAsia" w:ascii="Times New Roman" w:hAnsi="Times New Roman" w:cs="Times New Roman"/>
          <w:b/>
          <w:bCs/>
          <w:snapToGrid w:val="0"/>
          <w:color w:val="000000"/>
          <w:kern w:val="0"/>
          <w:sz w:val="28"/>
          <w:szCs w:val="28"/>
          <w:lang w:val="en-US" w:eastAsia="zh-CN" w:bidi="ar-SA"/>
        </w:rPr>
        <w:t>13.</w:t>
      </w:r>
      <w:r>
        <w:rPr>
          <w:rFonts w:hint="eastAsia" w:ascii="Times New Roman" w:hAnsi="Times New Roman" w:eastAsia="楷体" w:cs="Times New Roman"/>
          <w:b/>
          <w:bCs/>
          <w:snapToGrid w:val="0"/>
          <w:color w:val="000000"/>
          <w:kern w:val="0"/>
          <w:sz w:val="28"/>
          <w:szCs w:val="28"/>
          <w:lang w:val="en-US" w:eastAsia="zh-CN" w:bidi="ar-SA"/>
        </w:rPr>
        <w:t>4.4灾后重建项目</w:t>
      </w:r>
      <w:bookmarkEnd w:id="245"/>
      <w:bookmarkEnd w:id="246"/>
      <w:bookmarkEnd w:id="247"/>
      <w:bookmarkEnd w:id="248"/>
      <w:bookmarkEnd w:id="249"/>
    </w:p>
    <w:p w14:paraId="35076779">
      <w:pPr>
        <w:bidi w:val="0"/>
        <w:spacing w:line="360" w:lineRule="auto"/>
        <w:ind w:left="0" w:leftChars="0" w:firstLine="562" w:firstLineChars="200"/>
        <w:rPr>
          <w:rFonts w:hint="eastAsia" w:ascii="Times New Roman" w:hAnsi="Times New Roman" w:eastAsia="楷体" w:cs="Times New Roman"/>
          <w:b/>
          <w:bCs/>
          <w:snapToGrid w:val="0"/>
          <w:color w:val="000000"/>
          <w:kern w:val="0"/>
          <w:sz w:val="28"/>
          <w:szCs w:val="28"/>
          <w:lang w:val="en-US" w:eastAsia="zh-CN" w:bidi="ar-SA"/>
        </w:rPr>
      </w:pPr>
      <w:bookmarkStart w:id="250" w:name="_Toc4426"/>
      <w:r>
        <w:rPr>
          <w:rFonts w:hint="eastAsia" w:ascii="Times New Roman" w:hAnsi="Times New Roman" w:eastAsia="楷体" w:cs="Times New Roman"/>
          <w:b/>
          <w:bCs/>
          <w:snapToGrid w:val="0"/>
          <w:color w:val="000000"/>
          <w:kern w:val="0"/>
          <w:sz w:val="28"/>
          <w:szCs w:val="28"/>
          <w:lang w:val="en-US" w:eastAsia="zh-CN" w:bidi="ar-SA"/>
        </w:rPr>
        <w:t>河北唐山新城北侧配房庄村综合健康区的灾后重建项目</w:t>
      </w:r>
      <w:bookmarkEnd w:id="250"/>
    </w:p>
    <w:p w14:paraId="116EA88E">
      <w:pPr>
        <w:spacing w:after="0" w:afterLines="0" w:line="360" w:lineRule="auto"/>
        <w:ind w:left="0" w:leftChars="0" w:firstLine="0" w:firstLineChars="0"/>
        <w:jc w:val="center"/>
        <w:rPr>
          <w:rFonts w:hint="eastAsia" w:ascii="Times New Roman" w:hAnsi="Times New Roman" w:eastAsia="仿宋" w:cstheme="minorBidi"/>
          <w:b w:val="0"/>
          <w:bCs/>
          <w:kern w:val="44"/>
          <w:sz w:val="28"/>
          <w:szCs w:val="28"/>
          <w:lang w:val="en-US" w:eastAsia="zh-CN" w:bidi="ar-SA"/>
        </w:rPr>
      </w:pPr>
      <w:r>
        <w:rPr>
          <w:rFonts w:hint="default" w:ascii="Times New Roman" w:hAnsi="Times New Roman" w:eastAsia="楷体" w:cs="楷体"/>
          <w:b w:val="0"/>
          <w:bCs w:val="0"/>
          <w:kern w:val="2"/>
          <w:sz w:val="28"/>
          <w:szCs w:val="28"/>
          <w:lang w:val="en-US" w:eastAsia="zh-CN" w:bidi="ar-SA"/>
        </w:rPr>
        <w:drawing>
          <wp:inline distT="0" distB="0" distL="114300" distR="114300">
            <wp:extent cx="5276215" cy="7401560"/>
            <wp:effectExtent l="106045" t="114935" r="116840" b="128905"/>
            <wp:docPr id="203" name="图片 203" descr="C:/Users/蒋晨星/Desktop/微信图片_20250429182205.jpg微信图片_20250429182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descr="C:/Users/蒋晨星/Desktop/微信图片_20250429182205.jpg微信图片_20250429182205"/>
                    <pic:cNvPicPr>
                      <a:picLocks noChangeAspect="1"/>
                    </pic:cNvPicPr>
                  </pic:nvPicPr>
                  <pic:blipFill>
                    <a:blip r:embed="rId119"/>
                    <a:srcRect t="451" b="451"/>
                    <a:stretch>
                      <a:fillRect/>
                    </a:stretch>
                  </pic:blipFill>
                  <pic:spPr>
                    <a:xfrm>
                      <a:off x="0" y="0"/>
                      <a:ext cx="5276215" cy="7401560"/>
                    </a:xfrm>
                    <a:prstGeom prst="rect">
                      <a:avLst/>
                    </a:prstGeom>
                    <a:noFill/>
                    <a:ln>
                      <a:noFill/>
                    </a:ln>
                    <a:effectLst>
                      <a:outerShdw blurRad="63500" sx="102000" sy="102000" algn="ctr" rotWithShape="0">
                        <a:prstClr val="black">
                          <a:alpha val="40000"/>
                        </a:prstClr>
                      </a:outerShdw>
                    </a:effectLst>
                  </pic:spPr>
                </pic:pic>
              </a:graphicData>
            </a:graphic>
          </wp:inline>
        </w:drawing>
      </w:r>
      <w:r>
        <w:rPr>
          <w:rFonts w:hint="eastAsia" w:ascii="Times New Roman" w:hAnsi="Times New Roman" w:eastAsia="仿宋" w:cstheme="minorBidi"/>
          <w:b w:val="0"/>
          <w:bCs/>
          <w:kern w:val="44"/>
          <w:sz w:val="28"/>
          <w:szCs w:val="28"/>
          <w:lang w:val="en-US" w:eastAsia="zh-CN" w:bidi="ar-SA"/>
        </w:rPr>
        <w:br w:type="page"/>
      </w:r>
    </w:p>
    <w:p w14:paraId="7E1BE64A">
      <w:pPr>
        <w:pStyle w:val="4"/>
        <w:numPr>
          <w:ilvl w:val="2"/>
          <w:numId w:val="0"/>
        </w:numPr>
        <w:bidi w:val="0"/>
        <w:spacing w:line="360" w:lineRule="auto"/>
        <w:ind w:left="0" w:leftChars="0" w:firstLine="720" w:firstLineChars="0"/>
        <w:rPr>
          <w:rFonts w:hint="default" w:ascii="Times New Roman" w:hAnsi="Times New Roman" w:eastAsia="楷体" w:cs="Times New Roman"/>
          <w:b/>
          <w:bCs/>
          <w:snapToGrid w:val="0"/>
          <w:color w:val="000000"/>
          <w:kern w:val="0"/>
          <w:sz w:val="28"/>
          <w:szCs w:val="28"/>
          <w:lang w:val="en-US" w:eastAsia="zh-CN" w:bidi="ar-SA"/>
        </w:rPr>
      </w:pPr>
      <w:bookmarkStart w:id="251" w:name="_Toc720"/>
      <w:bookmarkStart w:id="252" w:name="_Toc5403"/>
      <w:bookmarkStart w:id="253" w:name="_Toc25101"/>
      <w:bookmarkStart w:id="254" w:name="_Toc4138"/>
      <w:bookmarkStart w:id="255" w:name="_Toc15665"/>
      <w:r>
        <w:rPr>
          <w:rFonts w:hint="eastAsia" w:ascii="Times New Roman" w:hAnsi="Times New Roman" w:cs="Times New Roman"/>
          <w:b/>
          <w:bCs/>
          <w:snapToGrid w:val="0"/>
          <w:color w:val="000000"/>
          <w:kern w:val="0"/>
          <w:sz w:val="28"/>
          <w:szCs w:val="28"/>
          <w:lang w:val="en-US" w:eastAsia="zh-CN" w:bidi="ar-SA"/>
        </w:rPr>
        <w:t>13.</w:t>
      </w:r>
      <w:r>
        <w:rPr>
          <w:rFonts w:hint="eastAsia" w:ascii="Times New Roman" w:hAnsi="Times New Roman" w:eastAsia="楷体" w:cs="Times New Roman"/>
          <w:b/>
          <w:bCs/>
          <w:snapToGrid w:val="0"/>
          <w:color w:val="000000"/>
          <w:kern w:val="0"/>
          <w:sz w:val="28"/>
          <w:szCs w:val="28"/>
          <w:lang w:val="en-US" w:eastAsia="zh-CN" w:bidi="ar-SA"/>
        </w:rPr>
        <w:t>4.5危房改造示范工程</w:t>
      </w:r>
      <w:bookmarkEnd w:id="251"/>
      <w:bookmarkEnd w:id="252"/>
      <w:bookmarkEnd w:id="253"/>
      <w:bookmarkEnd w:id="254"/>
      <w:bookmarkEnd w:id="255"/>
    </w:p>
    <w:p w14:paraId="57FABAD7">
      <w:pPr>
        <w:bidi w:val="0"/>
        <w:spacing w:line="360" w:lineRule="auto"/>
        <w:ind w:left="0" w:leftChars="0" w:firstLine="562" w:firstLineChars="200"/>
        <w:rPr>
          <w:rFonts w:hint="eastAsia" w:ascii="Times New Roman" w:hAnsi="Times New Roman" w:eastAsia="楷体" w:cs="Times New Roman"/>
          <w:b/>
          <w:bCs/>
          <w:snapToGrid w:val="0"/>
          <w:color w:val="000000"/>
          <w:kern w:val="0"/>
          <w:sz w:val="28"/>
          <w:szCs w:val="28"/>
          <w:lang w:val="en-US" w:eastAsia="zh-CN" w:bidi="ar-SA"/>
        </w:rPr>
      </w:pPr>
      <w:bookmarkStart w:id="256" w:name="_Toc10923"/>
      <w:r>
        <w:rPr>
          <w:rFonts w:hint="eastAsia" w:ascii="Times New Roman" w:hAnsi="Times New Roman" w:eastAsia="楷体" w:cs="Times New Roman"/>
          <w:b/>
          <w:bCs/>
          <w:snapToGrid w:val="0"/>
          <w:color w:val="000000"/>
          <w:kern w:val="0"/>
          <w:sz w:val="28"/>
          <w:szCs w:val="28"/>
          <w:lang w:val="en-US" w:eastAsia="zh-CN" w:bidi="ar-SA"/>
        </w:rPr>
        <w:t>甘肃甘南藏族自治区的危房改造示范工程</w:t>
      </w:r>
      <w:bookmarkEnd w:id="256"/>
    </w:p>
    <w:p w14:paraId="42AD3835">
      <w:pPr>
        <w:spacing w:line="360" w:lineRule="auto"/>
        <w:ind w:left="0" w:leftChars="0" w:firstLine="0" w:firstLineChars="0"/>
        <w:jc w:val="center"/>
        <w:rPr>
          <w:rFonts w:hint="default"/>
          <w:lang w:val="en-US" w:eastAsia="zh-CN"/>
        </w:rPr>
      </w:pPr>
      <w:r>
        <w:rPr>
          <w:rFonts w:hint="default" w:ascii="Times New Roman" w:hAnsi="Times New Roman" w:eastAsia="楷体" w:cs="楷体"/>
          <w:b w:val="0"/>
          <w:bCs w:val="0"/>
          <w:kern w:val="2"/>
          <w:sz w:val="28"/>
          <w:szCs w:val="28"/>
          <w:lang w:val="en-US" w:eastAsia="zh-CN" w:bidi="ar-SA"/>
        </w:rPr>
        <w:drawing>
          <wp:inline distT="0" distB="0" distL="114300" distR="114300">
            <wp:extent cx="5274945" cy="7401560"/>
            <wp:effectExtent l="106045" t="114935" r="118110" b="128905"/>
            <wp:docPr id="204" name="图片 16" descr="C:/Users/蒋晨星/Desktop/微信图片_20250429181621.jpg微信图片_20250429181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16" descr="C:/Users/蒋晨星/Desktop/微信图片_20250429181621.jpg微信图片_20250429181621"/>
                    <pic:cNvPicPr>
                      <a:picLocks noChangeAspect="1"/>
                    </pic:cNvPicPr>
                  </pic:nvPicPr>
                  <pic:blipFill>
                    <a:blip r:embed="rId120"/>
                    <a:srcRect t="253" b="253"/>
                    <a:stretch>
                      <a:fillRect/>
                    </a:stretch>
                  </pic:blipFill>
                  <pic:spPr>
                    <a:xfrm>
                      <a:off x="0" y="0"/>
                      <a:ext cx="5274945" cy="7401560"/>
                    </a:xfrm>
                    <a:prstGeom prst="rect">
                      <a:avLst/>
                    </a:prstGeom>
                    <a:noFill/>
                    <a:ln>
                      <a:noFill/>
                    </a:ln>
                    <a:effectLst>
                      <a:outerShdw blurRad="63500" sx="102000" sy="102000" algn="ctr" rotWithShape="0">
                        <a:prstClr val="black">
                          <a:alpha val="40000"/>
                        </a:prstClr>
                      </a:outerShdw>
                    </a:effectLst>
                  </pic:spPr>
                </pic:pic>
              </a:graphicData>
            </a:graphic>
          </wp:inline>
        </w:drawing>
      </w:r>
      <w:r>
        <w:rPr>
          <w:rFonts w:hint="default"/>
          <w:lang w:val="en-US" w:eastAsia="zh-CN"/>
        </w:rPr>
        <w:br w:type="page"/>
      </w:r>
    </w:p>
    <w:p w14:paraId="04439EE9">
      <w:pPr>
        <w:pStyle w:val="3"/>
        <w:numPr>
          <w:ilvl w:val="1"/>
          <w:numId w:val="0"/>
        </w:numPr>
        <w:bidi w:val="0"/>
        <w:spacing w:line="360" w:lineRule="auto"/>
        <w:ind w:left="0" w:leftChars="0" w:firstLine="0" w:firstLineChars="0"/>
        <w:rPr>
          <w:rFonts w:hint="eastAsia"/>
          <w:lang w:val="en-US" w:eastAsia="zh-CN"/>
        </w:rPr>
      </w:pPr>
      <w:bookmarkStart w:id="257" w:name="_Toc2880"/>
      <w:bookmarkStart w:id="258" w:name="_Toc31254"/>
      <w:bookmarkStart w:id="259" w:name="_Toc10432"/>
      <w:bookmarkStart w:id="260" w:name="_Toc31758"/>
      <w:r>
        <w:rPr>
          <w:rFonts w:hint="eastAsia"/>
          <w:lang w:val="en-US" w:eastAsia="zh-CN"/>
        </w:rPr>
        <w:t>13.5</w:t>
      </w:r>
      <w:r>
        <w:rPr>
          <w:rFonts w:hint="eastAsia" w:ascii="楷体" w:hAnsi="楷体" w:eastAsia="楷体" w:cs="楷体"/>
          <w:lang w:val="en-US" w:eastAsia="zh-CN"/>
        </w:rPr>
        <w:t>校企合作</w:t>
      </w:r>
      <w:bookmarkEnd w:id="257"/>
      <w:bookmarkEnd w:id="258"/>
      <w:bookmarkEnd w:id="259"/>
    </w:p>
    <w:p w14:paraId="694EB495">
      <w:pPr>
        <w:bidi w:val="0"/>
        <w:spacing w:line="360" w:lineRule="auto"/>
        <w:ind w:left="0" w:leftChars="0" w:firstLine="562" w:firstLineChars="200"/>
        <w:rPr>
          <w:rFonts w:hint="default" w:ascii="Times New Roman" w:hAnsi="Times New Roman" w:eastAsia="楷体" w:cs="Times New Roman"/>
          <w:b/>
          <w:bCs/>
          <w:snapToGrid w:val="0"/>
          <w:color w:val="000000"/>
          <w:kern w:val="0"/>
          <w:sz w:val="28"/>
          <w:szCs w:val="28"/>
          <w:lang w:val="en-US" w:eastAsia="zh-CN" w:bidi="ar-SA"/>
        </w:rPr>
      </w:pPr>
      <w:r>
        <w:rPr>
          <w:rFonts w:hint="default" w:ascii="Times New Roman" w:hAnsi="Times New Roman" w:eastAsia="楷体" w:cs="Times New Roman"/>
          <w:b/>
          <w:bCs/>
          <w:snapToGrid w:val="0"/>
          <w:color w:val="000000"/>
          <w:kern w:val="0"/>
          <w:sz w:val="28"/>
          <w:szCs w:val="28"/>
          <w:lang w:val="en-US" w:eastAsia="zh-CN" w:bidi="ar-SA"/>
        </w:rPr>
        <w:t>合作协议（震安科技）</w:t>
      </w:r>
    </w:p>
    <w:p w14:paraId="2741FC60">
      <w:pPr>
        <w:bidi w:val="0"/>
        <w:spacing w:line="360" w:lineRule="auto"/>
        <w:ind w:left="0" w:leftChars="0" w:firstLine="0" w:firstLineChars="0"/>
        <w:jc w:val="center"/>
        <w:rPr>
          <w:rFonts w:hint="default" w:ascii="Times New Roman" w:hAnsi="Times New Roman" w:eastAsia="楷体" w:cs="Times New Roman"/>
          <w:b/>
          <w:bCs/>
          <w:snapToGrid w:val="0"/>
          <w:color w:val="000000"/>
          <w:kern w:val="0"/>
          <w:sz w:val="28"/>
          <w:szCs w:val="28"/>
          <w:lang w:val="en-US" w:eastAsia="zh-CN" w:bidi="ar-SA"/>
        </w:rPr>
      </w:pPr>
      <w:r>
        <w:rPr>
          <w:rFonts w:hint="default" w:ascii="Times New Roman" w:hAnsi="Times New Roman" w:eastAsia="楷体" w:cs="Times New Roman"/>
          <w:b/>
          <w:bCs/>
          <w:snapToGrid w:val="0"/>
          <w:color w:val="000000"/>
          <w:kern w:val="0"/>
          <w:sz w:val="28"/>
          <w:szCs w:val="28"/>
          <w:lang w:val="en-US" w:eastAsia="zh-CN" w:bidi="ar-SA"/>
        </w:rPr>
        <w:drawing>
          <wp:inline distT="0" distB="0" distL="114300" distR="114300">
            <wp:extent cx="2160270" cy="3056890"/>
            <wp:effectExtent l="42545" t="4445" r="45085" b="88265"/>
            <wp:docPr id="216" name="图片 216" descr="震安科技股份有限公司+湖南工学院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216" descr="震安科技股份有限公司+湖南工学院_00"/>
                    <pic:cNvPicPr>
                      <a:picLocks noChangeAspect="1"/>
                    </pic:cNvPicPr>
                  </pic:nvPicPr>
                  <pic:blipFill>
                    <a:blip r:embed="rId121"/>
                    <a:stretch>
                      <a:fillRect/>
                    </a:stretch>
                  </pic:blipFill>
                  <pic:spPr>
                    <a:xfrm>
                      <a:off x="0" y="0"/>
                      <a:ext cx="2160270" cy="3056890"/>
                    </a:xfrm>
                    <a:prstGeom prst="rect">
                      <a:avLst/>
                    </a:prstGeom>
                    <a:effectLst>
                      <a:outerShdw blurRad="50800" dist="38100" dir="5400000" algn="t" rotWithShape="0">
                        <a:prstClr val="black">
                          <a:alpha val="40000"/>
                        </a:prstClr>
                      </a:outerShdw>
                    </a:effectLst>
                  </pic:spPr>
                </pic:pic>
              </a:graphicData>
            </a:graphic>
          </wp:inline>
        </w:drawing>
      </w:r>
      <w:r>
        <w:rPr>
          <w:rFonts w:hint="eastAsia" w:eastAsia="楷体" w:cs="Times New Roman"/>
          <w:b/>
          <w:bCs/>
          <w:snapToGrid w:val="0"/>
          <w:color w:val="000000"/>
          <w:kern w:val="0"/>
          <w:sz w:val="28"/>
          <w:szCs w:val="28"/>
          <w:lang w:val="en-US" w:eastAsia="zh-CN" w:bidi="ar-SA"/>
        </w:rPr>
        <w:t xml:space="preserve">        </w:t>
      </w:r>
      <w:r>
        <w:rPr>
          <w:rFonts w:hint="default" w:ascii="Times New Roman" w:hAnsi="Times New Roman" w:eastAsia="楷体" w:cs="Times New Roman"/>
          <w:b/>
          <w:bCs/>
          <w:snapToGrid w:val="0"/>
          <w:color w:val="000000"/>
          <w:kern w:val="0"/>
          <w:sz w:val="28"/>
          <w:szCs w:val="28"/>
          <w:lang w:val="en-US" w:eastAsia="zh-CN" w:bidi="ar-SA"/>
        </w:rPr>
        <w:drawing>
          <wp:inline distT="0" distB="0" distL="114300" distR="114300">
            <wp:extent cx="2160270" cy="3056890"/>
            <wp:effectExtent l="42545" t="4445" r="45085" b="88265"/>
            <wp:docPr id="218" name="图片 218" descr="震安科技股份有限公司+湖南工学院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218" descr="震安科技股份有限公司+湖南工学院_01"/>
                    <pic:cNvPicPr>
                      <a:picLocks noChangeAspect="1"/>
                    </pic:cNvPicPr>
                  </pic:nvPicPr>
                  <pic:blipFill>
                    <a:blip r:embed="rId122"/>
                    <a:stretch>
                      <a:fillRect/>
                    </a:stretch>
                  </pic:blipFill>
                  <pic:spPr>
                    <a:xfrm>
                      <a:off x="0" y="0"/>
                      <a:ext cx="2160270" cy="3056890"/>
                    </a:xfrm>
                    <a:prstGeom prst="rect">
                      <a:avLst/>
                    </a:prstGeom>
                    <a:effectLst>
                      <a:outerShdw blurRad="50800" dist="38100" dir="5400000" algn="t" rotWithShape="0">
                        <a:prstClr val="black">
                          <a:alpha val="40000"/>
                        </a:prstClr>
                      </a:outerShdw>
                    </a:effectLst>
                  </pic:spPr>
                </pic:pic>
              </a:graphicData>
            </a:graphic>
          </wp:inline>
        </w:drawing>
      </w:r>
    </w:p>
    <w:p w14:paraId="2314BD3E">
      <w:pPr>
        <w:pageBreakBefore w:val="0"/>
        <w:wordWrap/>
        <w:overflowPunct/>
        <w:topLinePunct w:val="0"/>
        <w:bidi w:val="0"/>
        <w:spacing w:line="360" w:lineRule="auto"/>
        <w:ind w:left="0" w:leftChars="0" w:firstLine="0" w:firstLineChars="0"/>
        <w:jc w:val="center"/>
        <w:rPr>
          <w:rFonts w:hint="default" w:ascii="Times New Roman" w:hAnsi="Times New Roman" w:eastAsia="楷体" w:cs="Times New Roman"/>
          <w:b/>
          <w:kern w:val="44"/>
          <w:sz w:val="28"/>
          <w:szCs w:val="28"/>
          <w:lang w:val="en-US" w:eastAsia="zh-CN" w:bidi="ar-SA"/>
        </w:rPr>
      </w:pPr>
      <w:r>
        <w:rPr>
          <w:rFonts w:hint="default" w:ascii="Times New Roman" w:hAnsi="Times New Roman" w:eastAsia="楷体" w:cs="Times New Roman"/>
          <w:b/>
          <w:kern w:val="44"/>
          <w:sz w:val="28"/>
          <w:szCs w:val="28"/>
          <w:lang w:val="en-US" w:eastAsia="zh-CN" w:bidi="ar-SA"/>
        </w:rPr>
        <w:drawing>
          <wp:anchor distT="0" distB="0" distL="114300" distR="114300" simplePos="0" relativeHeight="251673600" behindDoc="0" locked="0" layoutInCell="1" allowOverlap="1">
            <wp:simplePos x="0" y="0"/>
            <wp:positionH relativeFrom="column">
              <wp:posOffset>309245</wp:posOffset>
            </wp:positionH>
            <wp:positionV relativeFrom="paragraph">
              <wp:posOffset>193040</wp:posOffset>
            </wp:positionV>
            <wp:extent cx="2160270" cy="3056890"/>
            <wp:effectExtent l="42545" t="4445" r="52705" b="93345"/>
            <wp:wrapNone/>
            <wp:docPr id="217" name="图片 217" descr="震安科技股份有限公司+湖南工学院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217" descr="震安科技股份有限公司+湖南工学院_02"/>
                    <pic:cNvPicPr>
                      <a:picLocks noChangeAspect="1"/>
                    </pic:cNvPicPr>
                  </pic:nvPicPr>
                  <pic:blipFill>
                    <a:blip r:embed="rId123"/>
                    <a:stretch>
                      <a:fillRect/>
                    </a:stretch>
                  </pic:blipFill>
                  <pic:spPr>
                    <a:xfrm>
                      <a:off x="0" y="0"/>
                      <a:ext cx="2160270" cy="3056890"/>
                    </a:xfrm>
                    <a:prstGeom prst="rect">
                      <a:avLst/>
                    </a:prstGeom>
                    <a:effectLst>
                      <a:outerShdw blurRad="50800" dist="38100" dir="5400000" algn="t" rotWithShape="0">
                        <a:prstClr val="black">
                          <a:alpha val="40000"/>
                        </a:prstClr>
                      </a:outerShdw>
                    </a:effectLst>
                  </pic:spPr>
                </pic:pic>
              </a:graphicData>
            </a:graphic>
          </wp:anchor>
        </w:drawing>
      </w:r>
    </w:p>
    <w:p w14:paraId="110FEF38">
      <w:pPr>
        <w:spacing w:line="360" w:lineRule="auto"/>
        <w:rPr>
          <w:rFonts w:hint="default" w:ascii="Times New Roman" w:hAnsi="Times New Roman" w:eastAsia="楷体" w:cs="Times New Roman"/>
          <w:b/>
          <w:kern w:val="44"/>
          <w:sz w:val="28"/>
          <w:szCs w:val="28"/>
          <w:lang w:val="en-US" w:eastAsia="zh-CN" w:bidi="ar-SA"/>
        </w:rPr>
      </w:pPr>
      <w:r>
        <w:rPr>
          <w:rFonts w:hint="default" w:ascii="Times New Roman" w:hAnsi="Times New Roman" w:eastAsia="楷体" w:cs="Times New Roman"/>
          <w:b/>
          <w:kern w:val="44"/>
          <w:sz w:val="28"/>
          <w:szCs w:val="28"/>
          <w:lang w:val="en-US" w:eastAsia="zh-CN" w:bidi="ar-SA"/>
        </w:rPr>
        <w:br w:type="page"/>
      </w:r>
    </w:p>
    <w:p w14:paraId="51D3C220">
      <w:pPr>
        <w:pageBreakBefore w:val="0"/>
        <w:wordWrap/>
        <w:overflowPunct/>
        <w:topLinePunct w:val="0"/>
        <w:bidi w:val="0"/>
        <w:spacing w:line="360" w:lineRule="auto"/>
        <w:ind w:left="0" w:leftChars="0" w:firstLine="562" w:firstLineChars="200"/>
        <w:jc w:val="both"/>
        <w:rPr>
          <w:rFonts w:hint="default" w:eastAsia="楷体" w:cs="Times New Roman"/>
          <w:b/>
          <w:kern w:val="44"/>
          <w:sz w:val="28"/>
          <w:szCs w:val="28"/>
          <w:lang w:val="en-US" w:eastAsia="zh-CN" w:bidi="ar-SA"/>
        </w:rPr>
      </w:pPr>
      <w:r>
        <w:rPr>
          <w:rFonts w:hint="eastAsia" w:eastAsia="楷体" w:cs="Times New Roman"/>
          <w:b/>
          <w:kern w:val="44"/>
          <w:sz w:val="28"/>
          <w:szCs w:val="28"/>
          <w:lang w:val="en-US" w:eastAsia="zh-CN" w:bidi="ar-SA"/>
        </w:rPr>
        <w:t>订单销售合同（震安科技、中建五局）</w:t>
      </w:r>
    </w:p>
    <w:p w14:paraId="601284F2">
      <w:pPr>
        <w:pageBreakBefore w:val="0"/>
        <w:wordWrap/>
        <w:overflowPunct/>
        <w:topLinePunct w:val="0"/>
        <w:bidi w:val="0"/>
        <w:spacing w:line="360" w:lineRule="auto"/>
        <w:ind w:left="0" w:leftChars="0" w:firstLine="0" w:firstLineChars="0"/>
        <w:jc w:val="center"/>
        <w:rPr>
          <w:rFonts w:hint="eastAsia" w:eastAsia="楷体" w:cs="Times New Roman"/>
          <w:b/>
          <w:kern w:val="44"/>
          <w:sz w:val="28"/>
          <w:szCs w:val="28"/>
          <w:lang w:val="en-US" w:eastAsia="zh-CN" w:bidi="ar-SA"/>
        </w:rPr>
      </w:pPr>
      <w:r>
        <w:rPr>
          <w:rFonts w:hint="default" w:ascii="Times New Roman" w:hAnsi="Times New Roman" w:eastAsia="楷体" w:cs="Times New Roman"/>
          <w:b/>
          <w:kern w:val="44"/>
          <w:sz w:val="28"/>
          <w:szCs w:val="28"/>
          <w:lang w:val="en-US" w:eastAsia="zh-CN" w:bidi="ar-SA"/>
        </w:rPr>
        <w:drawing>
          <wp:inline distT="0" distB="0" distL="114300" distR="114300">
            <wp:extent cx="2160270" cy="3057525"/>
            <wp:effectExtent l="42545" t="4445" r="45085" b="87630"/>
            <wp:docPr id="219" name="图片 219" descr="F:/25年金种子杯/合同/去除logo，只有震安的合同1.jpg去除logo，只有震安的合同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219" descr="F:/25年金种子杯/合同/去除logo，只有震安的合同1.jpg去除logo，只有震安的合同1"/>
                    <pic:cNvPicPr>
                      <a:picLocks noChangeAspect="1"/>
                    </pic:cNvPicPr>
                  </pic:nvPicPr>
                  <pic:blipFill>
                    <a:blip r:embed="rId124"/>
                    <a:srcRect t="972" b="972"/>
                    <a:stretch>
                      <a:fillRect/>
                    </a:stretch>
                  </pic:blipFill>
                  <pic:spPr>
                    <a:xfrm>
                      <a:off x="0" y="0"/>
                      <a:ext cx="2160270" cy="3057525"/>
                    </a:xfrm>
                    <a:prstGeom prst="rect">
                      <a:avLst/>
                    </a:prstGeom>
                    <a:effectLst>
                      <a:outerShdw blurRad="50800" dist="38100" dir="5400000" algn="t" rotWithShape="0">
                        <a:prstClr val="black">
                          <a:alpha val="40000"/>
                        </a:prstClr>
                      </a:outerShdw>
                    </a:effectLst>
                  </pic:spPr>
                </pic:pic>
              </a:graphicData>
            </a:graphic>
          </wp:inline>
        </w:drawing>
      </w:r>
      <w:r>
        <w:rPr>
          <w:rFonts w:hint="eastAsia" w:eastAsia="楷体" w:cs="Times New Roman"/>
          <w:b/>
          <w:kern w:val="44"/>
          <w:sz w:val="28"/>
          <w:szCs w:val="28"/>
          <w:lang w:val="en-US" w:eastAsia="zh-CN" w:bidi="ar-SA"/>
        </w:rPr>
        <w:t xml:space="preserve">        </w:t>
      </w:r>
      <w:r>
        <w:rPr>
          <w:rFonts w:hint="default" w:ascii="Times New Roman" w:hAnsi="Times New Roman" w:eastAsia="楷体" w:cs="Times New Roman"/>
          <w:b/>
          <w:kern w:val="44"/>
          <w:sz w:val="28"/>
          <w:szCs w:val="28"/>
          <w:lang w:val="en-US" w:eastAsia="zh-CN" w:bidi="ar-SA"/>
        </w:rPr>
        <w:drawing>
          <wp:inline distT="0" distB="0" distL="114300" distR="114300">
            <wp:extent cx="2160270" cy="3055620"/>
            <wp:effectExtent l="42545" t="4445" r="45085" b="89535"/>
            <wp:docPr id="221" name="图片 221" descr="F:/25年金种子杯/合同/加时间的第五工程建筑局2.jpg加时间的第五工程建筑局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221" descr="F:/25年金种子杯/合同/加时间的第五工程建筑局2.jpg加时间的第五工程建筑局2"/>
                    <pic:cNvPicPr>
                      <a:picLocks noChangeAspect="1"/>
                    </pic:cNvPicPr>
                  </pic:nvPicPr>
                  <pic:blipFill>
                    <a:blip r:embed="rId125"/>
                    <a:srcRect t="2824" b="2824"/>
                    <a:stretch>
                      <a:fillRect/>
                    </a:stretch>
                  </pic:blipFill>
                  <pic:spPr>
                    <a:xfrm>
                      <a:off x="0" y="0"/>
                      <a:ext cx="2160270" cy="3055620"/>
                    </a:xfrm>
                    <a:prstGeom prst="rect">
                      <a:avLst/>
                    </a:prstGeom>
                    <a:effectLst>
                      <a:outerShdw blurRad="50800" dist="38100" dir="5400000" algn="t" rotWithShape="0">
                        <a:prstClr val="black">
                          <a:alpha val="40000"/>
                        </a:prstClr>
                      </a:outerShdw>
                    </a:effectLst>
                  </pic:spPr>
                </pic:pic>
              </a:graphicData>
            </a:graphic>
          </wp:inline>
        </w:drawing>
      </w:r>
    </w:p>
    <w:p w14:paraId="69136A43">
      <w:pPr>
        <w:pageBreakBefore w:val="0"/>
        <w:wordWrap/>
        <w:overflowPunct/>
        <w:topLinePunct w:val="0"/>
        <w:bidi w:val="0"/>
        <w:spacing w:line="360" w:lineRule="auto"/>
        <w:ind w:left="0" w:leftChars="0" w:firstLine="0" w:firstLineChars="0"/>
        <w:jc w:val="center"/>
        <w:rPr>
          <w:rFonts w:hint="eastAsia" w:eastAsia="楷体" w:cs="Times New Roman"/>
          <w:b/>
          <w:kern w:val="44"/>
          <w:sz w:val="28"/>
          <w:szCs w:val="28"/>
          <w:lang w:val="en-US" w:eastAsia="zh-CN" w:bidi="ar-SA"/>
        </w:rPr>
      </w:pPr>
      <w:r>
        <w:rPr>
          <w:rFonts w:hint="default" w:ascii="Times New Roman" w:hAnsi="Times New Roman" w:eastAsia="楷体" w:cs="Times New Roman"/>
          <w:b/>
          <w:kern w:val="44"/>
          <w:sz w:val="28"/>
          <w:szCs w:val="28"/>
          <w:lang w:val="en-US" w:eastAsia="zh-CN" w:bidi="ar-SA"/>
        </w:rPr>
        <w:drawing>
          <wp:inline distT="0" distB="0" distL="114300" distR="114300">
            <wp:extent cx="2160270" cy="3057525"/>
            <wp:effectExtent l="42545" t="4445" r="45085" b="87630"/>
            <wp:docPr id="220" name="图片 220" descr="WPS拼图4.16中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20" descr="WPS拼图4.16中午"/>
                    <pic:cNvPicPr>
                      <a:picLocks noChangeAspect="1"/>
                    </pic:cNvPicPr>
                  </pic:nvPicPr>
                  <pic:blipFill>
                    <a:blip r:embed="rId126"/>
                    <a:stretch>
                      <a:fillRect/>
                    </a:stretch>
                  </pic:blipFill>
                  <pic:spPr>
                    <a:xfrm>
                      <a:off x="0" y="0"/>
                      <a:ext cx="2160270" cy="3057525"/>
                    </a:xfrm>
                    <a:prstGeom prst="rect">
                      <a:avLst/>
                    </a:prstGeom>
                    <a:effectLst>
                      <a:outerShdw blurRad="50800" dist="38100" dir="5400000" algn="t" rotWithShape="0">
                        <a:prstClr val="black">
                          <a:alpha val="40000"/>
                        </a:prstClr>
                      </a:outerShdw>
                    </a:effectLst>
                  </pic:spPr>
                </pic:pic>
              </a:graphicData>
            </a:graphic>
          </wp:inline>
        </w:drawing>
      </w:r>
      <w:r>
        <w:rPr>
          <w:rFonts w:hint="eastAsia" w:eastAsia="楷体" w:cs="Times New Roman"/>
          <w:b/>
          <w:kern w:val="44"/>
          <w:sz w:val="28"/>
          <w:szCs w:val="28"/>
          <w:lang w:val="en-US" w:eastAsia="zh-CN" w:bidi="ar-SA"/>
        </w:rPr>
        <w:t xml:space="preserve">        </w:t>
      </w:r>
      <w:r>
        <w:rPr>
          <w:rFonts w:hint="default" w:ascii="Times New Roman" w:hAnsi="Times New Roman" w:eastAsia="楷体" w:cs="Times New Roman"/>
          <w:b/>
          <w:kern w:val="44"/>
          <w:sz w:val="28"/>
          <w:szCs w:val="28"/>
          <w:lang w:val="en-US" w:eastAsia="zh-CN" w:bidi="ar-SA"/>
        </w:rPr>
        <w:drawing>
          <wp:inline distT="0" distB="0" distL="114300" distR="114300">
            <wp:extent cx="2160270" cy="3057525"/>
            <wp:effectExtent l="42545" t="4445" r="45085" b="87630"/>
            <wp:docPr id="222" name="图片 222" descr="F:/25年金种子杯/合同/改为手印的震安合同2.jpg改为手印的震安合同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222" descr="F:/25年金种子杯/合同/改为手印的震安合同2.jpg改为手印的震安合同2"/>
                    <pic:cNvPicPr>
                      <a:picLocks noChangeAspect="1"/>
                    </pic:cNvPicPr>
                  </pic:nvPicPr>
                  <pic:blipFill>
                    <a:blip r:embed="rId127"/>
                    <a:srcRect l="21" r="21"/>
                    <a:stretch>
                      <a:fillRect/>
                    </a:stretch>
                  </pic:blipFill>
                  <pic:spPr>
                    <a:xfrm>
                      <a:off x="0" y="0"/>
                      <a:ext cx="2160270" cy="3057525"/>
                    </a:xfrm>
                    <a:prstGeom prst="rect">
                      <a:avLst/>
                    </a:prstGeom>
                    <a:effectLst>
                      <a:outerShdw blurRad="50800" dist="38100" dir="5400000" algn="t" rotWithShape="0">
                        <a:prstClr val="black">
                          <a:alpha val="40000"/>
                        </a:prstClr>
                      </a:outerShdw>
                    </a:effectLst>
                  </pic:spPr>
                </pic:pic>
              </a:graphicData>
            </a:graphic>
          </wp:inline>
        </w:drawing>
      </w:r>
    </w:p>
    <w:p w14:paraId="2EB2554E">
      <w:pPr>
        <w:pageBreakBefore w:val="0"/>
        <w:wordWrap/>
        <w:overflowPunct/>
        <w:topLinePunct w:val="0"/>
        <w:bidi w:val="0"/>
        <w:spacing w:line="360" w:lineRule="auto"/>
        <w:ind w:left="0" w:leftChars="0" w:firstLine="0" w:firstLineChars="0"/>
        <w:jc w:val="both"/>
        <w:rPr>
          <w:rFonts w:hint="default" w:ascii="Times New Roman" w:hAnsi="Times New Roman" w:eastAsia="楷体" w:cs="Times New Roman"/>
          <w:b/>
          <w:kern w:val="44"/>
          <w:sz w:val="28"/>
          <w:szCs w:val="28"/>
          <w:lang w:val="en-US" w:eastAsia="zh-CN" w:bidi="ar-SA"/>
        </w:rPr>
      </w:pPr>
      <w:r>
        <w:rPr>
          <w:rFonts w:hint="default" w:ascii="Times New Roman" w:hAnsi="Times New Roman" w:eastAsia="楷体" w:cs="Times New Roman"/>
          <w:b/>
          <w:kern w:val="44"/>
          <w:sz w:val="28"/>
          <w:szCs w:val="28"/>
          <w:lang w:val="en-US" w:eastAsia="zh-CN" w:bidi="ar-SA"/>
        </w:rPr>
        <w:br w:type="page"/>
      </w:r>
    </w:p>
    <w:p w14:paraId="3DE753E7">
      <w:pPr>
        <w:pStyle w:val="3"/>
        <w:numPr>
          <w:ilvl w:val="1"/>
          <w:numId w:val="0"/>
        </w:numPr>
        <w:bidi w:val="0"/>
        <w:spacing w:line="360" w:lineRule="auto"/>
        <w:ind w:left="0" w:leftChars="0" w:firstLine="0" w:firstLineChars="0"/>
        <w:rPr>
          <w:rFonts w:hint="default"/>
          <w:lang w:val="en-US" w:eastAsia="zh-CN"/>
        </w:rPr>
      </w:pPr>
      <w:bookmarkStart w:id="261" w:name="_Toc4590"/>
      <w:bookmarkStart w:id="262" w:name="_Toc15236"/>
      <w:bookmarkStart w:id="263" w:name="_Toc27894"/>
      <w:bookmarkStart w:id="264" w:name="_Toc27358"/>
      <w:r>
        <w:rPr>
          <w:rFonts w:hint="eastAsia"/>
          <w:lang w:val="en-US" w:eastAsia="zh-CN"/>
        </w:rPr>
        <w:t>13.6</w:t>
      </w:r>
      <w:r>
        <w:rPr>
          <w:rFonts w:hint="eastAsia" w:ascii="楷体" w:hAnsi="楷体" w:eastAsia="楷体" w:cs="楷体"/>
          <w:lang w:val="en-US" w:eastAsia="zh-CN"/>
        </w:rPr>
        <w:t>专家推荐信</w:t>
      </w:r>
      <w:bookmarkEnd w:id="261"/>
      <w:bookmarkEnd w:id="262"/>
      <w:bookmarkEnd w:id="263"/>
      <w:bookmarkEnd w:id="264"/>
    </w:p>
    <w:p w14:paraId="1E288A96">
      <w:pPr>
        <w:pStyle w:val="4"/>
        <w:numPr>
          <w:ilvl w:val="2"/>
          <w:numId w:val="0"/>
        </w:numPr>
        <w:bidi w:val="0"/>
        <w:spacing w:line="360" w:lineRule="auto"/>
        <w:ind w:firstLine="562" w:firstLineChars="200"/>
        <w:rPr>
          <w:rFonts w:hint="default" w:ascii="Times New Roman" w:hAnsi="Times New Roman" w:eastAsia="楷体" w:cs="Times New Roman"/>
          <w:b/>
          <w:bCs/>
          <w:snapToGrid w:val="0"/>
          <w:color w:val="000000"/>
          <w:kern w:val="0"/>
          <w:sz w:val="28"/>
          <w:szCs w:val="28"/>
          <w:lang w:val="en-US" w:eastAsia="zh-CN" w:bidi="ar-SA"/>
        </w:rPr>
      </w:pPr>
      <w:bookmarkStart w:id="265" w:name="_Toc29831"/>
      <w:bookmarkStart w:id="266" w:name="_Toc5618"/>
      <w:bookmarkStart w:id="267" w:name="_Toc9235"/>
      <w:bookmarkStart w:id="268" w:name="_Toc28905"/>
      <w:r>
        <w:rPr>
          <w:rFonts w:hint="eastAsia" w:ascii="Times New Roman" w:hAnsi="Times New Roman" w:cs="Times New Roman"/>
          <w:b/>
          <w:bCs/>
          <w:snapToGrid w:val="0"/>
          <w:color w:val="000000"/>
          <w:kern w:val="0"/>
          <w:sz w:val="28"/>
          <w:szCs w:val="28"/>
          <w:lang w:val="en-US" w:eastAsia="zh-CN" w:bidi="ar-SA"/>
        </w:rPr>
        <w:t>13.</w:t>
      </w:r>
      <w:r>
        <w:rPr>
          <w:rFonts w:hint="eastAsia" w:ascii="Times New Roman" w:hAnsi="Times New Roman" w:eastAsia="楷体" w:cs="Times New Roman"/>
          <w:b/>
          <w:bCs/>
          <w:snapToGrid w:val="0"/>
          <w:color w:val="000000"/>
          <w:kern w:val="0"/>
          <w:sz w:val="28"/>
          <w:szCs w:val="28"/>
          <w:lang w:val="en-US" w:eastAsia="zh-CN" w:bidi="ar-SA"/>
        </w:rPr>
        <w:t>6.1周福霖院士推荐信</w:t>
      </w:r>
      <w:bookmarkEnd w:id="265"/>
      <w:bookmarkEnd w:id="266"/>
      <w:bookmarkEnd w:id="267"/>
      <w:bookmarkEnd w:id="268"/>
    </w:p>
    <w:p w14:paraId="35588A7C">
      <w:pPr>
        <w:spacing w:line="360" w:lineRule="auto"/>
        <w:ind w:left="0" w:leftChars="0" w:firstLine="0" w:firstLineChars="0"/>
        <w:jc w:val="center"/>
        <w:rPr>
          <w:rFonts w:hint="eastAsia" w:ascii="Times New Roman" w:hAnsi="Times New Roman" w:eastAsia="楷体" w:cs="楷体"/>
          <w:b/>
          <w:bCs/>
          <w:kern w:val="2"/>
          <w:sz w:val="30"/>
          <w:szCs w:val="30"/>
          <w:lang w:val="en-US" w:eastAsia="zh-CN" w:bidi="ar-SA"/>
        </w:rPr>
      </w:pPr>
      <w:r>
        <w:rPr>
          <w:rFonts w:hint="default" w:ascii="Times New Roman" w:hAnsi="Times New Roman" w:eastAsia="楷体" w:cs="楷体"/>
          <w:b/>
          <w:bCs w:val="0"/>
          <w:kern w:val="2"/>
          <w:sz w:val="28"/>
          <w:szCs w:val="28"/>
          <w:lang w:val="en-US" w:eastAsia="zh-CN" w:bidi="ar-SA"/>
        </w:rPr>
        <w:drawing>
          <wp:inline distT="0" distB="0" distL="114300" distR="114300">
            <wp:extent cx="5318125" cy="7401560"/>
            <wp:effectExtent l="106680" t="114935" r="112395" b="128905"/>
            <wp:docPr id="223" name="图片 20" descr="C:/Users/蒋晨星/Pictures/Screenshots/屏幕截图 2025-05-03 155138.png屏幕截图 2025-05-03 155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20" descr="C:/Users/蒋晨星/Pictures/Screenshots/屏幕截图 2025-05-03 155138.png屏幕截图 2025-05-03 155138"/>
                    <pic:cNvPicPr>
                      <a:picLocks noChangeAspect="1"/>
                    </pic:cNvPicPr>
                  </pic:nvPicPr>
                  <pic:blipFill>
                    <a:blip r:embed="rId128"/>
                    <a:srcRect l="3269" t="4657" r="3867" b="4556"/>
                    <a:stretch>
                      <a:fillRect/>
                    </a:stretch>
                  </pic:blipFill>
                  <pic:spPr>
                    <a:xfrm>
                      <a:off x="0" y="0"/>
                      <a:ext cx="5318125" cy="7401560"/>
                    </a:xfrm>
                    <a:prstGeom prst="rect">
                      <a:avLst/>
                    </a:prstGeom>
                    <a:noFill/>
                    <a:ln>
                      <a:noFill/>
                    </a:ln>
                    <a:effectLst>
                      <a:outerShdw blurRad="63500" sx="102000" sy="102000" algn="ctr" rotWithShape="0">
                        <a:prstClr val="black">
                          <a:alpha val="40000"/>
                        </a:prstClr>
                      </a:outerShdw>
                    </a:effectLst>
                  </pic:spPr>
                </pic:pic>
              </a:graphicData>
            </a:graphic>
          </wp:inline>
        </w:drawing>
      </w:r>
      <w:r>
        <w:rPr>
          <w:rFonts w:hint="default" w:ascii="Times New Roman" w:hAnsi="Times New Roman" w:eastAsia="楷体" w:cs="楷体"/>
          <w:b/>
          <w:bCs/>
          <w:kern w:val="2"/>
          <w:sz w:val="30"/>
          <w:szCs w:val="30"/>
          <w:lang w:val="en-US" w:eastAsia="zh-CN" w:bidi="ar-SA"/>
        </w:rPr>
        <w:br w:type="page"/>
      </w:r>
    </w:p>
    <w:p w14:paraId="76603FFE">
      <w:pPr>
        <w:pStyle w:val="4"/>
        <w:numPr>
          <w:ilvl w:val="2"/>
          <w:numId w:val="0"/>
        </w:numPr>
        <w:bidi w:val="0"/>
        <w:spacing w:line="360" w:lineRule="auto"/>
        <w:ind w:firstLine="562" w:firstLineChars="200"/>
        <w:rPr>
          <w:rFonts w:hint="eastAsia" w:ascii="Times New Roman" w:hAnsi="Times New Roman" w:eastAsia="楷体" w:cs="Times New Roman"/>
          <w:b/>
          <w:bCs/>
          <w:snapToGrid w:val="0"/>
          <w:color w:val="000000"/>
          <w:kern w:val="0"/>
          <w:sz w:val="28"/>
          <w:szCs w:val="28"/>
          <w:lang w:val="en-US" w:eastAsia="zh-CN" w:bidi="ar-SA"/>
        </w:rPr>
      </w:pPr>
      <w:bookmarkStart w:id="269" w:name="_Toc4084"/>
      <w:bookmarkStart w:id="270" w:name="_Toc13076"/>
      <w:bookmarkStart w:id="271" w:name="_Toc10862"/>
      <w:bookmarkStart w:id="272" w:name="_Toc9799"/>
      <w:r>
        <w:rPr>
          <w:rFonts w:hint="eastAsia" w:ascii="Times New Roman" w:hAnsi="Times New Roman" w:cs="Times New Roman"/>
          <w:b/>
          <w:bCs/>
          <w:snapToGrid w:val="0"/>
          <w:color w:val="000000"/>
          <w:kern w:val="0"/>
          <w:sz w:val="28"/>
          <w:szCs w:val="28"/>
          <w:lang w:val="en-US" w:eastAsia="zh-CN" w:bidi="ar-SA"/>
        </w:rPr>
        <w:t>13.</w:t>
      </w:r>
      <w:r>
        <w:rPr>
          <w:rFonts w:hint="eastAsia" w:ascii="Times New Roman" w:hAnsi="Times New Roman" w:eastAsia="楷体" w:cs="Times New Roman"/>
          <w:b/>
          <w:bCs/>
          <w:snapToGrid w:val="0"/>
          <w:color w:val="000000"/>
          <w:kern w:val="0"/>
          <w:sz w:val="28"/>
          <w:szCs w:val="28"/>
          <w:lang w:val="en-US" w:eastAsia="zh-CN" w:bidi="ar-SA"/>
        </w:rPr>
        <w:t>6.2谭平教授推荐信</w:t>
      </w:r>
      <w:bookmarkEnd w:id="269"/>
      <w:bookmarkEnd w:id="270"/>
      <w:bookmarkEnd w:id="271"/>
      <w:bookmarkEnd w:id="272"/>
    </w:p>
    <w:p w14:paraId="5F2B6194">
      <w:pPr>
        <w:spacing w:line="360" w:lineRule="auto"/>
        <w:ind w:left="0" w:leftChars="0" w:firstLine="0" w:firstLineChars="0"/>
        <w:jc w:val="center"/>
        <w:rPr>
          <w:rFonts w:hint="default" w:ascii="Times New Roman" w:hAnsi="Times New Roman" w:eastAsia="楷体" w:cs="楷体"/>
          <w:b/>
          <w:bCs w:val="0"/>
          <w:kern w:val="2"/>
          <w:sz w:val="28"/>
          <w:szCs w:val="28"/>
          <w:lang w:val="en-US" w:eastAsia="zh-CN" w:bidi="ar-SA"/>
        </w:rPr>
      </w:pPr>
      <w:r>
        <w:rPr>
          <w:rFonts w:hint="default" w:ascii="Times New Roman" w:hAnsi="Times New Roman" w:eastAsia="楷体" w:cs="楷体"/>
          <w:b/>
          <w:bCs w:val="0"/>
          <w:kern w:val="2"/>
          <w:sz w:val="28"/>
          <w:szCs w:val="28"/>
          <w:lang w:val="en-US" w:eastAsia="zh-CN" w:bidi="ar-SA"/>
        </w:rPr>
        <w:drawing>
          <wp:inline distT="0" distB="0" distL="114300" distR="114300">
            <wp:extent cx="5225415" cy="7401560"/>
            <wp:effectExtent l="106045" t="114935" r="116840" b="90805"/>
            <wp:docPr id="224" name="图片 20" descr="C:/Users/王羡/Desktop/政府/专家/图片3.png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0" descr="C:/Users/王羡/Desktop/政府/专家/图片3.png图片3"/>
                    <pic:cNvPicPr>
                      <a:picLocks noChangeAspect="1"/>
                    </pic:cNvPicPr>
                  </pic:nvPicPr>
                  <pic:blipFill>
                    <a:blip r:embed="rId129"/>
                    <a:srcRect l="6383" r="6383"/>
                    <a:stretch>
                      <a:fillRect/>
                    </a:stretch>
                  </pic:blipFill>
                  <pic:spPr>
                    <a:xfrm>
                      <a:off x="0" y="0"/>
                      <a:ext cx="5225415" cy="7401560"/>
                    </a:xfrm>
                    <a:prstGeom prst="rect">
                      <a:avLst/>
                    </a:prstGeom>
                    <a:noFill/>
                    <a:ln>
                      <a:noFill/>
                    </a:ln>
                    <a:effectLst>
                      <a:outerShdw blurRad="63500" sx="102000" sy="102000" algn="ctr" rotWithShape="0">
                        <a:schemeClr val="tx1">
                          <a:alpha val="40000"/>
                        </a:schemeClr>
                      </a:outerShdw>
                    </a:effectLst>
                  </pic:spPr>
                </pic:pic>
              </a:graphicData>
            </a:graphic>
          </wp:inline>
        </w:drawing>
      </w:r>
      <w:r>
        <w:rPr>
          <w:rFonts w:hint="default" w:ascii="Times New Roman" w:hAnsi="Times New Roman" w:eastAsia="楷体" w:cs="楷体"/>
          <w:b/>
          <w:bCs/>
          <w:kern w:val="2"/>
          <w:sz w:val="30"/>
          <w:szCs w:val="30"/>
          <w:lang w:val="en-US" w:eastAsia="zh-CN" w:bidi="ar-SA"/>
        </w:rPr>
        <w:br w:type="page"/>
      </w:r>
    </w:p>
    <w:bookmarkEnd w:id="260"/>
    <w:p w14:paraId="5352FD8C">
      <w:pPr>
        <w:pStyle w:val="4"/>
        <w:numPr>
          <w:ilvl w:val="2"/>
          <w:numId w:val="0"/>
        </w:numPr>
        <w:bidi w:val="0"/>
        <w:spacing w:line="360" w:lineRule="auto"/>
        <w:ind w:left="0" w:leftChars="0" w:firstLine="720" w:firstLineChars="0"/>
        <w:jc w:val="both"/>
        <w:rPr>
          <w:rFonts w:hint="eastAsia" w:ascii="Times New Roman" w:hAnsi="Times New Roman" w:eastAsia="楷体" w:cs="Times New Roman"/>
          <w:b/>
          <w:bCs/>
          <w:snapToGrid w:val="0"/>
          <w:color w:val="000000"/>
          <w:kern w:val="0"/>
          <w:sz w:val="28"/>
          <w:szCs w:val="28"/>
          <w:lang w:val="en-US" w:eastAsia="zh-CN" w:bidi="ar-SA"/>
        </w:rPr>
      </w:pPr>
      <w:bookmarkStart w:id="273" w:name="_Toc15521"/>
      <w:bookmarkStart w:id="274" w:name="_Toc12894"/>
      <w:bookmarkStart w:id="275" w:name="_Toc832"/>
      <w:bookmarkStart w:id="276" w:name="_Toc19484"/>
      <w:bookmarkStart w:id="277" w:name="_Toc7084"/>
      <w:r>
        <w:rPr>
          <w:rFonts w:hint="eastAsia" w:ascii="Times New Roman" w:hAnsi="Times New Roman" w:cs="Times New Roman"/>
          <w:b/>
          <w:bCs/>
          <w:snapToGrid w:val="0"/>
          <w:color w:val="000000"/>
          <w:kern w:val="0"/>
          <w:sz w:val="28"/>
          <w:szCs w:val="28"/>
          <w:lang w:val="en-US" w:eastAsia="zh-CN" w:bidi="ar-SA"/>
        </w:rPr>
        <w:t>13.</w:t>
      </w:r>
      <w:r>
        <w:rPr>
          <w:rFonts w:hint="eastAsia" w:ascii="Times New Roman" w:hAnsi="Times New Roman" w:eastAsia="楷体" w:cs="Times New Roman"/>
          <w:b/>
          <w:bCs/>
          <w:snapToGrid w:val="0"/>
          <w:color w:val="000000"/>
          <w:kern w:val="0"/>
          <w:sz w:val="28"/>
          <w:szCs w:val="28"/>
          <w:lang w:val="en-US" w:eastAsia="zh-CN" w:bidi="ar-SA"/>
        </w:rPr>
        <w:t>6.3云南省富民县赤鹫镇村民感谢信</w:t>
      </w:r>
      <w:bookmarkEnd w:id="273"/>
      <w:bookmarkEnd w:id="274"/>
      <w:bookmarkEnd w:id="275"/>
      <w:bookmarkEnd w:id="276"/>
      <w:bookmarkEnd w:id="277"/>
    </w:p>
    <w:p w14:paraId="76F4980F">
      <w:pPr>
        <w:pStyle w:val="4"/>
        <w:numPr>
          <w:ilvl w:val="2"/>
          <w:numId w:val="0"/>
        </w:numPr>
        <w:bidi w:val="0"/>
        <w:spacing w:line="360" w:lineRule="auto"/>
        <w:jc w:val="center"/>
        <w:rPr>
          <w:rFonts w:hint="default" w:ascii="Times New Roman" w:hAnsi="Times New Roman" w:eastAsia="楷体" w:cs="Times New Roman"/>
          <w:b/>
          <w:bCs/>
          <w:snapToGrid w:val="0"/>
          <w:color w:val="000000"/>
          <w:kern w:val="0"/>
          <w:sz w:val="28"/>
          <w:szCs w:val="28"/>
          <w:lang w:val="en-US" w:eastAsia="zh-CN" w:bidi="ar-SA"/>
        </w:rPr>
      </w:pPr>
      <w:bookmarkStart w:id="278" w:name="_Toc28920"/>
      <w:bookmarkStart w:id="279" w:name="_Toc17836"/>
      <w:bookmarkStart w:id="280" w:name="_Toc18696"/>
      <w:r>
        <w:rPr>
          <w:rFonts w:hint="default" w:ascii="Times New Roman" w:hAnsi="Times New Roman" w:eastAsia="楷体" w:cs="Times New Roman"/>
          <w:b/>
          <w:bCs/>
          <w:snapToGrid w:val="0"/>
          <w:color w:val="000000"/>
          <w:kern w:val="0"/>
          <w:sz w:val="28"/>
          <w:szCs w:val="28"/>
          <w:lang w:val="en-US" w:eastAsia="zh-CN" w:bidi="ar-SA"/>
        </w:rPr>
        <w:drawing>
          <wp:inline distT="0" distB="0" distL="114300" distR="114300">
            <wp:extent cx="5202555" cy="7401560"/>
            <wp:effectExtent l="105410" t="114935" r="114935" b="128905"/>
            <wp:docPr id="205" name="图片 205" descr="59d2df5aba227b057ce2435354c1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205" descr="59d2df5aba227b057ce2435354c1fb2"/>
                    <pic:cNvPicPr>
                      <a:picLocks noChangeAspect="1"/>
                    </pic:cNvPicPr>
                  </pic:nvPicPr>
                  <pic:blipFill>
                    <a:blip r:embed="rId130"/>
                    <a:stretch>
                      <a:fillRect/>
                    </a:stretch>
                  </pic:blipFill>
                  <pic:spPr>
                    <a:xfrm>
                      <a:off x="0" y="0"/>
                      <a:ext cx="5202555" cy="7401560"/>
                    </a:xfrm>
                    <a:prstGeom prst="rect">
                      <a:avLst/>
                    </a:prstGeom>
                    <a:effectLst>
                      <a:outerShdw blurRad="63500" sx="102000" sy="102000" algn="ctr" rotWithShape="0">
                        <a:prstClr val="black">
                          <a:alpha val="40000"/>
                        </a:prstClr>
                      </a:outerShdw>
                    </a:effectLst>
                  </pic:spPr>
                </pic:pic>
              </a:graphicData>
            </a:graphic>
          </wp:inline>
        </w:drawing>
      </w:r>
      <w:bookmarkEnd w:id="278"/>
      <w:bookmarkEnd w:id="279"/>
      <w:bookmarkEnd w:id="280"/>
    </w:p>
    <w:p w14:paraId="0387BC4C">
      <w:pPr>
        <w:pStyle w:val="5"/>
        <w:spacing w:line="360" w:lineRule="auto"/>
        <w:ind w:left="0" w:leftChars="0" w:firstLine="0" w:firstLineChars="0"/>
        <w:jc w:val="center"/>
        <w:rPr>
          <w:rFonts w:hint="default" w:ascii="Times New Roman" w:hAnsi="Times New Roman" w:eastAsia="仿宋" w:cstheme="minorBidi"/>
          <w:b w:val="0"/>
          <w:bCs/>
          <w:kern w:val="44"/>
          <w:sz w:val="28"/>
          <w:szCs w:val="28"/>
          <w:lang w:val="en-US" w:eastAsia="zh-CN" w:bidi="ar-SA"/>
        </w:rPr>
      </w:pPr>
    </w:p>
    <w:p w14:paraId="01A9B577">
      <w:pPr>
        <w:pStyle w:val="4"/>
        <w:numPr>
          <w:ilvl w:val="2"/>
          <w:numId w:val="0"/>
        </w:numPr>
        <w:bidi w:val="0"/>
        <w:spacing w:line="360" w:lineRule="auto"/>
        <w:ind w:firstLine="562" w:firstLineChars="200"/>
        <w:rPr>
          <w:rFonts w:hint="eastAsia" w:ascii="Times New Roman" w:hAnsi="Times New Roman" w:eastAsia="楷体" w:cs="Times New Roman"/>
          <w:b/>
          <w:bCs/>
          <w:snapToGrid w:val="0"/>
          <w:color w:val="000000"/>
          <w:kern w:val="0"/>
          <w:sz w:val="28"/>
          <w:szCs w:val="28"/>
          <w:lang w:val="en-US" w:eastAsia="zh-CN" w:bidi="ar-SA"/>
        </w:rPr>
      </w:pPr>
      <w:bookmarkStart w:id="281" w:name="_Toc29346"/>
      <w:bookmarkStart w:id="282" w:name="_Toc19198"/>
      <w:bookmarkStart w:id="283" w:name="_Toc16177"/>
      <w:bookmarkStart w:id="284" w:name="_Toc19521"/>
      <w:bookmarkStart w:id="285" w:name="_Toc2351"/>
      <w:r>
        <w:rPr>
          <w:rFonts w:hint="eastAsia" w:ascii="Times New Roman" w:hAnsi="Times New Roman" w:cs="Times New Roman"/>
          <w:b/>
          <w:bCs/>
          <w:snapToGrid w:val="0"/>
          <w:color w:val="000000"/>
          <w:kern w:val="0"/>
          <w:sz w:val="28"/>
          <w:szCs w:val="28"/>
          <w:lang w:val="en-US" w:eastAsia="zh-CN" w:bidi="ar-SA"/>
        </w:rPr>
        <w:t>13.</w:t>
      </w:r>
      <w:r>
        <w:rPr>
          <w:rFonts w:hint="eastAsia" w:ascii="Times New Roman" w:hAnsi="Times New Roman" w:eastAsia="楷体" w:cs="Times New Roman"/>
          <w:b/>
          <w:bCs/>
          <w:snapToGrid w:val="0"/>
          <w:color w:val="000000"/>
          <w:kern w:val="0"/>
          <w:sz w:val="28"/>
          <w:szCs w:val="28"/>
          <w:lang w:val="en-US" w:eastAsia="zh-CN" w:bidi="ar-SA"/>
        </w:rPr>
        <w:t>6.4湖南省住房和城乡建设厅推荐函</w:t>
      </w:r>
      <w:bookmarkEnd w:id="281"/>
      <w:bookmarkEnd w:id="282"/>
      <w:bookmarkEnd w:id="283"/>
      <w:bookmarkEnd w:id="284"/>
      <w:bookmarkEnd w:id="285"/>
    </w:p>
    <w:p w14:paraId="0B221AB2">
      <w:pPr>
        <w:pStyle w:val="4"/>
        <w:numPr>
          <w:ilvl w:val="2"/>
          <w:numId w:val="0"/>
        </w:numPr>
        <w:bidi w:val="0"/>
        <w:spacing w:line="360" w:lineRule="auto"/>
        <w:jc w:val="center"/>
        <w:rPr>
          <w:rFonts w:hint="default" w:ascii="Times New Roman" w:hAnsi="Times New Roman" w:eastAsia="楷体" w:cs="Times New Roman"/>
          <w:b/>
          <w:bCs/>
          <w:snapToGrid w:val="0"/>
          <w:color w:val="000000"/>
          <w:kern w:val="0"/>
          <w:sz w:val="28"/>
          <w:szCs w:val="28"/>
          <w:lang w:val="en-US" w:eastAsia="zh-CN" w:bidi="ar-SA"/>
        </w:rPr>
      </w:pPr>
      <w:bookmarkStart w:id="286" w:name="_Toc29566"/>
      <w:bookmarkStart w:id="287" w:name="_Toc15765"/>
      <w:bookmarkStart w:id="288" w:name="_Toc24186"/>
      <w:r>
        <w:rPr>
          <w:rFonts w:hint="default" w:ascii="Times New Roman" w:hAnsi="Times New Roman" w:eastAsia="楷体" w:cs="Times New Roman"/>
          <w:b/>
          <w:bCs/>
          <w:snapToGrid w:val="0"/>
          <w:color w:val="000000"/>
          <w:kern w:val="0"/>
          <w:sz w:val="28"/>
          <w:szCs w:val="28"/>
          <w:lang w:val="en-US" w:eastAsia="zh-CN" w:bidi="ar-SA"/>
        </w:rPr>
        <w:drawing>
          <wp:inline distT="0" distB="0" distL="114300" distR="114300">
            <wp:extent cx="5314315" cy="7401560"/>
            <wp:effectExtent l="106680" t="114935" r="116205" b="128905"/>
            <wp:docPr id="208" name="图片 20" descr="7b0a202020202266696c746572223a202230220a7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20" descr="7b0a202020202266696c746572223a202230220a7d0a"/>
                    <pic:cNvPicPr>
                      <a:picLocks noChangeAspect="1"/>
                    </pic:cNvPicPr>
                  </pic:nvPicPr>
                  <pic:blipFill>
                    <a:blip r:embed="rId131"/>
                    <a:srcRect t="1102" b="1102"/>
                    <a:stretch>
                      <a:fillRect/>
                    </a:stretch>
                  </pic:blipFill>
                  <pic:spPr>
                    <a:xfrm>
                      <a:off x="0" y="0"/>
                      <a:ext cx="5314315" cy="7401560"/>
                    </a:xfrm>
                    <a:prstGeom prst="rect">
                      <a:avLst/>
                    </a:prstGeom>
                    <a:noFill/>
                    <a:ln>
                      <a:noFill/>
                    </a:ln>
                    <a:effectLst>
                      <a:outerShdw blurRad="63500" sx="102000" sy="102000" algn="ctr" rotWithShape="0">
                        <a:prstClr val="black">
                          <a:alpha val="40000"/>
                        </a:prstClr>
                      </a:outerShdw>
                    </a:effectLst>
                  </pic:spPr>
                </pic:pic>
              </a:graphicData>
            </a:graphic>
          </wp:inline>
        </w:drawing>
      </w:r>
      <w:bookmarkEnd w:id="286"/>
      <w:bookmarkEnd w:id="287"/>
      <w:bookmarkEnd w:id="288"/>
    </w:p>
    <w:p w14:paraId="4EF09515">
      <w:pPr>
        <w:spacing w:line="360" w:lineRule="auto"/>
        <w:ind w:left="0" w:leftChars="0" w:firstLine="0" w:firstLineChars="0"/>
        <w:jc w:val="both"/>
        <w:rPr>
          <w:rFonts w:hint="eastAsia" w:ascii="Times New Roman" w:hAnsi="Times New Roman" w:eastAsia="仿宋" w:cstheme="minorBidi"/>
          <w:b/>
          <w:bCs w:val="0"/>
          <w:kern w:val="44"/>
          <w:sz w:val="28"/>
          <w:szCs w:val="28"/>
          <w:lang w:val="en-US" w:eastAsia="zh-CN" w:bidi="ar-SA"/>
        </w:rPr>
      </w:pPr>
      <w:r>
        <w:rPr>
          <w:rFonts w:hint="eastAsia"/>
          <w:lang w:eastAsia="zh-CN"/>
        </w:rPr>
        <w:tab/>
      </w:r>
      <w:r>
        <w:rPr>
          <w:rFonts w:hint="eastAsia" w:ascii="Times New Roman" w:hAnsi="Times New Roman" w:eastAsia="仿宋" w:cstheme="minorBidi"/>
          <w:b w:val="0"/>
          <w:bCs/>
          <w:kern w:val="44"/>
          <w:sz w:val="28"/>
          <w:szCs w:val="28"/>
          <w:lang w:val="en-US" w:eastAsia="zh-CN" w:bidi="ar-SA"/>
        </w:rPr>
        <w:t xml:space="preserve"> </w:t>
      </w:r>
    </w:p>
    <w:p w14:paraId="70A3D336">
      <w:pPr>
        <w:spacing w:line="360" w:lineRule="auto"/>
        <w:ind w:left="0" w:leftChars="0" w:firstLine="0" w:firstLineChars="0"/>
        <w:jc w:val="center"/>
        <w:rPr>
          <w:rFonts w:hint="default" w:ascii="Times New Roman" w:hAnsi="Times New Roman" w:eastAsia="楷体" w:cs="楷体"/>
          <w:b w:val="0"/>
          <w:bCs/>
          <w:kern w:val="2"/>
          <w:sz w:val="28"/>
          <w:szCs w:val="28"/>
          <w:lang w:val="en-US" w:eastAsia="zh-CN" w:bidi="ar-SA"/>
        </w:rPr>
      </w:pPr>
    </w:p>
    <w:p w14:paraId="6660540F">
      <w:pPr>
        <w:spacing w:line="360" w:lineRule="auto"/>
        <w:rPr>
          <w:rFonts w:hint="default" w:ascii="Times New Roman" w:hAnsi="Times New Roman" w:eastAsia="楷体" w:cs="楷体"/>
          <w:b w:val="0"/>
          <w:bCs/>
          <w:kern w:val="2"/>
          <w:sz w:val="28"/>
          <w:szCs w:val="28"/>
          <w:lang w:val="en-US" w:eastAsia="zh-CN" w:bidi="ar-SA"/>
        </w:rPr>
        <w:sectPr>
          <w:pgSz w:w="11906" w:h="16838"/>
          <w:pgMar w:top="1417" w:right="1417" w:bottom="1417" w:left="1417" w:header="851" w:footer="992" w:gutter="0"/>
          <w:pgBorders>
            <w:top w:val="none" w:sz="0" w:space="0"/>
            <w:left w:val="none" w:sz="0" w:space="0"/>
            <w:bottom w:val="none" w:sz="0" w:space="0"/>
            <w:right w:val="none" w:sz="0" w:space="0"/>
          </w:pgBorders>
          <w:cols w:space="425" w:num="1"/>
          <w:docGrid w:type="lines" w:linePitch="312" w:charSpace="0"/>
        </w:sectPr>
      </w:pPr>
      <w:r>
        <w:rPr>
          <w:rFonts w:hint="default" w:ascii="Times New Roman" w:hAnsi="Times New Roman" w:eastAsia="楷体" w:cs="楷体"/>
          <w:b w:val="0"/>
          <w:bCs/>
          <w:kern w:val="2"/>
          <w:sz w:val="28"/>
          <w:szCs w:val="28"/>
          <w:lang w:val="en-US" w:eastAsia="zh-CN" w:bidi="ar-SA"/>
        </w:rPr>
        <w:drawing>
          <wp:inline distT="0" distB="0" distL="114300" distR="114300">
            <wp:extent cx="5313680" cy="7401560"/>
            <wp:effectExtent l="106680" t="114935" r="116840" b="128905"/>
            <wp:docPr id="209" name="图片 20" descr="7b0a202020202266696c746572223a202230220a7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20" descr="7b0a202020202266696c746572223a202230220a7d0a"/>
                    <pic:cNvPicPr>
                      <a:picLocks noChangeAspect="1"/>
                    </pic:cNvPicPr>
                  </pic:nvPicPr>
                  <pic:blipFill>
                    <a:blip r:embed="rId132"/>
                    <a:srcRect l="1876" r="1876"/>
                    <a:stretch>
                      <a:fillRect/>
                    </a:stretch>
                  </pic:blipFill>
                  <pic:spPr>
                    <a:xfrm>
                      <a:off x="0" y="0"/>
                      <a:ext cx="5313680" cy="7401560"/>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52E5D711">
      <w:pPr>
        <w:spacing w:line="360" w:lineRule="auto"/>
        <w:rPr>
          <w:rFonts w:hint="eastAsia" w:ascii="Times New Roman" w:hAnsi="Times New Roman" w:eastAsia="楷体" w:cs="楷体"/>
          <w:b w:val="0"/>
          <w:bCs/>
          <w:kern w:val="2"/>
          <w:sz w:val="28"/>
          <w:szCs w:val="28"/>
          <w:lang w:val="en-US" w:eastAsia="zh-CN" w:bidi="ar-SA"/>
        </w:rPr>
      </w:pPr>
      <w:r>
        <w:rPr>
          <w:rFonts w:hint="eastAsia" w:ascii="Times New Roman" w:hAnsi="Times New Roman" w:eastAsia="楷体" w:cs="楷体"/>
          <w:b w:val="0"/>
          <w:bCs/>
          <w:kern w:val="2"/>
          <w:sz w:val="28"/>
          <w:szCs w:val="28"/>
          <w:lang w:val="en-US" w:eastAsia="zh-CN" w:bidi="ar-SA"/>
        </w:rPr>
        <w:drawing>
          <wp:inline distT="0" distB="0" distL="114300" distR="114300">
            <wp:extent cx="5758180" cy="8145780"/>
            <wp:effectExtent l="0" t="0" r="7620" b="7620"/>
            <wp:docPr id="10" name="图片 10" descr="感谢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感谢信"/>
                    <pic:cNvPicPr>
                      <a:picLocks noChangeAspect="1"/>
                    </pic:cNvPicPr>
                  </pic:nvPicPr>
                  <pic:blipFill>
                    <a:blip r:embed="rId133"/>
                    <a:stretch>
                      <a:fillRect/>
                    </a:stretch>
                  </pic:blipFill>
                  <pic:spPr>
                    <a:xfrm>
                      <a:off x="0" y="0"/>
                      <a:ext cx="5758180" cy="8145780"/>
                    </a:xfrm>
                    <a:prstGeom prst="rect">
                      <a:avLst/>
                    </a:prstGeom>
                  </pic:spPr>
                </pic:pic>
              </a:graphicData>
            </a:graphic>
          </wp:inline>
        </w:drawing>
      </w:r>
    </w:p>
    <w:p w14:paraId="4292D6B4">
      <w:pPr>
        <w:spacing w:line="360" w:lineRule="auto"/>
        <w:rPr>
          <w:rFonts w:hint="eastAsia" w:ascii="Times New Roman" w:hAnsi="Times New Roman" w:eastAsia="楷体" w:cs="楷体"/>
          <w:b w:val="0"/>
          <w:bCs/>
          <w:kern w:val="2"/>
          <w:sz w:val="28"/>
          <w:szCs w:val="28"/>
          <w:lang w:val="en-US" w:eastAsia="zh-CN" w:bidi="ar-SA"/>
        </w:rPr>
      </w:pPr>
    </w:p>
    <w:p w14:paraId="386D3775">
      <w:pPr>
        <w:spacing w:line="360" w:lineRule="auto"/>
        <w:rPr>
          <w:rFonts w:hint="eastAsia" w:ascii="Times New Roman" w:hAnsi="Times New Roman" w:eastAsia="楷体" w:cs="楷体"/>
          <w:b w:val="0"/>
          <w:bCs/>
          <w:kern w:val="2"/>
          <w:sz w:val="28"/>
          <w:szCs w:val="28"/>
          <w:lang w:val="en-US" w:eastAsia="zh-CN" w:bidi="ar-SA"/>
        </w:rPr>
      </w:pPr>
      <w:bookmarkStart w:id="289" w:name="_GoBack"/>
      <w:bookmarkEnd w:id="289"/>
      <w:r>
        <w:rPr>
          <w:rFonts w:hint="eastAsia" w:ascii="Times New Roman" w:hAnsi="Times New Roman" w:eastAsia="楷体" w:cs="楷体"/>
          <w:b w:val="0"/>
          <w:bCs/>
          <w:kern w:val="2"/>
          <w:sz w:val="28"/>
          <w:szCs w:val="28"/>
          <w:lang w:val="en-US" w:eastAsia="zh-CN" w:bidi="ar-SA"/>
        </w:rPr>
        <w:drawing>
          <wp:anchor distT="0" distB="0" distL="114935" distR="114935" simplePos="0" relativeHeight="251674624" behindDoc="0" locked="0" layoutInCell="1" allowOverlap="1">
            <wp:simplePos x="0" y="0"/>
            <wp:positionH relativeFrom="column">
              <wp:posOffset>0</wp:posOffset>
            </wp:positionH>
            <wp:positionV relativeFrom="paragraph">
              <wp:posOffset>96520</wp:posOffset>
            </wp:positionV>
            <wp:extent cx="5765800" cy="8127365"/>
            <wp:effectExtent l="0" t="0" r="0" b="635"/>
            <wp:wrapSquare wrapText="bothSides"/>
            <wp:docPr id="15" name="图片 15" descr="结尾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结尾页"/>
                    <pic:cNvPicPr>
                      <a:picLocks noChangeAspect="1"/>
                    </pic:cNvPicPr>
                  </pic:nvPicPr>
                  <pic:blipFill>
                    <a:blip r:embed="rId134"/>
                    <a:stretch>
                      <a:fillRect/>
                    </a:stretch>
                  </pic:blipFill>
                  <pic:spPr>
                    <a:xfrm>
                      <a:off x="0" y="0"/>
                      <a:ext cx="5765800" cy="8127365"/>
                    </a:xfrm>
                    <a:prstGeom prst="rect">
                      <a:avLst/>
                    </a:prstGeom>
                  </pic:spPr>
                </pic:pic>
              </a:graphicData>
            </a:graphic>
            <wp14:sizeRelH relativeFrom="page">
              <wp14:pctWidth>100000</wp14:pctWidth>
            </wp14:sizeRelH>
            <wp14:sizeRelV relativeFrom="page">
              <wp14:pctHeight>100000</wp14:pctHeight>
            </wp14:sizeRelV>
          </wp:anchor>
        </w:drawing>
      </w:r>
    </w:p>
    <w:sectPr>
      <w:pgSz w:w="11906" w:h="16838"/>
      <w:pgMar w:top="1417" w:right="1417" w:bottom="1417" w:left="1417"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657D8AFB-DFA7-4E7D-9877-F3A808D42BD6}"/>
  </w:font>
  <w:font w:name="黑体">
    <w:panose1 w:val="02010609060101010101"/>
    <w:charset w:val="86"/>
    <w:family w:val="auto"/>
    <w:pitch w:val="default"/>
    <w:sig w:usb0="800002BF" w:usb1="38CF7CFA" w:usb2="00000016" w:usb3="00000000" w:csb0="00040001" w:csb1="00000000"/>
    <w:embedRegular r:id="rId2" w:fontKey="{3FB1531F-63FA-419E-97E4-83B6691311E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1EBF50E2-E906-4A54-81FA-B19203CE7E31}"/>
  </w:font>
  <w:font w:name="楷体">
    <w:panose1 w:val="02010609060101010101"/>
    <w:charset w:val="86"/>
    <w:family w:val="modern"/>
    <w:pitch w:val="default"/>
    <w:sig w:usb0="800002BF" w:usb1="38CF7CFA" w:usb2="00000016" w:usb3="00000000" w:csb0="00040001" w:csb1="00000000"/>
    <w:embedRegular r:id="rId4" w:fontKey="{3D5DB403-B1FC-4E7B-BB3F-74E1C650B972}"/>
  </w:font>
  <w:font w:name="微软雅黑">
    <w:panose1 w:val="020B0503020204020204"/>
    <w:charset w:val="86"/>
    <w:family w:val="auto"/>
    <w:pitch w:val="default"/>
    <w:sig w:usb0="80000287" w:usb1="2ACF3C50" w:usb2="00000016" w:usb3="00000000" w:csb0="0004001F" w:csb1="00000000"/>
    <w:embedRegular r:id="rId5" w:fontKey="{A67AC73C-A322-4143-B775-DF85EFE0181B}"/>
  </w:font>
  <w:font w:name="楷体_GB2312">
    <w:altName w:val="楷体"/>
    <w:panose1 w:val="02010609030101010101"/>
    <w:charset w:val="86"/>
    <w:family w:val="auto"/>
    <w:pitch w:val="default"/>
    <w:sig w:usb0="00000000" w:usb1="00000000" w:usb2="00000000" w:usb3="00000000" w:csb0="00040000" w:csb1="00000000"/>
    <w:embedRegular r:id="rId6" w:fontKey="{58CA9363-CF4F-4906-8DA1-B7BBD10810CB}"/>
  </w:font>
  <w:font w:name="方正粗黑宋简体">
    <w:panose1 w:val="02000000000000000000"/>
    <w:charset w:val="86"/>
    <w:family w:val="auto"/>
    <w:pitch w:val="default"/>
    <w:sig w:usb0="A00002BF" w:usb1="184F6CFA" w:usb2="00000012" w:usb3="00000000" w:csb0="00040001" w:csb1="00000000"/>
    <w:embedRegular r:id="rId7" w:fontKey="{BCCB4ADE-C7DF-4F38-AD77-D2BFC104A597}"/>
  </w:font>
  <w:font w:name="仿宋">
    <w:panose1 w:val="02010609060101010101"/>
    <w:charset w:val="86"/>
    <w:family w:val="auto"/>
    <w:pitch w:val="default"/>
    <w:sig w:usb0="800002BF" w:usb1="38CF7CFA" w:usb2="00000016" w:usb3="00000000" w:csb0="00040001" w:csb1="00000000"/>
    <w:embedRegular r:id="rId8" w:fontKey="{7A6068CF-B882-49F2-AF8E-56D0DFC1496E}"/>
  </w:font>
  <w:font w:name="Cambria Math">
    <w:panose1 w:val="02040503050406030204"/>
    <w:charset w:val="00"/>
    <w:family w:val="auto"/>
    <w:pitch w:val="default"/>
    <w:sig w:usb0="E00006FF" w:usb1="420024FF" w:usb2="02000000" w:usb3="00000000" w:csb0="2000019F" w:csb1="00000000"/>
    <w:embedRegular r:id="rId9" w:fontKey="{40E82D15-96D6-49AC-86E0-50FE02D07A7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A01FF2">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89C81">
    <w:pPr>
      <w:pStyle w:val="11"/>
      <w:ind w:left="0" w:leftChars="0" w:firstLine="0" w:firstLineChars="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-63500</wp:posOffset>
              </wp:positionV>
              <wp:extent cx="1828800" cy="1828800"/>
              <wp:effectExtent l="0" t="0" r="0" b="0"/>
              <wp:wrapNone/>
              <wp:docPr id="200" name="文本框 20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E30EFF">
                          <w:pPr>
                            <w:pStyle w:val="11"/>
                            <w:rPr>
                              <w:rFonts w:hint="eastAsia" w:eastAsia="仿宋"/>
                              <w:lang w:eastAsia="zh-CN"/>
                            </w:rPr>
                          </w:pPr>
                          <w:r>
                            <w:rPr>
                              <w:rFonts w:hint="eastAsia" w:eastAsia="仿宋"/>
                              <w:lang w:eastAsia="zh-CN"/>
                            </w:rPr>
                            <w:t xml:space="preserve">— </w:t>
                          </w:r>
                          <w:r>
                            <w:rPr>
                              <w:rFonts w:hint="eastAsia" w:eastAsia="仿宋"/>
                              <w:lang w:eastAsia="zh-CN"/>
                            </w:rPr>
                            <w:fldChar w:fldCharType="begin"/>
                          </w:r>
                          <w:r>
                            <w:rPr>
                              <w:rFonts w:hint="eastAsia" w:eastAsia="仿宋"/>
                              <w:lang w:eastAsia="zh-CN"/>
                            </w:rPr>
                            <w:instrText xml:space="preserve"> PAGE  \* MERGEFORMAT </w:instrText>
                          </w:r>
                          <w:r>
                            <w:rPr>
                              <w:rFonts w:hint="eastAsia" w:eastAsia="仿宋"/>
                              <w:lang w:eastAsia="zh-CN"/>
                            </w:rPr>
                            <w:fldChar w:fldCharType="separate"/>
                          </w:r>
                          <w:r>
                            <w:rPr>
                              <w:rFonts w:hint="eastAsia" w:eastAsia="仿宋"/>
                              <w:lang w:eastAsia="zh-CN"/>
                            </w:rPr>
                            <w:t>78</w:t>
                          </w:r>
                          <w:r>
                            <w:rPr>
                              <w:rFonts w:hint="eastAsia" w:eastAsia="仿宋"/>
                              <w:lang w:eastAsia="zh-CN"/>
                            </w:rPr>
                            <w:fldChar w:fldCharType="end"/>
                          </w:r>
                          <w:r>
                            <w:rPr>
                              <w:rFonts w:hint="eastAsia" w:eastAsia="仿宋"/>
                              <w:lang w:eastAsia="zh-CN"/>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5pt;height:144pt;width:144pt;mso-position-horizontal:center;mso-position-horizontal-relative:margin;mso-wrap-style:none;z-index:251660288;mso-width-relative:page;mso-height-relative:page;" filled="f" stroked="f" coordsize="21600,21600" o:gfxdata="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5jsXN0wAAAAgBAAAPAAAAAAAAAAEAIAAAACIAAABkcnMvZG93bnJldi54bWxQSwECFAAUAAAA&#10;CACHTuJAzTRbxCwCAABZBAAADgAAAAAAAAABACAAAAAiAQAAZHJzL2Uyb0RvYy54bWxQSwUGAAAA&#10;AAYABgBZAQAAwAUAAAAA&#10;">
              <v:fill on="f" focussize="0,0"/>
              <v:stroke on="f" weight="0.5pt"/>
              <v:imagedata o:title=""/>
              <o:lock v:ext="edit" aspectratio="f"/>
              <v:textbox inset="0mm,0mm,0mm,0mm" style="mso-fit-shape-to-text:t;">
                <w:txbxContent>
                  <w:p w14:paraId="12E30EFF">
                    <w:pPr>
                      <w:pStyle w:val="11"/>
                      <w:rPr>
                        <w:rFonts w:hint="eastAsia" w:eastAsia="仿宋"/>
                        <w:lang w:eastAsia="zh-CN"/>
                      </w:rPr>
                    </w:pPr>
                    <w:r>
                      <w:rPr>
                        <w:rFonts w:hint="eastAsia" w:eastAsia="仿宋"/>
                        <w:lang w:eastAsia="zh-CN"/>
                      </w:rPr>
                      <w:t xml:space="preserve">— </w:t>
                    </w:r>
                    <w:r>
                      <w:rPr>
                        <w:rFonts w:hint="eastAsia" w:eastAsia="仿宋"/>
                        <w:lang w:eastAsia="zh-CN"/>
                      </w:rPr>
                      <w:fldChar w:fldCharType="begin"/>
                    </w:r>
                    <w:r>
                      <w:rPr>
                        <w:rFonts w:hint="eastAsia" w:eastAsia="仿宋"/>
                        <w:lang w:eastAsia="zh-CN"/>
                      </w:rPr>
                      <w:instrText xml:space="preserve"> PAGE  \* MERGEFORMAT </w:instrText>
                    </w:r>
                    <w:r>
                      <w:rPr>
                        <w:rFonts w:hint="eastAsia" w:eastAsia="仿宋"/>
                        <w:lang w:eastAsia="zh-CN"/>
                      </w:rPr>
                      <w:fldChar w:fldCharType="separate"/>
                    </w:r>
                    <w:r>
                      <w:rPr>
                        <w:rFonts w:hint="eastAsia" w:eastAsia="仿宋"/>
                        <w:lang w:eastAsia="zh-CN"/>
                      </w:rPr>
                      <w:t>78</w:t>
                    </w:r>
                    <w:r>
                      <w:rPr>
                        <w:rFonts w:hint="eastAsia" w:eastAsia="仿宋"/>
                        <w:lang w:eastAsia="zh-CN"/>
                      </w:rPr>
                      <w:fldChar w:fldCharType="end"/>
                    </w:r>
                    <w:r>
                      <w:rPr>
                        <w:rFonts w:hint="eastAsia" w:eastAsia="仿宋"/>
                        <w:lang w:eastAsia="zh-CN"/>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E9B25">
    <w:pPr>
      <w:jc w:val="left"/>
      <w:rPr>
        <w:rFonts w:hint="eastAsia" w:ascii="楷体_GB2312" w:hAnsi="楷体_GB2312" w:eastAsia="楷体_GB2312" w:cs="楷体_GB2312"/>
        <w:sz w:val="21"/>
        <w:szCs w:val="21"/>
        <w:lang w:val="en-US"/>
      </w:rPr>
    </w:pPr>
    <w:r>
      <w:rPr>
        <w:sz w:val="18"/>
      </w:rPr>
      <w:drawing>
        <wp:anchor distT="0" distB="0" distL="114300" distR="114300" simplePos="0" relativeHeight="251659264" behindDoc="1" locked="0" layoutInCell="1" allowOverlap="1">
          <wp:simplePos x="0" y="0"/>
          <wp:positionH relativeFrom="margin">
            <wp:align>center</wp:align>
          </wp:positionH>
          <wp:positionV relativeFrom="margin">
            <wp:align>center</wp:align>
          </wp:positionV>
          <wp:extent cx="7559675" cy="10692765"/>
          <wp:effectExtent l="0" t="0" r="9525" b="635"/>
          <wp:wrapNone/>
          <wp:docPr id="100" name="WordPictureWatermark65512" descr="微信图片_2025071117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WordPictureWatermark65512" descr="微信图片_20250711170042"/>
                  <pic:cNvPicPr>
                    <a:picLocks noChangeAspect="1"/>
                  </pic:cNvPicPr>
                </pic:nvPicPr>
                <pic:blipFill>
                  <a:blip r:embed="rId1"/>
                  <a:stretch>
                    <a:fillRect/>
                  </a:stretch>
                </pic:blipFill>
                <pic:spPr>
                  <a:xfrm>
                    <a:off x="0" y="0"/>
                    <a:ext cx="7559675" cy="1069276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CCE88A"/>
    <w:multiLevelType w:val="multilevel"/>
    <w:tmpl w:val="05CCE88A"/>
    <w:lvl w:ilvl="0" w:tentative="0">
      <w:start w:val="1"/>
      <w:numFmt w:val="decimal"/>
      <w:pStyle w:val="2"/>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TrueTypeFonts/>
  <w:saveSubsetFonts/>
  <w:documentProtection w:enforcement="0"/>
  <w:defaultTabStop w:val="421"/>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E3ZDVkYTFhMDcxZTZhMTUzNTc3Y2I3ZjQ3ZDBkYmIifQ=="/>
  </w:docVars>
  <w:rsids>
    <w:rsidRoot w:val="00000000"/>
    <w:rsid w:val="02166EE4"/>
    <w:rsid w:val="03FD2780"/>
    <w:rsid w:val="057B6B0A"/>
    <w:rsid w:val="06DF0467"/>
    <w:rsid w:val="0D981877"/>
    <w:rsid w:val="0E330A5B"/>
    <w:rsid w:val="100D0AD1"/>
    <w:rsid w:val="118F3048"/>
    <w:rsid w:val="1345698B"/>
    <w:rsid w:val="15011631"/>
    <w:rsid w:val="16B96BCB"/>
    <w:rsid w:val="17973530"/>
    <w:rsid w:val="186A7F16"/>
    <w:rsid w:val="1A266374"/>
    <w:rsid w:val="1CBC62F5"/>
    <w:rsid w:val="1CD01614"/>
    <w:rsid w:val="1CD11799"/>
    <w:rsid w:val="1FE11FD8"/>
    <w:rsid w:val="205D06DB"/>
    <w:rsid w:val="26935D05"/>
    <w:rsid w:val="26DC2691"/>
    <w:rsid w:val="26E82BAA"/>
    <w:rsid w:val="27FC41DE"/>
    <w:rsid w:val="293F30CC"/>
    <w:rsid w:val="2B72495A"/>
    <w:rsid w:val="2B960C8F"/>
    <w:rsid w:val="2CC05ACF"/>
    <w:rsid w:val="2CE97510"/>
    <w:rsid w:val="2DF5457C"/>
    <w:rsid w:val="2ED00BFA"/>
    <w:rsid w:val="2F5E5B1E"/>
    <w:rsid w:val="307C6D3C"/>
    <w:rsid w:val="31B015D8"/>
    <w:rsid w:val="322A18A9"/>
    <w:rsid w:val="336003C6"/>
    <w:rsid w:val="33864BF4"/>
    <w:rsid w:val="34D325F8"/>
    <w:rsid w:val="36046BD5"/>
    <w:rsid w:val="377820F5"/>
    <w:rsid w:val="387A3DAE"/>
    <w:rsid w:val="38D97FC3"/>
    <w:rsid w:val="39067F0D"/>
    <w:rsid w:val="3ACF7322"/>
    <w:rsid w:val="3AE96733"/>
    <w:rsid w:val="40A92342"/>
    <w:rsid w:val="425A2ED2"/>
    <w:rsid w:val="42A66BBC"/>
    <w:rsid w:val="43A044FF"/>
    <w:rsid w:val="43E8407D"/>
    <w:rsid w:val="44FB5D11"/>
    <w:rsid w:val="4586765E"/>
    <w:rsid w:val="45C868E1"/>
    <w:rsid w:val="47C50BEE"/>
    <w:rsid w:val="48A34D2A"/>
    <w:rsid w:val="48A9398C"/>
    <w:rsid w:val="499D5E7B"/>
    <w:rsid w:val="4A786B89"/>
    <w:rsid w:val="4CFE4613"/>
    <w:rsid w:val="4D031308"/>
    <w:rsid w:val="4D3B777F"/>
    <w:rsid w:val="4E471FFE"/>
    <w:rsid w:val="50144E96"/>
    <w:rsid w:val="524A5B82"/>
    <w:rsid w:val="52814D89"/>
    <w:rsid w:val="567530F4"/>
    <w:rsid w:val="569D1D65"/>
    <w:rsid w:val="5785487F"/>
    <w:rsid w:val="59470B47"/>
    <w:rsid w:val="5BA67AA1"/>
    <w:rsid w:val="5BC16969"/>
    <w:rsid w:val="5BFF5186"/>
    <w:rsid w:val="5C7A70CD"/>
    <w:rsid w:val="5F33421D"/>
    <w:rsid w:val="5F337639"/>
    <w:rsid w:val="5FF352A5"/>
    <w:rsid w:val="61CA64CC"/>
    <w:rsid w:val="626E41DE"/>
    <w:rsid w:val="65462D27"/>
    <w:rsid w:val="678B095B"/>
    <w:rsid w:val="69D707AD"/>
    <w:rsid w:val="6E8B52E0"/>
    <w:rsid w:val="6FC84312"/>
    <w:rsid w:val="707F5498"/>
    <w:rsid w:val="71915F18"/>
    <w:rsid w:val="71E87DB5"/>
    <w:rsid w:val="774108D7"/>
    <w:rsid w:val="77BB6166"/>
    <w:rsid w:val="78B96EEE"/>
    <w:rsid w:val="79C82643"/>
    <w:rsid w:val="7B757051"/>
    <w:rsid w:val="7C1F4F6F"/>
    <w:rsid w:val="7C2063B2"/>
    <w:rsid w:val="7D862458"/>
    <w:rsid w:val="7DED1C3F"/>
    <w:rsid w:val="7DF05C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qFormat="1" w:unhideWhenUsed="0" w:uiPriority="99"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楷体" w:cs="宋体"/>
      <w:kern w:val="2"/>
      <w:sz w:val="28"/>
      <w:szCs w:val="22"/>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50" w:afterLines="50" w:afterAutospacing="0" w:line="360" w:lineRule="auto"/>
      <w:ind w:left="0" w:leftChars="0" w:firstLine="0" w:firstLineChars="0"/>
      <w:jc w:val="center"/>
      <w:outlineLvl w:val="0"/>
    </w:pPr>
    <w:rPr>
      <w:rFonts w:ascii="Times New Roman" w:hAnsi="Times New Roman"/>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b/>
      <w:sz w:val="32"/>
    </w:rPr>
  </w:style>
  <w:style w:type="paragraph" w:styleId="4">
    <w:name w:val="heading 3"/>
    <w:basedOn w:val="1"/>
    <w:next w:val="1"/>
    <w:link w:val="31"/>
    <w:unhideWhenUsed/>
    <w:qFormat/>
    <w:uiPriority w:val="0"/>
    <w:pPr>
      <w:keepNext/>
      <w:keepLines/>
      <w:spacing w:before="260" w:beforeLines="0" w:beforeAutospacing="0" w:after="260" w:afterLines="0" w:afterAutospacing="0" w:line="413" w:lineRule="auto"/>
      <w:outlineLvl w:val="2"/>
    </w:pPr>
    <w:rPr>
      <w:rFonts w:ascii="Times New Roman" w:hAnsi="Times New Roman" w:eastAsia="楷体"/>
      <w:b/>
      <w:sz w:val="32"/>
    </w:rPr>
  </w:style>
  <w:style w:type="character" w:default="1" w:styleId="19">
    <w:name w:val="Default Paragraph Font"/>
    <w:autoRedefine/>
    <w:qFormat/>
    <w:uiPriority w:val="1"/>
  </w:style>
  <w:style w:type="table" w:default="1" w:styleId="17">
    <w:name w:val="Normal Table"/>
    <w:autoRedefine/>
    <w:qFormat/>
    <w:uiPriority w:val="99"/>
    <w:tblPr>
      <w:tblCellMar>
        <w:top w:w="0" w:type="dxa"/>
        <w:left w:w="108" w:type="dxa"/>
        <w:bottom w:w="0" w:type="dxa"/>
        <w:right w:w="108" w:type="dxa"/>
      </w:tblCellMar>
    </w:tblPr>
  </w:style>
  <w:style w:type="paragraph" w:styleId="5">
    <w:name w:val="caption"/>
    <w:basedOn w:val="1"/>
    <w:next w:val="1"/>
    <w:unhideWhenUsed/>
    <w:qFormat/>
    <w:uiPriority w:val="0"/>
    <w:pPr>
      <w:jc w:val="center"/>
    </w:pPr>
    <w:rPr>
      <w:rFonts w:ascii="Times New Roman" w:hAnsi="Times New Roman" w:eastAsia="黑体"/>
      <w:sz w:val="24"/>
    </w:rPr>
  </w:style>
  <w:style w:type="paragraph" w:styleId="6">
    <w:name w:val="annotation text"/>
    <w:basedOn w:val="1"/>
    <w:link w:val="29"/>
    <w:autoRedefine/>
    <w:qFormat/>
    <w:uiPriority w:val="99"/>
    <w:pPr>
      <w:jc w:val="center"/>
    </w:pPr>
    <w:rPr>
      <w:rFonts w:ascii="Times New Roman" w:hAnsi="Times New Roman" w:eastAsia="黑体"/>
      <w:sz w:val="21"/>
    </w:rPr>
  </w:style>
  <w:style w:type="paragraph" w:styleId="7">
    <w:name w:val="Body Text"/>
    <w:basedOn w:val="1"/>
    <w:qFormat/>
    <w:uiPriority w:val="0"/>
    <w:pPr>
      <w:spacing w:after="120" w:afterLines="0"/>
    </w:pPr>
    <w:rPr>
      <w:szCs w:val="20"/>
    </w:rPr>
  </w:style>
  <w:style w:type="paragraph" w:styleId="8">
    <w:name w:val="toc 3"/>
    <w:basedOn w:val="1"/>
    <w:next w:val="1"/>
    <w:qFormat/>
    <w:uiPriority w:val="0"/>
    <w:pPr>
      <w:ind w:left="840" w:leftChars="400"/>
    </w:pPr>
  </w:style>
  <w:style w:type="paragraph" w:styleId="9">
    <w:name w:val="Date"/>
    <w:basedOn w:val="1"/>
    <w:next w:val="1"/>
    <w:link w:val="24"/>
    <w:autoRedefine/>
    <w:qFormat/>
    <w:uiPriority w:val="99"/>
    <w:pPr>
      <w:ind w:left="100" w:leftChars="2500"/>
    </w:pPr>
  </w:style>
  <w:style w:type="paragraph" w:styleId="10">
    <w:name w:val="Balloon Text"/>
    <w:basedOn w:val="1"/>
    <w:link w:val="28"/>
    <w:autoRedefine/>
    <w:qFormat/>
    <w:uiPriority w:val="99"/>
    <w:rPr>
      <w:sz w:val="18"/>
      <w:szCs w:val="18"/>
    </w:rPr>
  </w:style>
  <w:style w:type="paragraph" w:styleId="11">
    <w:name w:val="footer"/>
    <w:basedOn w:val="1"/>
    <w:link w:val="27"/>
    <w:autoRedefine/>
    <w:qFormat/>
    <w:uiPriority w:val="99"/>
    <w:pPr>
      <w:tabs>
        <w:tab w:val="center" w:pos="4153"/>
        <w:tab w:val="right" w:pos="8306"/>
      </w:tabs>
      <w:snapToGrid w:val="0"/>
      <w:jc w:val="left"/>
    </w:pPr>
    <w:rPr>
      <w:sz w:val="18"/>
      <w:szCs w:val="18"/>
    </w:rPr>
  </w:style>
  <w:style w:type="paragraph" w:styleId="12">
    <w:name w:val="header"/>
    <w:basedOn w:val="1"/>
    <w:link w:val="26"/>
    <w:autoRedefine/>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qFormat/>
    <w:uiPriority w:val="0"/>
  </w:style>
  <w:style w:type="paragraph" w:styleId="14">
    <w:name w:val="toc 2"/>
    <w:basedOn w:val="1"/>
    <w:next w:val="1"/>
    <w:qFormat/>
    <w:uiPriority w:val="0"/>
    <w:pPr>
      <w:ind w:left="420" w:leftChars="200"/>
    </w:pPr>
  </w:style>
  <w:style w:type="paragraph" w:styleId="15">
    <w:name w:val="Normal (Web)"/>
    <w:basedOn w:val="1"/>
    <w:qFormat/>
    <w:uiPriority w:val="0"/>
    <w:rPr>
      <w:sz w:val="24"/>
    </w:rPr>
  </w:style>
  <w:style w:type="paragraph" w:styleId="16">
    <w:name w:val="annotation subject"/>
    <w:basedOn w:val="6"/>
    <w:next w:val="6"/>
    <w:link w:val="30"/>
    <w:autoRedefine/>
    <w:qFormat/>
    <w:uiPriority w:val="99"/>
    <w:rPr>
      <w:b/>
      <w:bCs/>
    </w:rPr>
  </w:style>
  <w:style w:type="table" w:styleId="18">
    <w:name w:val="Table Grid"/>
    <w:basedOn w:val="17"/>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0">
    <w:name w:val="Strong"/>
    <w:basedOn w:val="19"/>
    <w:qFormat/>
    <w:uiPriority w:val="0"/>
    <w:rPr>
      <w:b/>
    </w:rPr>
  </w:style>
  <w:style w:type="character" w:styleId="21">
    <w:name w:val="Emphasis"/>
    <w:basedOn w:val="19"/>
    <w:qFormat/>
    <w:uiPriority w:val="0"/>
    <w:rPr>
      <w:i/>
    </w:rPr>
  </w:style>
  <w:style w:type="character" w:styleId="22">
    <w:name w:val="Hyperlink"/>
    <w:basedOn w:val="19"/>
    <w:qFormat/>
    <w:uiPriority w:val="0"/>
    <w:rPr>
      <w:color w:val="0000FF"/>
      <w:u w:val="single"/>
    </w:rPr>
  </w:style>
  <w:style w:type="character" w:styleId="23">
    <w:name w:val="annotation reference"/>
    <w:basedOn w:val="19"/>
    <w:autoRedefine/>
    <w:qFormat/>
    <w:uiPriority w:val="99"/>
    <w:rPr>
      <w:sz w:val="21"/>
      <w:szCs w:val="21"/>
    </w:rPr>
  </w:style>
  <w:style w:type="character" w:customStyle="1" w:styleId="24">
    <w:name w:val="日期 Char"/>
    <w:basedOn w:val="19"/>
    <w:link w:val="9"/>
    <w:autoRedefine/>
    <w:qFormat/>
    <w:uiPriority w:val="99"/>
    <w:rPr>
      <w:rFonts w:eastAsia="宋体"/>
    </w:rPr>
  </w:style>
  <w:style w:type="paragraph" w:styleId="25">
    <w:name w:val="List Paragraph"/>
    <w:basedOn w:val="1"/>
    <w:qFormat/>
    <w:uiPriority w:val="34"/>
    <w:pPr>
      <w:ind w:firstLine="420" w:firstLineChars="200"/>
    </w:pPr>
  </w:style>
  <w:style w:type="character" w:customStyle="1" w:styleId="26">
    <w:name w:val="页眉 Char"/>
    <w:basedOn w:val="19"/>
    <w:link w:val="12"/>
    <w:qFormat/>
    <w:uiPriority w:val="99"/>
    <w:rPr>
      <w:rFonts w:eastAsia="宋体"/>
      <w:sz w:val="18"/>
      <w:szCs w:val="18"/>
    </w:rPr>
  </w:style>
  <w:style w:type="character" w:customStyle="1" w:styleId="27">
    <w:name w:val="页脚 Char"/>
    <w:basedOn w:val="19"/>
    <w:link w:val="11"/>
    <w:autoRedefine/>
    <w:qFormat/>
    <w:uiPriority w:val="99"/>
    <w:rPr>
      <w:rFonts w:eastAsia="宋体"/>
      <w:sz w:val="18"/>
      <w:szCs w:val="18"/>
    </w:rPr>
  </w:style>
  <w:style w:type="character" w:customStyle="1" w:styleId="28">
    <w:name w:val="批注框文本 Char"/>
    <w:basedOn w:val="19"/>
    <w:link w:val="10"/>
    <w:qFormat/>
    <w:uiPriority w:val="99"/>
    <w:rPr>
      <w:rFonts w:eastAsia="宋体"/>
      <w:kern w:val="2"/>
      <w:sz w:val="18"/>
      <w:szCs w:val="18"/>
    </w:rPr>
  </w:style>
  <w:style w:type="character" w:customStyle="1" w:styleId="29">
    <w:name w:val="批注文字 Char"/>
    <w:basedOn w:val="19"/>
    <w:link w:val="6"/>
    <w:qFormat/>
    <w:uiPriority w:val="99"/>
    <w:rPr>
      <w:rFonts w:ascii="Times New Roman" w:hAnsi="Times New Roman" w:eastAsia="黑体"/>
      <w:kern w:val="2"/>
      <w:sz w:val="21"/>
      <w:szCs w:val="22"/>
    </w:rPr>
  </w:style>
  <w:style w:type="character" w:customStyle="1" w:styleId="30">
    <w:name w:val="批注主题 Char"/>
    <w:basedOn w:val="29"/>
    <w:link w:val="16"/>
    <w:qFormat/>
    <w:uiPriority w:val="99"/>
    <w:rPr>
      <w:rFonts w:eastAsia="宋体"/>
      <w:b/>
      <w:bCs/>
      <w:kern w:val="2"/>
      <w:sz w:val="21"/>
      <w:szCs w:val="22"/>
    </w:rPr>
  </w:style>
  <w:style w:type="character" w:customStyle="1" w:styleId="31">
    <w:name w:val="标题 3 Char"/>
    <w:link w:val="4"/>
    <w:qFormat/>
    <w:uiPriority w:val="0"/>
    <w:rPr>
      <w:rFonts w:ascii="Times New Roman" w:hAnsi="Times New Roman" w:eastAsia="楷体"/>
      <w:b/>
      <w:sz w:val="32"/>
    </w:rPr>
  </w:style>
  <w:style w:type="character" w:customStyle="1" w:styleId="32">
    <w:name w:val="font31"/>
    <w:basedOn w:val="19"/>
    <w:qFormat/>
    <w:uiPriority w:val="0"/>
    <w:rPr>
      <w:rFonts w:hint="eastAsia" w:ascii="楷体" w:hAnsi="楷体" w:eastAsia="楷体" w:cs="楷体"/>
      <w:color w:val="08090C"/>
      <w:sz w:val="24"/>
      <w:szCs w:val="24"/>
      <w:u w:val="none"/>
    </w:rPr>
  </w:style>
  <w:style w:type="character" w:customStyle="1" w:styleId="33">
    <w:name w:val="font41"/>
    <w:basedOn w:val="19"/>
    <w:qFormat/>
    <w:uiPriority w:val="0"/>
    <w:rPr>
      <w:rFonts w:hint="default" w:ascii="Times New Roman" w:hAnsi="Times New Roman" w:cs="Times New Roman"/>
      <w:color w:val="08090C"/>
      <w:sz w:val="24"/>
      <w:szCs w:val="24"/>
      <w:u w:val="none"/>
    </w:rPr>
  </w:style>
</w:styles>
</file>

<file path=word/_rels/document.xml.rels><?xml version="1.0" encoding="UTF-8" standalone="yes"?>
<Relationships xmlns="http://schemas.openxmlformats.org/package/2006/relationships"><Relationship Id="rId99" Type="http://schemas.openxmlformats.org/officeDocument/2006/relationships/image" Target="media/image85.jpeg"/><Relationship Id="rId98" Type="http://schemas.openxmlformats.org/officeDocument/2006/relationships/image" Target="media/image84.jpeg"/><Relationship Id="rId97" Type="http://schemas.openxmlformats.org/officeDocument/2006/relationships/image" Target="media/image83.jpeg"/><Relationship Id="rId96" Type="http://schemas.openxmlformats.org/officeDocument/2006/relationships/image" Target="media/image82.jpeg"/><Relationship Id="rId95" Type="http://schemas.openxmlformats.org/officeDocument/2006/relationships/image" Target="media/image81.jpeg"/><Relationship Id="rId94" Type="http://schemas.openxmlformats.org/officeDocument/2006/relationships/image" Target="media/image80.jpeg"/><Relationship Id="rId93" Type="http://schemas.openxmlformats.org/officeDocument/2006/relationships/image" Target="media/image79.jpeg"/><Relationship Id="rId92" Type="http://schemas.openxmlformats.org/officeDocument/2006/relationships/image" Target="media/image78.jpeg"/><Relationship Id="rId91" Type="http://schemas.openxmlformats.org/officeDocument/2006/relationships/image" Target="media/image77.jpeg"/><Relationship Id="rId90" Type="http://schemas.openxmlformats.org/officeDocument/2006/relationships/image" Target="media/image76.jpeg"/><Relationship Id="rId9" Type="http://schemas.openxmlformats.org/officeDocument/2006/relationships/image" Target="media/image4.jpeg"/><Relationship Id="rId89" Type="http://schemas.openxmlformats.org/officeDocument/2006/relationships/image" Target="media/image75.jpeg"/><Relationship Id="rId88" Type="http://schemas.openxmlformats.org/officeDocument/2006/relationships/image" Target="media/image74.jpeg"/><Relationship Id="rId87" Type="http://schemas.openxmlformats.org/officeDocument/2006/relationships/image" Target="media/image73.jpeg"/><Relationship Id="rId86" Type="http://schemas.openxmlformats.org/officeDocument/2006/relationships/image" Target="media/image72.jpeg"/><Relationship Id="rId85" Type="http://schemas.openxmlformats.org/officeDocument/2006/relationships/image" Target="media/image71.jpeg"/><Relationship Id="rId84" Type="http://schemas.openxmlformats.org/officeDocument/2006/relationships/image" Target="media/image70.jpeg"/><Relationship Id="rId83" Type="http://schemas.openxmlformats.org/officeDocument/2006/relationships/image" Target="media/image69.jpeg"/><Relationship Id="rId82" Type="http://schemas.openxmlformats.org/officeDocument/2006/relationships/image" Target="media/image68.jpeg"/><Relationship Id="rId81" Type="http://schemas.microsoft.com/office/2007/relationships/hdphoto" Target="media/image67.wdp"/><Relationship Id="rId80" Type="http://schemas.openxmlformats.org/officeDocument/2006/relationships/image" Target="media/image66.jpeg"/><Relationship Id="rId8" Type="http://schemas.openxmlformats.org/officeDocument/2006/relationships/image" Target="media/image3.jpeg"/><Relationship Id="rId79" Type="http://schemas.microsoft.com/office/2007/relationships/hdphoto" Target="media/image65.wdp"/><Relationship Id="rId78" Type="http://schemas.openxmlformats.org/officeDocument/2006/relationships/image" Target="media/image64.jpeg"/><Relationship Id="rId77" Type="http://schemas.openxmlformats.org/officeDocument/2006/relationships/image" Target="media/image63.jpeg"/><Relationship Id="rId76" Type="http://schemas.openxmlformats.org/officeDocument/2006/relationships/image" Target="media/image62.jpeg"/><Relationship Id="rId75" Type="http://schemas.openxmlformats.org/officeDocument/2006/relationships/image" Target="media/image61.jpeg"/><Relationship Id="rId74" Type="http://schemas.openxmlformats.org/officeDocument/2006/relationships/image" Target="media/image60.jpeg"/><Relationship Id="rId73" Type="http://schemas.openxmlformats.org/officeDocument/2006/relationships/image" Target="media/image59.jpeg"/><Relationship Id="rId72" Type="http://schemas.openxmlformats.org/officeDocument/2006/relationships/image" Target="media/image58.jpeg"/><Relationship Id="rId71" Type="http://schemas.openxmlformats.org/officeDocument/2006/relationships/image" Target="media/image57.jpeg"/><Relationship Id="rId70" Type="http://schemas.openxmlformats.org/officeDocument/2006/relationships/image" Target="media/image56.jpeg"/><Relationship Id="rId7" Type="http://schemas.openxmlformats.org/officeDocument/2006/relationships/image" Target="media/image2.jpeg"/><Relationship Id="rId69" Type="http://schemas.openxmlformats.org/officeDocument/2006/relationships/image" Target="media/image55.jpeg"/><Relationship Id="rId68" Type="http://schemas.openxmlformats.org/officeDocument/2006/relationships/image" Target="media/image54.jpeg"/><Relationship Id="rId67" Type="http://schemas.openxmlformats.org/officeDocument/2006/relationships/chart" Target="charts/chart9.xml"/><Relationship Id="rId66" Type="http://schemas.openxmlformats.org/officeDocument/2006/relationships/chart" Target="charts/chart8.xml"/><Relationship Id="rId65" Type="http://schemas.openxmlformats.org/officeDocument/2006/relationships/image" Target="media/image53.svg"/><Relationship Id="rId64" Type="http://schemas.openxmlformats.org/officeDocument/2006/relationships/image" Target="media/image52.jpeg"/><Relationship Id="rId63" Type="http://schemas.openxmlformats.org/officeDocument/2006/relationships/chart" Target="charts/chart7.xml"/><Relationship Id="rId62" Type="http://schemas.openxmlformats.org/officeDocument/2006/relationships/chart" Target="charts/chart6.xml"/><Relationship Id="rId61" Type="http://schemas.openxmlformats.org/officeDocument/2006/relationships/chart" Target="charts/chart5.xml"/><Relationship Id="rId60" Type="http://schemas.openxmlformats.org/officeDocument/2006/relationships/image" Target="media/image51.svg"/><Relationship Id="rId6" Type="http://schemas.openxmlformats.org/officeDocument/2006/relationships/theme" Target="theme/theme1.xml"/><Relationship Id="rId59" Type="http://schemas.openxmlformats.org/officeDocument/2006/relationships/image" Target="media/image50.jpeg"/><Relationship Id="rId58" Type="http://schemas.openxmlformats.org/officeDocument/2006/relationships/image" Target="media/image49.jpeg"/><Relationship Id="rId57" Type="http://schemas.openxmlformats.org/officeDocument/2006/relationships/image" Target="media/image48.jpeg"/><Relationship Id="rId56" Type="http://schemas.openxmlformats.org/officeDocument/2006/relationships/image" Target="media/image47.jpeg"/><Relationship Id="rId55" Type="http://schemas.openxmlformats.org/officeDocument/2006/relationships/image" Target="media/image46.jpeg"/><Relationship Id="rId54" Type="http://schemas.openxmlformats.org/officeDocument/2006/relationships/image" Target="media/image45.jpeg"/><Relationship Id="rId53" Type="http://schemas.openxmlformats.org/officeDocument/2006/relationships/image" Target="media/image44.jpeg"/><Relationship Id="rId52" Type="http://schemas.openxmlformats.org/officeDocument/2006/relationships/image" Target="media/image43.jpeg"/><Relationship Id="rId51" Type="http://schemas.openxmlformats.org/officeDocument/2006/relationships/image" Target="media/image42.jpeg"/><Relationship Id="rId50" Type="http://schemas.openxmlformats.org/officeDocument/2006/relationships/image" Target="media/image41.jpeg"/><Relationship Id="rId5" Type="http://schemas.openxmlformats.org/officeDocument/2006/relationships/footer" Target="footer2.xml"/><Relationship Id="rId49" Type="http://schemas.openxmlformats.org/officeDocument/2006/relationships/image" Target="media/image40.jpeg"/><Relationship Id="rId48" Type="http://schemas.openxmlformats.org/officeDocument/2006/relationships/image" Target="media/image39.jpeg"/><Relationship Id="rId47" Type="http://schemas.openxmlformats.org/officeDocument/2006/relationships/image" Target="media/image38.jpeg"/><Relationship Id="rId46" Type="http://schemas.openxmlformats.org/officeDocument/2006/relationships/image" Target="media/image37.jpeg"/><Relationship Id="rId45" Type="http://schemas.openxmlformats.org/officeDocument/2006/relationships/image" Target="media/image36.jpeg"/><Relationship Id="rId44" Type="http://schemas.openxmlformats.org/officeDocument/2006/relationships/image" Target="media/image35.jpeg"/><Relationship Id="rId43" Type="http://schemas.openxmlformats.org/officeDocument/2006/relationships/image" Target="media/image34.jpeg"/><Relationship Id="rId42" Type="http://schemas.openxmlformats.org/officeDocument/2006/relationships/image" Target="media/image33.jpeg"/><Relationship Id="rId41" Type="http://schemas.openxmlformats.org/officeDocument/2006/relationships/image" Target="media/image32.jpeg"/><Relationship Id="rId40" Type="http://schemas.openxmlformats.org/officeDocument/2006/relationships/image" Target="media/image31.jpeg"/><Relationship Id="rId4" Type="http://schemas.openxmlformats.org/officeDocument/2006/relationships/footer" Target="footer1.xml"/><Relationship Id="rId39" Type="http://schemas.openxmlformats.org/officeDocument/2006/relationships/image" Target="media/image30.jpeg"/><Relationship Id="rId38" Type="http://schemas.openxmlformats.org/officeDocument/2006/relationships/image" Target="media/image29.jpeg"/><Relationship Id="rId37" Type="http://schemas.openxmlformats.org/officeDocument/2006/relationships/image" Target="media/image28.jpeg"/><Relationship Id="rId36" Type="http://schemas.openxmlformats.org/officeDocument/2006/relationships/image" Target="media/image27.jpeg"/><Relationship Id="rId35" Type="http://schemas.openxmlformats.org/officeDocument/2006/relationships/image" Target="media/image26.png"/><Relationship Id="rId34" Type="http://schemas.openxmlformats.org/officeDocument/2006/relationships/image" Target="media/image25.jpeg"/><Relationship Id="rId33" Type="http://schemas.openxmlformats.org/officeDocument/2006/relationships/image" Target="media/image24.jpeg"/><Relationship Id="rId32" Type="http://schemas.openxmlformats.org/officeDocument/2006/relationships/chart" Target="charts/chart4.xml"/><Relationship Id="rId31" Type="http://schemas.openxmlformats.org/officeDocument/2006/relationships/chart" Target="charts/chart3.xml"/><Relationship Id="rId30" Type="http://schemas.openxmlformats.org/officeDocument/2006/relationships/chart" Target="charts/chart2.xml"/><Relationship Id="rId3" Type="http://schemas.openxmlformats.org/officeDocument/2006/relationships/header" Target="header1.xml"/><Relationship Id="rId29" Type="http://schemas.openxmlformats.org/officeDocument/2006/relationships/chart" Target="charts/chart1.xml"/><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8" Type="http://schemas.openxmlformats.org/officeDocument/2006/relationships/fontTable" Target="fontTable.xml"/><Relationship Id="rId137" Type="http://schemas.openxmlformats.org/officeDocument/2006/relationships/customXml" Target="../customXml/item2.xml"/><Relationship Id="rId136" Type="http://schemas.openxmlformats.org/officeDocument/2006/relationships/numbering" Target="numbering.xml"/><Relationship Id="rId135" Type="http://schemas.openxmlformats.org/officeDocument/2006/relationships/customXml" Target="../customXml/item1.xml"/><Relationship Id="rId134" Type="http://schemas.openxmlformats.org/officeDocument/2006/relationships/image" Target="media/image120.png"/><Relationship Id="rId133" Type="http://schemas.openxmlformats.org/officeDocument/2006/relationships/image" Target="media/image119.jpeg"/><Relationship Id="rId132" Type="http://schemas.openxmlformats.org/officeDocument/2006/relationships/image" Target="media/image118.jpeg"/><Relationship Id="rId131" Type="http://schemas.openxmlformats.org/officeDocument/2006/relationships/image" Target="media/image117.jpeg"/><Relationship Id="rId130" Type="http://schemas.openxmlformats.org/officeDocument/2006/relationships/image" Target="media/image116.jpeg"/><Relationship Id="rId13" Type="http://schemas.openxmlformats.org/officeDocument/2006/relationships/image" Target="media/image8.jpeg"/><Relationship Id="rId129" Type="http://schemas.openxmlformats.org/officeDocument/2006/relationships/image" Target="media/image115.jpeg"/><Relationship Id="rId128" Type="http://schemas.openxmlformats.org/officeDocument/2006/relationships/image" Target="media/image114.jpeg"/><Relationship Id="rId127" Type="http://schemas.openxmlformats.org/officeDocument/2006/relationships/image" Target="media/image113.jpeg"/><Relationship Id="rId126" Type="http://schemas.openxmlformats.org/officeDocument/2006/relationships/image" Target="media/image112.jpeg"/><Relationship Id="rId125" Type="http://schemas.openxmlformats.org/officeDocument/2006/relationships/image" Target="media/image111.jpeg"/><Relationship Id="rId124" Type="http://schemas.openxmlformats.org/officeDocument/2006/relationships/image" Target="media/image110.jpeg"/><Relationship Id="rId123" Type="http://schemas.openxmlformats.org/officeDocument/2006/relationships/image" Target="media/image109.jpeg"/><Relationship Id="rId122" Type="http://schemas.openxmlformats.org/officeDocument/2006/relationships/image" Target="media/image108.jpeg"/><Relationship Id="rId121" Type="http://schemas.openxmlformats.org/officeDocument/2006/relationships/image" Target="media/image107.jpeg"/><Relationship Id="rId120" Type="http://schemas.openxmlformats.org/officeDocument/2006/relationships/image" Target="media/image106.jpeg"/><Relationship Id="rId12" Type="http://schemas.openxmlformats.org/officeDocument/2006/relationships/image" Target="media/image7.jpeg"/><Relationship Id="rId119" Type="http://schemas.openxmlformats.org/officeDocument/2006/relationships/image" Target="media/image105.jpeg"/><Relationship Id="rId118" Type="http://schemas.openxmlformats.org/officeDocument/2006/relationships/image" Target="media/image104.jpeg"/><Relationship Id="rId117" Type="http://schemas.openxmlformats.org/officeDocument/2006/relationships/image" Target="media/image103.jpeg"/><Relationship Id="rId116" Type="http://schemas.openxmlformats.org/officeDocument/2006/relationships/image" Target="media/image102.jpeg"/><Relationship Id="rId115" Type="http://schemas.openxmlformats.org/officeDocument/2006/relationships/image" Target="media/image101.jpeg"/><Relationship Id="rId114" Type="http://schemas.openxmlformats.org/officeDocument/2006/relationships/image" Target="media/image100.jpeg"/><Relationship Id="rId113" Type="http://schemas.openxmlformats.org/officeDocument/2006/relationships/image" Target="media/image99.jpeg"/><Relationship Id="rId112" Type="http://schemas.openxmlformats.org/officeDocument/2006/relationships/image" Target="media/image98.jpeg"/><Relationship Id="rId111" Type="http://schemas.openxmlformats.org/officeDocument/2006/relationships/image" Target="media/image97.jpeg"/><Relationship Id="rId110" Type="http://schemas.openxmlformats.org/officeDocument/2006/relationships/image" Target="media/image96.jpeg"/><Relationship Id="rId11" Type="http://schemas.openxmlformats.org/officeDocument/2006/relationships/image" Target="media/image6.jpeg"/><Relationship Id="rId109" Type="http://schemas.openxmlformats.org/officeDocument/2006/relationships/image" Target="media/image95.jpeg"/><Relationship Id="rId108" Type="http://schemas.openxmlformats.org/officeDocument/2006/relationships/image" Target="media/image94.jpeg"/><Relationship Id="rId107" Type="http://schemas.openxmlformats.org/officeDocument/2006/relationships/image" Target="media/image93.jpeg"/><Relationship Id="rId106" Type="http://schemas.openxmlformats.org/officeDocument/2006/relationships/image" Target="media/image92.jpeg"/><Relationship Id="rId105" Type="http://schemas.openxmlformats.org/officeDocument/2006/relationships/image" Target="media/image91.jpeg"/><Relationship Id="rId104" Type="http://schemas.openxmlformats.org/officeDocument/2006/relationships/image" Target="media/image90.jpeg"/><Relationship Id="rId103" Type="http://schemas.openxmlformats.org/officeDocument/2006/relationships/image" Target="media/image89.jpeg"/><Relationship Id="rId102" Type="http://schemas.openxmlformats.org/officeDocument/2006/relationships/image" Target="media/image88.jpeg"/><Relationship Id="rId101" Type="http://schemas.openxmlformats.org/officeDocument/2006/relationships/image" Target="media/image87.jpeg"/><Relationship Id="rId100" Type="http://schemas.openxmlformats.org/officeDocument/2006/relationships/image" Target="media/image86.jpeg"/><Relationship Id="rId10" Type="http://schemas.openxmlformats.org/officeDocument/2006/relationships/image" Target="media/image5.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33931;&#26216;&#26143;\Documents\WeChat%20Files\wxid_5q2rcd7hmcp22\FileStorage\File\2025-07\&#19977;.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33931;&#26216;&#26143;\Documents\WeChat%20Files\wxid_5q2rcd7hmcp22\FileStorage\File\2025-07\&#19977;.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Users\&#33931;&#26216;&#26143;\Documents\WeChat%20Files\wxid_5q2rcd7hmcp22\FileStorage\File\2025-07\&#19977;.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33931;&#26216;&#26143;\Documents\WeChat%20Files\wxid_5q2rcd7hmcp22\FileStorage\File\2025-07\&#24037;&#20316;&#31807;1.xlsx"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package" Target="../embeddings/Workbook1.xlsx"/></Relationships>
</file>

<file path=word/charts/_rels/chart6.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package" Target="../embeddings/Workbook4.xlsx"/></Relationships>
</file>

<file path=word/charts/_rels/chart7.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package" Target="../embeddings/Workbook3.xlsx"/></Relationships>
</file>

<file path=word/charts/_rels/chart8.xml.rels><?xml version="1.0" encoding="UTF-8" standalone="yes"?>
<Relationships xmlns="http://schemas.openxmlformats.org/package/2006/relationships"><Relationship Id="rId1" Type="http://schemas.openxmlformats.org/officeDocument/2006/relationships/package" Target="../embeddings/Workbook2.xlsx"/></Relationships>
</file>

<file path=word/charts/_rels/chart9.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package" Target="../embeddings/Workbook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[三.xlsx]Sheet1!$B$4</c:f>
              <c:strCache>
                <c:ptCount val="1"/>
                <c:pt idx="0">
                  <c:v>市场规模(亿元)</c:v>
                </c:pt>
              </c:strCache>
            </c:strRef>
          </c:tx>
          <c:spPr>
            <a:solidFill>
              <a:schemeClr val="accent1">
                <a:lumMod val="75000"/>
              </a:schemeClr>
            </a:solidFill>
            <a:ln>
              <a:noFill/>
            </a:ln>
            <a:effectLst/>
          </c:spPr>
          <c:invertIfNegative val="0"/>
          <c:dLbls>
            <c:delete val="1"/>
          </c:dLbls>
          <c:cat>
            <c:strRef>
              <c:f>[三.xlsx]Sheet1!$A$5:$A$10</c:f>
              <c:strCache>
                <c:ptCount val="6"/>
                <c:pt idx="0">
                  <c:v>2021年</c:v>
                </c:pt>
                <c:pt idx="1">
                  <c:v>2022年</c:v>
                </c:pt>
                <c:pt idx="2">
                  <c:v>2023年</c:v>
                </c:pt>
                <c:pt idx="3">
                  <c:v>2024年</c:v>
                </c:pt>
                <c:pt idx="4">
                  <c:v>2025年</c:v>
                </c:pt>
                <c:pt idx="5">
                  <c:v>2026年</c:v>
                </c:pt>
              </c:strCache>
            </c:strRef>
          </c:cat>
          <c:val>
            <c:numRef>
              <c:f>[三.xlsx]Sheet1!$B$5:$B$10</c:f>
              <c:numCache>
                <c:formatCode>General</c:formatCode>
                <c:ptCount val="6"/>
                <c:pt idx="0">
                  <c:v>19</c:v>
                </c:pt>
                <c:pt idx="1">
                  <c:v>38</c:v>
                </c:pt>
                <c:pt idx="2">
                  <c:v>60</c:v>
                </c:pt>
                <c:pt idx="3">
                  <c:v>88</c:v>
                </c:pt>
                <c:pt idx="4">
                  <c:v>115</c:v>
                </c:pt>
                <c:pt idx="5">
                  <c:v>150</c:v>
                </c:pt>
              </c:numCache>
            </c:numRef>
          </c:val>
        </c:ser>
        <c:dLbls>
          <c:showLegendKey val="0"/>
          <c:showVal val="0"/>
          <c:showCatName val="0"/>
          <c:showSerName val="0"/>
          <c:showPercent val="0"/>
          <c:showBubbleSize val="0"/>
        </c:dLbls>
        <c:gapWidth val="219"/>
        <c:overlap val="-27"/>
        <c:axId val="100861746"/>
        <c:axId val="657950702"/>
      </c:barChart>
      <c:lineChart>
        <c:grouping val="standard"/>
        <c:varyColors val="0"/>
        <c:ser>
          <c:idx val="1"/>
          <c:order val="1"/>
          <c:tx>
            <c:strRef>
              <c:f>[三.xlsx]Sheet1!$C$4</c:f>
              <c:strCache>
                <c:ptCount val="1"/>
                <c:pt idx="0">
                  <c:v>增速(%)</c:v>
                </c:pt>
              </c:strCache>
            </c:strRef>
          </c:tx>
          <c:spPr>
            <a:ln w="28575" cap="rnd">
              <a:solidFill>
                <a:schemeClr val="bg2">
                  <a:lumMod val="75000"/>
                </a:schemeClr>
              </a:solidFill>
              <a:round/>
            </a:ln>
            <a:effectLst/>
          </c:spPr>
          <c:marker>
            <c:symbol val="none"/>
          </c:marker>
          <c:dLbls>
            <c:delete val="1"/>
          </c:dLbls>
          <c:cat>
            <c:strRef>
              <c:f>[三.xlsx]Sheet1!$A$5:$A$10</c:f>
              <c:strCache>
                <c:ptCount val="6"/>
                <c:pt idx="0">
                  <c:v>2021年</c:v>
                </c:pt>
                <c:pt idx="1">
                  <c:v>2022年</c:v>
                </c:pt>
                <c:pt idx="2">
                  <c:v>2023年</c:v>
                </c:pt>
                <c:pt idx="3">
                  <c:v>2024年</c:v>
                </c:pt>
                <c:pt idx="4">
                  <c:v>2025年</c:v>
                </c:pt>
                <c:pt idx="5">
                  <c:v>2026年</c:v>
                </c:pt>
              </c:strCache>
            </c:strRef>
          </c:cat>
          <c:val>
            <c:numRef>
              <c:f>[三.xlsx]Sheet1!$C$5:$C$10</c:f>
              <c:numCache>
                <c:formatCode>General</c:formatCode>
                <c:ptCount val="6"/>
                <c:pt idx="1" c:formatCode="0%">
                  <c:v>1.38</c:v>
                </c:pt>
                <c:pt idx="2" c:formatCode="0%">
                  <c:v>0.6</c:v>
                </c:pt>
                <c:pt idx="3" c:formatCode="0%">
                  <c:v>0.4</c:v>
                </c:pt>
                <c:pt idx="4" c:formatCode="0%">
                  <c:v>0.3</c:v>
                </c:pt>
                <c:pt idx="5" c:formatCode="0%">
                  <c:v>0.35</c:v>
                </c:pt>
              </c:numCache>
            </c:numRef>
          </c:val>
          <c:smooth val="0"/>
        </c:ser>
        <c:dLbls>
          <c:showLegendKey val="0"/>
          <c:showVal val="0"/>
          <c:showCatName val="0"/>
          <c:showSerName val="0"/>
          <c:showPercent val="0"/>
          <c:showBubbleSize val="0"/>
        </c:dLbls>
        <c:marker val="0"/>
        <c:smooth val="0"/>
        <c:axId val="997134007"/>
        <c:axId val="228051270"/>
      </c:lineChart>
      <c:catAx>
        <c:axId val="997134007"/>
        <c:scaling>
          <c:orientation val="minMax"/>
        </c:scaling>
        <c:delete val="0"/>
        <c:axPos val="b"/>
        <c:majorTickMark val="none"/>
        <c:minorTickMark val="none"/>
        <c:tickLblPos val="nextTo"/>
        <c:spPr>
          <a:noFill/>
          <a:ln w="9525">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28051270"/>
        <c:crosses val="autoZero"/>
        <c:auto val="1"/>
        <c:lblAlgn val="ctr"/>
        <c:lblOffset val="100"/>
        <c:noMultiLvlLbl val="0"/>
      </c:catAx>
      <c:valAx>
        <c:axId val="228051270"/>
        <c:scaling>
          <c:orientation val="minMax"/>
        </c:scaling>
        <c:delete val="0"/>
        <c:axPos val="l"/>
        <c:majorGridlines>
          <c:spPr>
            <a:ln w="9525">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97134007"/>
        <c:crosses val="autoZero"/>
        <c:crossBetween val="between"/>
      </c:valAx>
      <c:catAx>
        <c:axId val="100861746"/>
        <c:scaling>
          <c:orientation val="minMax"/>
        </c:scaling>
        <c:delete val="1"/>
        <c:axPos val="b"/>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57950702"/>
        <c:crosses val="autoZero"/>
        <c:auto val="1"/>
        <c:lblAlgn val="ctr"/>
        <c:lblOffset val="100"/>
        <c:noMultiLvlLbl val="0"/>
      </c:catAx>
      <c:valAx>
        <c:axId val="657950702"/>
        <c:scaling>
          <c:orientation val="minMax"/>
        </c:scaling>
        <c:delete val="0"/>
        <c:axPos val="r"/>
        <c:numFmt formatCode="General" sourceLinked="1"/>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00861746"/>
        <c:crosses val="max"/>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088a6516-5179-4e23-ba37-921df1bce463}"/>
      </c:ext>
    </c:extLst>
  </c:chart>
  <c:spPr>
    <a:noFill/>
    <a:ln w="9525">
      <a:no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[三.xlsx]Sheet1!$B$12</c:f>
              <c:strCache>
                <c:ptCount val="1"/>
                <c:pt idx="0">
                  <c:v>产量(万套)</c:v>
                </c:pt>
              </c:strCache>
            </c:strRef>
          </c:tx>
          <c:spPr>
            <a:solidFill>
              <a:schemeClr val="accent1"/>
            </a:solidFill>
            <a:ln>
              <a:noFill/>
            </a:ln>
            <a:effectLst/>
          </c:spPr>
          <c:invertIfNegative val="0"/>
          <c:dLbls>
            <c:delete val="1"/>
          </c:dLbls>
          <c:cat>
            <c:numRef>
              <c:f>[三.xlsx]Sheet1!$A$13:$A$18</c:f>
              <c:numCache>
                <c:formatCode>General</c:formatCode>
                <c:ptCount val="6"/>
                <c:pt idx="0">
                  <c:v>2017</c:v>
                </c:pt>
                <c:pt idx="1">
                  <c:v>2018</c:v>
                </c:pt>
                <c:pt idx="2">
                  <c:v>2019</c:v>
                </c:pt>
                <c:pt idx="3">
                  <c:v>2020</c:v>
                </c:pt>
                <c:pt idx="4">
                  <c:v>2021</c:v>
                </c:pt>
                <c:pt idx="5">
                  <c:v>2022</c:v>
                </c:pt>
              </c:numCache>
            </c:numRef>
          </c:cat>
          <c:val>
            <c:numRef>
              <c:f>[三.xlsx]Sheet1!$B$13:$B$18</c:f>
              <c:numCache>
                <c:formatCode>General</c:formatCode>
                <c:ptCount val="6"/>
                <c:pt idx="0">
                  <c:v>11.21</c:v>
                </c:pt>
                <c:pt idx="1">
                  <c:v>13.62</c:v>
                </c:pt>
                <c:pt idx="2">
                  <c:v>11.87</c:v>
                </c:pt>
                <c:pt idx="3">
                  <c:v>15</c:v>
                </c:pt>
                <c:pt idx="4">
                  <c:v>19.16</c:v>
                </c:pt>
                <c:pt idx="5">
                  <c:v>23.16</c:v>
                </c:pt>
              </c:numCache>
            </c:numRef>
          </c:val>
        </c:ser>
        <c:ser>
          <c:idx val="1"/>
          <c:order val="1"/>
          <c:tx>
            <c:strRef>
              <c:f>[三.xlsx]Sheet1!$C$12</c:f>
              <c:strCache>
                <c:ptCount val="1"/>
                <c:pt idx="0">
                  <c:v>销量(万套)</c:v>
                </c:pt>
              </c:strCache>
            </c:strRef>
          </c:tx>
          <c:spPr>
            <a:solidFill>
              <a:schemeClr val="accent5">
                <a:lumMod val="75000"/>
              </a:schemeClr>
            </a:solidFill>
            <a:ln>
              <a:noFill/>
            </a:ln>
            <a:effectLst/>
          </c:spPr>
          <c:invertIfNegative val="0"/>
          <c:dLbls>
            <c:delete val="1"/>
          </c:dLbls>
          <c:cat>
            <c:numRef>
              <c:f>[三.xlsx]Sheet1!$A$13:$A$18</c:f>
              <c:numCache>
                <c:formatCode>General</c:formatCode>
                <c:ptCount val="6"/>
                <c:pt idx="0">
                  <c:v>2017</c:v>
                </c:pt>
                <c:pt idx="1">
                  <c:v>2018</c:v>
                </c:pt>
                <c:pt idx="2">
                  <c:v>2019</c:v>
                </c:pt>
                <c:pt idx="3">
                  <c:v>2020</c:v>
                </c:pt>
                <c:pt idx="4">
                  <c:v>2021</c:v>
                </c:pt>
                <c:pt idx="5">
                  <c:v>2022</c:v>
                </c:pt>
              </c:numCache>
            </c:numRef>
          </c:cat>
          <c:val>
            <c:numRef>
              <c:f>[三.xlsx]Sheet1!$C$13:$C$18</c:f>
              <c:numCache>
                <c:formatCode>General</c:formatCode>
                <c:ptCount val="6"/>
                <c:pt idx="0">
                  <c:v>8.87</c:v>
                </c:pt>
                <c:pt idx="1">
                  <c:v>12.51</c:v>
                </c:pt>
                <c:pt idx="2">
                  <c:v>10.83</c:v>
                </c:pt>
                <c:pt idx="3">
                  <c:v>13.96</c:v>
                </c:pt>
                <c:pt idx="4">
                  <c:v>17.97</c:v>
                </c:pt>
                <c:pt idx="5">
                  <c:v>22.46</c:v>
                </c:pt>
              </c:numCache>
            </c:numRef>
          </c:val>
        </c:ser>
        <c:dLbls>
          <c:showLegendKey val="0"/>
          <c:showVal val="0"/>
          <c:showCatName val="0"/>
          <c:showSerName val="0"/>
          <c:showPercent val="0"/>
          <c:showBubbleSize val="0"/>
        </c:dLbls>
        <c:gapWidth val="219"/>
        <c:overlap val="-27"/>
        <c:axId val="600412656"/>
        <c:axId val="582395258"/>
      </c:barChart>
      <c:catAx>
        <c:axId val="600412656"/>
        <c:scaling>
          <c:orientation val="minMax"/>
        </c:scaling>
        <c:delete val="0"/>
        <c:axPos val="b"/>
        <c:majorTickMark val="none"/>
        <c:minorTickMark val="none"/>
        <c:tickLblPos val="nextTo"/>
        <c:spPr>
          <a:noFill/>
          <a:ln w="9525">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82395258"/>
        <c:crosses val="autoZero"/>
        <c:auto val="1"/>
        <c:lblAlgn val="ctr"/>
        <c:lblOffset val="100"/>
        <c:noMultiLvlLbl val="0"/>
      </c:catAx>
      <c:valAx>
        <c:axId val="582395258"/>
        <c:scaling>
          <c:orientation val="minMax"/>
        </c:scaling>
        <c:delete val="0"/>
        <c:axPos val="l"/>
        <c:majorGridlines>
          <c:spPr>
            <a:ln w="9525">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00412656"/>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16868e7c-e411-47d2-b9c4-213d39afc936}"/>
      </c:ext>
    </c:extLst>
  </c:chart>
  <c:spPr>
    <a:noFill/>
    <a:ln w="9525">
      <a:no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080" b="1" i="0" u="none" strike="noStrike" kern="1200" spc="0" baseline="0">
                <a:solidFill>
                  <a:schemeClr val="tx1">
                    <a:lumMod val="65000"/>
                    <a:lumOff val="35000"/>
                  </a:schemeClr>
                </a:solidFill>
                <a:latin typeface="+mn-lt"/>
                <a:ea typeface="+mn-ea"/>
                <a:cs typeface="+mn-cs"/>
              </a:defRPr>
            </a:pPr>
            <a:r>
              <a:t>中国减隔震产业下游市场需求分布情况（单位：</a:t>
            </a:r>
            <a:r>
              <a:rPr lang="en-US" altLang="zh-CN"/>
              <a:t>%</a:t>
            </a:r>
            <a:r>
              <a:t>）</a:t>
            </a:r>
            <a:endParaRPr lang="en-US" altLang="zh-CN"/>
          </a:p>
        </c:rich>
      </c:tx>
      <c:layout/>
      <c:overlay val="0"/>
      <c:spPr>
        <a:noFill/>
        <a:ln>
          <a:noFill/>
        </a:ln>
        <a:effectLst/>
      </c:spPr>
    </c:title>
    <c:autoTitleDeleted val="0"/>
    <c:view3D>
      <c:rotX val="30"/>
      <c:rotY val="0"/>
      <c:depthPercent val="100"/>
      <c:rAngAx val="0"/>
    </c:view3D>
    <c:floor>
      <c:thickness val="0"/>
      <c:spPr>
        <a:noFill/>
        <a:effectLst/>
      </c:spPr>
    </c:floor>
    <c:sideWall>
      <c:thickness val="0"/>
      <c:spPr>
        <a:noFill/>
        <a:effectLst/>
      </c:spPr>
    </c:sideWall>
    <c:backWall>
      <c:thickness val="0"/>
      <c:spPr>
        <a:noFill/>
        <a:effectLst/>
      </c:spPr>
    </c:backWall>
    <c:plotArea>
      <c:layout>
        <c:manualLayout>
          <c:layoutTarget val="inner"/>
          <c:xMode val="edge"/>
          <c:yMode val="edge"/>
          <c:x val="0.0355555555555556"/>
          <c:y val="0.243518518518519"/>
          <c:w val="0.938888888888889"/>
          <c:h val="0.636805555555556"/>
        </c:manualLayout>
      </c:layout>
      <c:pie3DChart>
        <c:varyColors val="1"/>
        <c:ser>
          <c:idx val="0"/>
          <c:order val="0"/>
          <c:spPr/>
          <c:explosion val="0"/>
          <c:dPt>
            <c:idx val="0"/>
            <c:bubble3D val="0"/>
            <c:spPr>
              <a:solidFill>
                <a:schemeClr val="accent1">
                  <a:lumMod val="60000"/>
                  <a:lumOff val="40000"/>
                </a:schemeClr>
              </a:solidFill>
              <a:ln w="25400">
                <a:solidFill>
                  <a:schemeClr val="lt1"/>
                </a:solidFill>
              </a:ln>
              <a:effectLst/>
              <a:scene3d>
                <a:camera prst="orthographicFront"/>
                <a:lightRig rig="threePt" dir="t"/>
              </a:scene3d>
              <a:sp3d contourW="25400"/>
            </c:spPr>
          </c:dPt>
          <c:dPt>
            <c:idx val="1"/>
            <c:bubble3D val="0"/>
            <c:spPr>
              <a:solidFill>
                <a:schemeClr val="accent1"/>
              </a:solidFill>
              <a:ln w="25400">
                <a:solidFill>
                  <a:schemeClr val="lt1"/>
                </a:solidFill>
              </a:ln>
              <a:effectLst/>
              <a:scene3d>
                <a:camera prst="orthographicFront"/>
                <a:lightRig rig="threePt" dir="t"/>
              </a:scene3d>
              <a:sp3d contourW="25400"/>
            </c:spPr>
          </c:dPt>
          <c:dPt>
            <c:idx val="2"/>
            <c:bubble3D val="0"/>
            <c:spPr>
              <a:solidFill>
                <a:schemeClr val="accent1">
                  <a:lumMod val="75000"/>
                </a:schemeClr>
              </a:solidFill>
              <a:ln w="25400">
                <a:solidFill>
                  <a:schemeClr val="lt1"/>
                </a:solidFill>
              </a:ln>
              <a:effectLst/>
              <a:scene3d>
                <a:camera prst="orthographicFront"/>
                <a:lightRig rig="threePt" dir="t"/>
              </a:scene3d>
              <a:sp3d contourW="25400"/>
            </c:spPr>
          </c:dPt>
          <c:dLbls>
            <c:dLbl>
              <c:idx val="1"/>
              <c:layout>
                <c:manualLayout>
                  <c:x val="-0.0310396775368028"/>
                  <c:y val="-0.0398007816054175"/>
                </c:manualLayout>
              </c:layout>
              <c:dLblPos val="bestFit"/>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506345376958595"/>
                  <c:y val="-0.186665604425683"/>
                </c:manualLayout>
              </c:layout>
              <c:dLblPos val="bestFit"/>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1" i="0" u="none" strike="noStrike" kern="1200" baseline="0">
                    <a:solidFill>
                      <a:schemeClr val="tx1">
                        <a:lumMod val="75000"/>
                        <a:lumOff val="25000"/>
                      </a:schemeClr>
                    </a:solidFill>
                    <a:latin typeface="+mn-lt"/>
                    <a:ea typeface="+mn-ea"/>
                    <a:cs typeface="+mn-cs"/>
                  </a:defRPr>
                </a:pPr>
              </a:p>
            </c:txPr>
            <c:dLblPos val="bestFit"/>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a:solidFill>
                        <a:schemeClr val="tx1">
                          <a:lumMod val="35000"/>
                          <a:lumOff val="65000"/>
                        </a:schemeClr>
                      </a:solidFill>
                      <a:round/>
                    </a:ln>
                    <a:effectLst/>
                  </c:spPr>
                </c15:leaderLines>
              </c:ext>
            </c:extLst>
          </c:dLbls>
          <c:cat>
            <c:strRef>
              <c:f>[三.xlsx]Sheet1!$D$20:$F$20</c:f>
              <c:strCache>
                <c:ptCount val="3"/>
                <c:pt idx="0">
                  <c:v>商住地产</c:v>
                </c:pt>
                <c:pt idx="1">
                  <c:v>其他建筑</c:v>
                </c:pt>
                <c:pt idx="2">
                  <c:v>学校、医院</c:v>
                </c:pt>
              </c:strCache>
            </c:strRef>
          </c:cat>
          <c:val>
            <c:numRef>
              <c:f>[三.xlsx]Sheet1!$D$21:$F$21</c:f>
              <c:numCache>
                <c:formatCode>0.0%</c:formatCode>
                <c:ptCount val="3"/>
                <c:pt idx="0">
                  <c:v>0.049</c:v>
                </c:pt>
                <c:pt idx="1">
                  <c:v>0.269</c:v>
                </c:pt>
                <c:pt idx="2">
                  <c:v>0.679</c:v>
                </c:pt>
              </c:numCache>
            </c:numRef>
          </c:val>
        </c:ser>
        <c:dLbls>
          <c:showLegendKey val="0"/>
          <c:showVal val="1"/>
          <c:showCatName val="0"/>
          <c:showSerName val="0"/>
          <c:showPercent val="0"/>
          <c:showBubbleSize val="0"/>
        </c:dLbls>
      </c:pie3DChart>
      <c:spPr>
        <a:noFill/>
        <a:ln>
          <a:noFill/>
        </a:ln>
        <a:effectLst/>
      </c:spPr>
    </c:plotArea>
    <c:legend>
      <c:legendPos val="t"/>
      <c:legendEntry>
        <c:idx val="0"/>
        <c:txPr>
          <a:bodyPr rot="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p>
        </c:txPr>
      </c:legendEntry>
      <c:legendEntry>
        <c:idx val="1"/>
        <c:txPr>
          <a:bodyPr rot="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p>
        </c:txPr>
      </c:legendEntry>
      <c:legendEntry>
        <c:idx val="2"/>
        <c:txPr>
          <a:bodyPr rot="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p>
        </c:txPr>
      </c:legendEntry>
      <c:layout/>
      <c:overlay val="0"/>
      <c:spPr>
        <a:noFill/>
        <a:ln>
          <a:noFill/>
        </a:ln>
        <a:effectLst/>
      </c:spPr>
      <c:txPr>
        <a:bodyPr rot="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bef881e5-f335-4f05-a594-415b18dd468b}"/>
      </c:ext>
    </c:extLst>
  </c:chart>
  <c:spPr>
    <a:noFill/>
    <a:ln w="9525">
      <a:noFill/>
      <a:round/>
    </a:ln>
    <a:effectLst/>
  </c:spPr>
  <c:txPr>
    <a:bodyPr/>
    <a:lstStyle/>
    <a:p>
      <a:pPr>
        <a:defRPr lang="zh-CN" sz="900" b="1"/>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spc="0" baseline="0">
                <a:solidFill>
                  <a:schemeClr val="tx1">
                    <a:lumMod val="65000"/>
                    <a:lumOff val="35000"/>
                  </a:schemeClr>
                </a:solidFill>
                <a:latin typeface="+mn-lt"/>
                <a:ea typeface="+mn-ea"/>
                <a:cs typeface="+mn-cs"/>
              </a:defRPr>
            </a:pPr>
            <a:r>
              <a:rPr lang="en-US" altLang="zh-CN" b="1"/>
              <a:t>2017-2021</a:t>
            </a:r>
            <a:r>
              <a:rPr altLang="en-US" b="1"/>
              <a:t>年中国建筑减隔震产销率</a:t>
            </a:r>
            <a:endParaRPr lang="en-US" altLang="en-US" b="1"/>
          </a:p>
        </c:rich>
      </c:tx>
      <c:layout/>
      <c:overlay val="0"/>
      <c:spPr>
        <a:noFill/>
        <a:ln>
          <a:noFill/>
        </a:ln>
        <a:effectLst/>
      </c:spPr>
    </c:title>
    <c:autoTitleDeleted val="0"/>
    <c:plotArea>
      <c:layout/>
      <c:lineChart>
        <c:grouping val="standard"/>
        <c:varyColors val="0"/>
        <c:ser>
          <c:idx val="0"/>
          <c:order val="0"/>
          <c:tx>
            <c:strRef>
              <c:f>[工作簿1.xlsx]Sheet1!$B$24</c:f>
              <c:strCache>
                <c:ptCount val="1"/>
                <c:pt idx="0">
                  <c:v>产销率(%)</c:v>
                </c:pt>
              </c:strCache>
            </c:strRef>
          </c:tx>
          <c:spPr>
            <a:ln w="28575" cap="rnd">
              <a:solidFill>
                <a:schemeClr val="accent5">
                  <a:lumMod val="75000"/>
                </a:schemeClr>
              </a:solidFill>
              <a:round/>
            </a:ln>
            <a:effectLst/>
          </c:spPr>
          <c:marker>
            <c:symbol val="none"/>
          </c:marker>
          <c:dLbls>
            <c:spPr>
              <a:noFill/>
              <a:ln>
                <a:noFill/>
              </a:ln>
              <a:effectLst/>
            </c:spPr>
            <c:txPr>
              <a:bodyPr rot="0" spcFirstLastPara="0" vertOverflow="ellipsis" vert="horz" wrap="square" lIns="38100" tIns="19050" rIns="38100" bIns="19050" anchor="ctr" anchorCtr="1"/>
              <a:lstStyle/>
              <a:p>
                <a:pPr>
                  <a:defRPr lang="zh-CN" sz="900" b="1" i="0" u="none" strike="noStrike" kern="1200" baseline="0">
                    <a:solidFill>
                      <a:schemeClr val="tx1">
                        <a:lumMod val="75000"/>
                        <a:lumOff val="25000"/>
                      </a:schemeClr>
                    </a:solidFill>
                    <a:latin typeface="+mn-lt"/>
                    <a:ea typeface="+mn-ea"/>
                    <a:cs typeface="+mn-cs"/>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tx1">
                          <a:lumMod val="35000"/>
                          <a:lumOff val="65000"/>
                        </a:schemeClr>
                      </a:solidFill>
                      <a:round/>
                    </a:ln>
                    <a:effectLst/>
                  </c:spPr>
                </c15:leaderLines>
              </c:ext>
            </c:extLst>
          </c:dLbls>
          <c:cat>
            <c:numRef>
              <c:f>[工作簿1.xlsx]Sheet1!$A$25:$A$29</c:f>
              <c:numCache>
                <c:formatCode>General</c:formatCode>
                <c:ptCount val="5"/>
                <c:pt idx="0">
                  <c:v>2017</c:v>
                </c:pt>
                <c:pt idx="1">
                  <c:v>2018</c:v>
                </c:pt>
                <c:pt idx="2">
                  <c:v>2019</c:v>
                </c:pt>
                <c:pt idx="3">
                  <c:v>2020</c:v>
                </c:pt>
                <c:pt idx="4">
                  <c:v>2021</c:v>
                </c:pt>
              </c:numCache>
            </c:numRef>
          </c:cat>
          <c:val>
            <c:numRef>
              <c:f>[工作簿1.xlsx]Sheet1!$B$25:$B$29</c:f>
              <c:numCache>
                <c:formatCode>0.0%</c:formatCode>
                <c:ptCount val="5"/>
                <c:pt idx="0">
                  <c:v>0.79</c:v>
                </c:pt>
                <c:pt idx="1">
                  <c:v>0.978</c:v>
                </c:pt>
                <c:pt idx="2">
                  <c:v>0.936</c:v>
                </c:pt>
                <c:pt idx="3">
                  <c:v>0.954</c:v>
                </c:pt>
                <c:pt idx="4">
                  <c:v>0.956</c:v>
                </c:pt>
              </c:numCache>
            </c:numRef>
          </c:val>
          <c:smooth val="0"/>
        </c:ser>
        <c:dLbls>
          <c:showLegendKey val="0"/>
          <c:showVal val="1"/>
          <c:showCatName val="0"/>
          <c:showSerName val="0"/>
          <c:showPercent val="0"/>
          <c:showBubbleSize val="0"/>
        </c:dLbls>
        <c:marker val="0"/>
        <c:smooth val="0"/>
        <c:axId val="147108086"/>
        <c:axId val="104085813"/>
      </c:lineChart>
      <c:catAx>
        <c:axId val="147108086"/>
        <c:scaling>
          <c:orientation val="minMax"/>
        </c:scaling>
        <c:delete val="0"/>
        <c:axPos val="b"/>
        <c:majorTickMark val="out"/>
        <c:minorTickMark val="none"/>
        <c:tickLblPos val="nextTo"/>
        <c:spPr>
          <a:noFill/>
          <a:ln w="9525">
            <a:solidFill>
              <a:schemeClr val="tx1">
                <a:lumMod val="15000"/>
                <a:lumOff val="85000"/>
              </a:schemeClr>
            </a:solidFill>
            <a:round/>
          </a:ln>
          <a:effectLst/>
        </c:spPr>
        <c:txPr>
          <a:bodyPr rot="-6000000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p>
        </c:txPr>
        <c:crossAx val="104085813"/>
        <c:crosses val="autoZero"/>
        <c:auto val="1"/>
        <c:lblAlgn val="ctr"/>
        <c:lblOffset val="100"/>
        <c:noMultiLvlLbl val="0"/>
      </c:catAx>
      <c:valAx>
        <c:axId val="104085813"/>
        <c:scaling>
          <c:orientation val="minMax"/>
        </c:scaling>
        <c:delete val="0"/>
        <c:axPos val="l"/>
        <c:majorGridlines>
          <c:spPr>
            <a:ln w="9525">
              <a:solidFill>
                <a:schemeClr val="tx1">
                  <a:lumMod val="15000"/>
                  <a:lumOff val="85000"/>
                </a:schemeClr>
              </a:solidFill>
              <a:round/>
            </a:ln>
            <a:effectLst/>
          </c:spPr>
        </c:majorGridlines>
        <c:numFmt formatCode="0.0%" sourceLinked="1"/>
        <c:majorTickMark val="out"/>
        <c:minorTickMark val="none"/>
        <c:tickLblPos val="nextTo"/>
        <c:spPr>
          <a:noFill/>
          <a:ln>
            <a:noFill/>
          </a:ln>
          <a:effectLst/>
        </c:spPr>
        <c:txPr>
          <a:bodyPr rot="-6000000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p>
        </c:txPr>
        <c:crossAx val="147108086"/>
        <c:crosses val="autoZero"/>
        <c:crossBetween val="between"/>
      </c:valAx>
      <c:spPr>
        <a:noFill/>
        <a:ln>
          <a:noFill/>
        </a:ln>
        <a:effectLst/>
      </c:spPr>
    </c:plotArea>
    <c:legend>
      <c:legendPos val="t"/>
      <c:legendEntry>
        <c:idx val="0"/>
        <c:txPr>
          <a:bodyPr rot="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p>
        </c:txPr>
      </c:legendEntry>
      <c:layout/>
      <c:overlay val="0"/>
      <c:spPr>
        <a:noFill/>
        <a:ln>
          <a:noFill/>
        </a:ln>
        <a:effectLst/>
      </c:spPr>
      <c:txPr>
        <a:bodyPr rot="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96a33c14-6746-42c6-8651-8875be589137}"/>
      </c:ext>
    </c:extLst>
  </c:chart>
  <c:spPr>
    <a:noFill/>
    <a:ln w="9525">
      <a:noFill/>
      <a:round/>
    </a:ln>
    <a:effectLst/>
  </c:spPr>
  <c:txPr>
    <a:bodyPr/>
    <a:lstStyle/>
    <a:p>
      <a:pPr>
        <a:defRPr lang="zh-CN" b="1"/>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effectLst/>
      </c:spPr>
    </c:floor>
    <c:sideWall>
      <c:thickness val="0"/>
      <c:spPr>
        <a:noFill/>
        <a:effectLst/>
      </c:spPr>
    </c:sideWall>
    <c:backWall>
      <c:thickness val="0"/>
      <c:spPr>
        <a:noFill/>
        <a:effectLst/>
      </c:spPr>
    </c:backWall>
    <c:plotArea>
      <c:layout>
        <c:manualLayout>
          <c:layoutTarget val="inner"/>
          <c:xMode val="edge"/>
          <c:yMode val="edge"/>
          <c:x val="0.0835025959225022"/>
          <c:y val="0.10197563559322"/>
          <c:w val="0.830968722299607"/>
          <c:h val="0.641122881355932"/>
        </c:manualLayout>
      </c:layout>
      <c:pie3DChart>
        <c:varyColors val="1"/>
        <c:ser>
          <c:idx val="0"/>
          <c:order val="0"/>
          <c:tx>
            <c:strRef>
              <c:f>Sheet1!$B$1</c:f>
              <c:strCache>
                <c:ptCount val="1"/>
                <c:pt idx="0">
                  <c:v>销售额</c:v>
                </c:pt>
              </c:strCache>
            </c:strRef>
          </c:tx>
          <c:spPr/>
          <c:explosion val="0"/>
          <c:dPt>
            <c:idx val="0"/>
            <c:bubble3D val="0"/>
            <c:spPr>
              <a:solidFill>
                <a:schemeClr val="accent1"/>
              </a:solidFill>
              <a:ln>
                <a:noFill/>
              </a:ln>
              <a:effectLst/>
            </c:spPr>
          </c:dPt>
          <c:dPt>
            <c:idx val="1"/>
            <c:bubble3D val="0"/>
            <c:spPr>
              <a:solidFill>
                <a:schemeClr val="accent3"/>
              </a:solidFill>
              <a:ln>
                <a:noFill/>
              </a:ln>
              <a:effectLst/>
            </c:spPr>
          </c:dPt>
          <c:dPt>
            <c:idx val="2"/>
            <c:bubble3D val="0"/>
            <c:spPr>
              <a:solidFill>
                <a:schemeClr val="accent5"/>
              </a:solidFill>
              <a:ln>
                <a:noFill/>
              </a:ln>
              <a:effectLst/>
            </c:spPr>
          </c:dPt>
          <c:dPt>
            <c:idx val="3"/>
            <c:bubble3D val="0"/>
            <c:spPr>
              <a:solidFill>
                <a:schemeClr val="accent1">
                  <a:lumMod val="60000"/>
                </a:schemeClr>
              </a:solidFill>
              <a:ln>
                <a:noFill/>
              </a:ln>
              <a:effectLst/>
            </c:spPr>
          </c:dPt>
          <c:dLbls>
            <c:dLbl>
              <c:idx val="0"/>
              <c:layout>
                <c:manualLayout>
                  <c:x val="-0.0202596142181245"/>
                  <c:y val="-0.0514218009478673"/>
                </c:manualLayout>
              </c:layout>
              <c:tx>
                <c:rich>
                  <a:bodyPr rot="0" spcFirstLastPara="0" vertOverflow="ellipsis" vert="horz" wrap="square" lIns="38100" tIns="19050" rIns="38100" bIns="19050" anchor="ctr" anchorCtr="1"/>
                  <a:lstStyle/>
                  <a:p>
                    <a:pPr defTabSz="914400">
                      <a:defRPr lang="zh-CN" sz="1200" b="1"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200" b="1">
                        <a:solidFill>
                          <a:srgbClr val="588CCB"/>
                        </a:solidFill>
                      </a:rPr>
                      <a:t>银行贷款
3</a:t>
                    </a:r>
                    <a:r>
                      <a:rPr lang="en-US" altLang="zh-CN" sz="1200" b="1">
                        <a:solidFill>
                          <a:srgbClr val="588CCB"/>
                        </a:solidFill>
                      </a:rPr>
                      <a:t>7.73</a:t>
                    </a:r>
                    <a:r>
                      <a:rPr sz="1200" b="1">
                        <a:solidFill>
                          <a:srgbClr val="588CCB"/>
                        </a:solidFill>
                      </a:rPr>
                      <a:t>%</a:t>
                    </a:r>
                    <a:endParaRPr sz="1200" b="1">
                      <a:solidFill>
                        <a:srgbClr val="588CCB"/>
                      </a:solidFill>
                    </a:endParaRPr>
                  </a:p>
                </c:rich>
              </c:tx>
              <c:dLblPos val="bestFit"/>
              <c:showLegendKey val="0"/>
              <c:showVal val="1"/>
              <c:showCatName val="1"/>
              <c:showSerName val="0"/>
              <c:showPercent val="0"/>
              <c:showBubbleSize val="0"/>
              <c:separator>
</c:separator>
              <c:extLst>
                <c:ext xmlns:c15="http://schemas.microsoft.com/office/drawing/2012/chart" uri="{CE6537A1-D6FC-4f65-9D91-7224C49458BB}">
                  <c15:layout/>
                </c:ext>
              </c:extLst>
            </c:dLbl>
            <c:dLbl>
              <c:idx val="1"/>
              <c:layout>
                <c:manualLayout>
                  <c:x val="0.074851389057382"/>
                  <c:y val="-0.0315165876777251"/>
                </c:manualLayout>
              </c:layout>
              <c:tx>
                <c:rich>
                  <a:bodyPr rot="0" spcFirstLastPara="0" vertOverflow="ellipsis" vert="horz" wrap="square" lIns="38100" tIns="19050" rIns="38100" bIns="19050" anchor="ctr" anchorCtr="1"/>
                  <a:lstStyle/>
                  <a:p>
                    <a:pPr defTabSz="914400">
                      <a:defRPr lang="zh-CN" sz="1200" b="1"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200" b="1">
                        <a:solidFill>
                          <a:srgbClr val="A7C963"/>
                        </a:solidFill>
                      </a:rPr>
                      <a:t>政府补贴</a:t>
                    </a:r>
                    <a:endParaRPr sz="1200" b="1">
                      <a:solidFill>
                        <a:srgbClr val="A7C963"/>
                      </a:solidFill>
                    </a:endParaRPr>
                  </a:p>
                  <a:p>
                    <a:pPr defTabSz="914400">
                      <a:defRPr lang="zh-CN" sz="1200" b="1"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sz="1200" b="1">
                        <a:solidFill>
                          <a:srgbClr val="A7C963"/>
                        </a:solidFill>
                      </a:rPr>
                      <a:t>11.79</a:t>
                    </a:r>
                    <a:r>
                      <a:rPr sz="1200" b="1">
                        <a:solidFill>
                          <a:srgbClr val="A7C963"/>
                        </a:solidFill>
                      </a:rPr>
                      <a:t>%</a:t>
                    </a:r>
                    <a:endParaRPr sz="1200" b="1">
                      <a:solidFill>
                        <a:srgbClr val="A7C963"/>
                      </a:solidFill>
                    </a:endParaRPr>
                  </a:p>
                </c:rich>
              </c:tx>
              <c:dLblPos val="bestFit"/>
              <c:showLegendKey val="0"/>
              <c:showVal val="1"/>
              <c:showCatName val="1"/>
              <c:showSerName val="0"/>
              <c:showPercent val="0"/>
              <c:showBubbleSize val="0"/>
              <c:separator>
</c:separator>
              <c:extLst>
                <c:ext xmlns:c15="http://schemas.microsoft.com/office/drawing/2012/chart" uri="{CE6537A1-D6FC-4f65-9D91-7224C49458BB}">
                  <c15:layout/>
                </c:ext>
              </c:extLst>
            </c:dLbl>
            <c:dLbl>
              <c:idx val="2"/>
              <c:layout>
                <c:manualLayout>
                  <c:x val="-0.0292369283028024"/>
                  <c:y val="-0.0651658767772512"/>
                </c:manualLayout>
              </c:layout>
              <c:tx>
                <c:rich>
                  <a:bodyPr rot="0" spcFirstLastPara="0" vertOverflow="ellipsis" vert="horz" wrap="square" lIns="38100" tIns="19050" rIns="38100" bIns="19050" anchor="ctr" anchorCtr="1"/>
                  <a:lstStyle/>
                  <a:p>
                    <a:pPr defTabSz="914400">
                      <a:defRPr lang="zh-CN" sz="1200" b="1"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200" b="1">
                        <a:solidFill>
                          <a:srgbClr val="54B9D4"/>
                        </a:solidFill>
                      </a:rPr>
                      <a:t>天使投资</a:t>
                    </a:r>
                    <a:endParaRPr sz="1200" b="1">
                      <a:solidFill>
                        <a:srgbClr val="54B9D4"/>
                      </a:solidFill>
                    </a:endParaRPr>
                  </a:p>
                  <a:p>
                    <a:pPr defTabSz="914400">
                      <a:defRPr lang="zh-CN" sz="1200" b="1"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sz="1200" b="1">
                        <a:solidFill>
                          <a:srgbClr val="54B9D4"/>
                        </a:solidFill>
                      </a:rPr>
                      <a:t>21.23</a:t>
                    </a:r>
                    <a:r>
                      <a:rPr sz="1200" b="1">
                        <a:solidFill>
                          <a:srgbClr val="54B9D4"/>
                        </a:solidFill>
                      </a:rPr>
                      <a:t>%</a:t>
                    </a:r>
                    <a:endParaRPr sz="1200" b="1">
                      <a:solidFill>
                        <a:srgbClr val="54B9D4"/>
                      </a:solidFill>
                    </a:endParaRPr>
                  </a:p>
                </c:rich>
              </c:tx>
              <c:dLblPos val="bestFit"/>
              <c:showLegendKey val="0"/>
              <c:showVal val="1"/>
              <c:showCatName val="1"/>
              <c:showSerName val="0"/>
              <c:showPercent val="0"/>
              <c:showBubbleSize val="0"/>
              <c:separator>
</c:separator>
              <c:extLst>
                <c:ext xmlns:c15="http://schemas.microsoft.com/office/drawing/2012/chart" uri="{CE6537A1-D6FC-4f65-9D91-7224C49458BB}">
                  <c15:layout/>
                </c:ext>
              </c:extLst>
            </c:dLbl>
            <c:dLbl>
              <c:idx val="3"/>
              <c:layout>
                <c:manualLayout>
                  <c:x val="-0.00856302708852887"/>
                  <c:y val="-0.00626079403968193"/>
                </c:manualLayout>
              </c:layout>
              <c:tx>
                <c:rich>
                  <a:bodyPr rot="0" spcFirstLastPara="0" vertOverflow="ellipsis" vert="horz" wrap="square" lIns="38100" tIns="19050" rIns="38100" bIns="19050" anchor="ctr" anchorCtr="1"/>
                  <a:lstStyle/>
                  <a:p>
                    <a:pPr defTabSz="914400">
                      <a:defRPr lang="zh-CN" sz="1200" b="1"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200" b="1">
                        <a:solidFill>
                          <a:srgbClr val="34567F"/>
                        </a:solidFill>
                      </a:rPr>
                      <a:t>创业团队自投
29.25%</a:t>
                    </a:r>
                    <a:endParaRPr sz="1200" b="1">
                      <a:solidFill>
                        <a:srgbClr val="34567F"/>
                      </a:solidFill>
                    </a:endParaRPr>
                  </a:p>
                </c:rich>
              </c:tx>
              <c:numFmt formatCode="General" sourceLinked="1"/>
              <c:spPr>
                <a:noFill/>
                <a:ln>
                  <a:noFill/>
                </a:ln>
                <a:effectLst/>
              </c:spPr>
              <c:txPr>
                <a:bodyPr rot="0" spcFirstLastPara="0" vertOverflow="ellipsis" vert="horz" wrap="square" lIns="38100" tIns="19050" rIns="38100" bIns="19050" anchor="ctr" anchorCtr="1"/>
                <a:lstStyle/>
                <a:p>
                  <a:pPr>
                    <a:defRPr lang="zh-CN" sz="1200" b="1"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bestFit"/>
              <c:showLegendKey val="0"/>
              <c:showVal val="1"/>
              <c:showCatName val="1"/>
              <c:showSerName val="0"/>
              <c:showPercent val="0"/>
              <c:showBubbleSize val="0"/>
              <c:separator>
</c:separator>
              <c:extLst>
                <c:ext xmlns:c15="http://schemas.microsoft.com/office/drawing/2012/chart" uri="{CE6537A1-D6FC-4f65-9D91-7224C49458BB}">
                  <c15:layout>
                    <c:manualLayout>
                      <c:w val="0.213625427377485"/>
                      <c:h val="0.25"/>
                    </c:manualLayout>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1200" b="1"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outEnd"/>
            <c:showLegendKey val="0"/>
            <c:showVal val="1"/>
            <c:showCatName val="1"/>
            <c:showSerName val="0"/>
            <c:showPercent val="0"/>
            <c:showBubbleSize val="0"/>
            <c:separator>
</c:separator>
            <c:showLeaderLines val="0"/>
            <c:extLst>
              <c:ext xmlns:c15="http://schemas.microsoft.com/office/drawing/2012/chart" uri="{CE6537A1-D6FC-4f65-9D91-7224C49458BB}">
                <c15:layout/>
                <c15:showLeaderLines val="0"/>
                <c15:leaderLines>
                  <c:spPr>
                    <a:ln w="9525" cap="flat" cmpd="sng" algn="ctr">
                      <a:solidFill>
                        <a:schemeClr val="tx1">
                          <a:shade val="95000"/>
                          <a:satMod val="105000"/>
                        </a:schemeClr>
                      </a:solidFill>
                      <a:prstDash val="solid"/>
                      <a:round/>
                    </a:ln>
                    <a:effectLst/>
                  </c:spPr>
                </c15:leaderLines>
              </c:ext>
            </c:extLst>
          </c:dLbls>
          <c:cat>
            <c:strRef>
              <c:f>Sheet1!$A$2:$A$5</c:f>
              <c:strCache>
                <c:ptCount val="4"/>
                <c:pt idx="0">
                  <c:v>银行贷款</c:v>
                </c:pt>
                <c:pt idx="1">
                  <c:v>政府补贴</c:v>
                </c:pt>
                <c:pt idx="2">
                  <c:v>天使投资</c:v>
                </c:pt>
                <c:pt idx="3">
                  <c:v>创业团队自投</c:v>
                </c:pt>
              </c:strCache>
            </c:strRef>
          </c:cat>
          <c:val>
            <c:numRef>
              <c:f>Sheet1!$B$2:$B$5</c:f>
              <c:numCache>
                <c:formatCode>0.00%</c:formatCode>
                <c:ptCount val="4"/>
                <c:pt idx="0">
                  <c:v>0.3538</c:v>
                </c:pt>
                <c:pt idx="1">
                  <c:v>0.2358</c:v>
                </c:pt>
                <c:pt idx="2">
                  <c:v>0.1179</c:v>
                </c:pt>
                <c:pt idx="3">
                  <c:v>0.2925</c:v>
                </c:pt>
              </c:numCache>
            </c:numRef>
          </c:val>
        </c:ser>
        <c:dLbls>
          <c:showLegendKey val="0"/>
          <c:showVal val="1"/>
          <c:showCatName val="0"/>
          <c:showSerName val="0"/>
          <c:showPercent val="0"/>
          <c:showBubbleSize val="0"/>
        </c:dLbls>
      </c:pie3DChart>
      <c:spPr>
        <a:noFill/>
        <a:ln>
          <a:noFill/>
        </a:ln>
        <a:effectLst/>
      </c:spPr>
    </c:plotArea>
    <c:legend>
      <c:legendPos val="b"/>
      <c:legendEntry>
        <c:idx val="0"/>
        <c:txPr>
          <a:bodyPr rot="0" spcFirstLastPara="0" vertOverflow="ellipsis" vert="horz" wrap="square" anchor="ctr" anchorCtr="1"/>
          <a:lstStyle/>
          <a:p>
            <a:pPr>
              <a:defRPr lang="zh-CN" sz="12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1"/>
        <c:txPr>
          <a:bodyPr rot="0" spcFirstLastPara="0" vertOverflow="ellipsis" vert="horz" wrap="square" anchor="ctr" anchorCtr="1"/>
          <a:lstStyle/>
          <a:p>
            <a:pPr>
              <a:defRPr lang="zh-CN" sz="12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2"/>
        <c:txPr>
          <a:bodyPr rot="0" spcFirstLastPara="0" vertOverflow="ellipsis" vert="horz" wrap="square" anchor="ctr" anchorCtr="1"/>
          <a:lstStyle/>
          <a:p>
            <a:pPr>
              <a:defRPr lang="zh-CN" sz="12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3"/>
        <c:txPr>
          <a:bodyPr rot="0" spcFirstLastPara="0" vertOverflow="ellipsis" vert="horz" wrap="square" anchor="ctr" anchorCtr="1"/>
          <a:lstStyle/>
          <a:p>
            <a:pPr>
              <a:defRPr lang="zh-CN" sz="12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ayout>
        <c:manualLayout>
          <c:xMode val="edge"/>
          <c:yMode val="edge"/>
          <c:x val="0.100271370420624"/>
          <c:y val="0.869488536155203"/>
          <c:w val="0.797150610583446"/>
          <c:h val="0.122952884857647"/>
        </c:manualLayout>
      </c:layout>
      <c:overlay val="0"/>
      <c:spPr>
        <a:noFill/>
        <a:ln>
          <a:noFill/>
        </a:ln>
        <a:effectLst/>
      </c:spPr>
      <c:txPr>
        <a:bodyPr rot="0" spcFirstLastPara="0" vertOverflow="ellipsis" vert="horz" wrap="square" anchor="ctr" anchorCtr="1"/>
        <a:lstStyle/>
        <a:p>
          <a:pPr>
            <a:defRPr lang="zh-CN" sz="12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7acaea44-492c-4476-aa52-8b1898f52abb}"/>
      </c:ext>
    </c:extLst>
  </c:chart>
  <c:spPr>
    <a:noFill/>
    <a:ln w="6350" cap="flat" cmpd="sng" algn="ctr">
      <a:noFill/>
      <a:prstDash val="solid"/>
      <a:round/>
    </a:ln>
    <a:effectLst/>
  </c:spPr>
  <c:txPr>
    <a:bodyPr/>
    <a:lstStyle/>
    <a:p>
      <a:pPr>
        <a:defRPr lang="zh-CN" sz="1200" b="1">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effectLst/>
      </c:spPr>
    </c:floor>
    <c:sideWall>
      <c:thickness val="0"/>
      <c:spPr>
        <a:noFill/>
        <a:effectLst/>
      </c:spPr>
    </c:sideWall>
    <c:backWall>
      <c:thickness val="0"/>
      <c:spPr>
        <a:noFill/>
        <a:effectLst/>
      </c:spPr>
    </c:backWall>
    <c:plotArea>
      <c:layout>
        <c:manualLayout>
          <c:layoutTarget val="inner"/>
          <c:xMode val="edge"/>
          <c:yMode val="edge"/>
          <c:x val="0.0862957937584803"/>
          <c:y val="0.110859158478206"/>
          <c:w val="0.827408412483039"/>
          <c:h val="0.64172335600907"/>
        </c:manualLayout>
      </c:layout>
      <c:pie3DChart>
        <c:varyColors val="1"/>
        <c:ser>
          <c:idx val="0"/>
          <c:order val="0"/>
          <c:tx>
            <c:strRef>
              <c:f>Sheet1!$B$1</c:f>
              <c:strCache>
                <c:ptCount val="1"/>
                <c:pt idx="0">
                  <c:v>股权占比</c:v>
                </c:pt>
              </c:strCache>
            </c:strRef>
          </c:tx>
          <c:spPr>
            <a:ln>
              <a:noFill/>
            </a:ln>
            <a:scene3d>
              <a:camera prst="orthographicFront"/>
              <a:lightRig rig="threePt" dir="t"/>
            </a:scene3d>
            <a:sp3d contourW="9525"/>
          </c:spPr>
          <c:explosion val="0"/>
          <c:dPt>
            <c:idx val="0"/>
            <c:bubble3D val="0"/>
            <c:spPr>
              <a:solidFill>
                <a:schemeClr val="accent1"/>
              </a:solidFill>
              <a:ln>
                <a:noFill/>
              </a:ln>
              <a:effectLst/>
            </c:spPr>
          </c:dPt>
          <c:dPt>
            <c:idx val="1"/>
            <c:bubble3D val="0"/>
            <c:spPr>
              <a:solidFill>
                <a:schemeClr val="accent3"/>
              </a:solidFill>
              <a:ln>
                <a:noFill/>
              </a:ln>
              <a:effectLst/>
            </c:spPr>
          </c:dPt>
          <c:dPt>
            <c:idx val="2"/>
            <c:bubble3D val="0"/>
            <c:spPr>
              <a:solidFill>
                <a:schemeClr val="accent5"/>
              </a:solidFill>
              <a:ln>
                <a:noFill/>
              </a:ln>
              <a:effectLst/>
            </c:spPr>
          </c:dPt>
          <c:dPt>
            <c:idx val="3"/>
            <c:bubble3D val="0"/>
            <c:spPr>
              <a:solidFill>
                <a:schemeClr val="accent1">
                  <a:lumMod val="60000"/>
                </a:schemeClr>
              </a:solidFill>
              <a:ln>
                <a:noFill/>
              </a:ln>
              <a:effectLst/>
            </c:spPr>
          </c:dPt>
          <c:dLbls>
            <c:dLbl>
              <c:idx val="0"/>
              <c:layout/>
              <c:tx>
                <c:rich>
                  <a:bodyPr rot="0" spcFirstLastPara="0" vertOverflow="ellipsis" vert="horz" wrap="square" lIns="38100" tIns="19050" rIns="38100" bIns="19050" anchor="ctr" anchorCtr="1"/>
                  <a:lstStyle/>
                  <a:p>
                    <a:pPr defTabSz="914400">
                      <a:defRPr lang="zh-CN" sz="1200" b="1" i="0" u="none" strike="noStrike" kern="1200" spc="0" baseline="0">
                        <a:solidFill>
                          <a:schemeClr val="accent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200" b="1">
                        <a:latin typeface="微软雅黑" panose="020B0503020204020204" charset="-122"/>
                        <a:ea typeface="微软雅黑" panose="020B0503020204020204" charset="-122"/>
                        <a:cs typeface="微软雅黑" panose="020B0503020204020204" charset="-122"/>
                        <a:sym typeface="微软雅黑" panose="020B0503020204020204" charset="-122"/>
                      </a:rPr>
                      <a:t>创始人</a:t>
                    </a:r>
                    <a:endParaRPr sz="1200" b="1">
                      <a:latin typeface="微软雅黑" panose="020B0503020204020204" charset="-122"/>
                      <a:ea typeface="微软雅黑" panose="020B0503020204020204" charset="-122"/>
                      <a:cs typeface="微软雅黑" panose="020B0503020204020204" charset="-122"/>
                      <a:sym typeface="微软雅黑" panose="020B0503020204020204" charset="-122"/>
                    </a:endParaRPr>
                  </a:p>
                  <a:p>
                    <a:pPr defTabSz="914400">
                      <a:defRPr lang="zh-CN" sz="1200" b="1" i="0" u="none" strike="noStrike" kern="1200" spc="0" baseline="0">
                        <a:solidFill>
                          <a:schemeClr val="accent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200" b="1">
                        <a:latin typeface="微软雅黑" panose="020B0503020204020204" charset="-122"/>
                        <a:ea typeface="微软雅黑" panose="020B0503020204020204" charset="-122"/>
                        <a:cs typeface="微软雅黑" panose="020B0503020204020204" charset="-122"/>
                        <a:sym typeface="微软雅黑" panose="020B0503020204020204" charset="-122"/>
                      </a:rPr>
                      <a:t>53%</a:t>
                    </a:r>
                    <a:endParaRPr sz="1200" b="1">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numFmt formatCode="General" sourceLinked="1"/>
              <c:spPr>
                <a:noFill/>
                <a:ln>
                  <a:noFill/>
                </a:ln>
                <a:effectLst/>
              </c:spPr>
              <c:txPr>
                <a:bodyPr rot="0" spcFirstLastPara="0" vertOverflow="ellipsis" vert="horz" wrap="square" lIns="38100" tIns="19050" rIns="38100" bIns="19050" anchor="ctr" anchorCtr="1"/>
                <a:lstStyle/>
                <a:p>
                  <a:pPr>
                    <a:defRPr lang="zh-CN" sz="1200" b="1" i="0" u="none" strike="noStrike" kern="1200" spc="0" baseline="0">
                      <a:solidFill>
                        <a:schemeClr val="accent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outEnd"/>
              <c:showLegendKey val="0"/>
              <c:showVal val="1"/>
              <c:showCatName val="1"/>
              <c:showSerName val="0"/>
              <c:showPercent val="0"/>
              <c:showBubbleSize val="0"/>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1200" b="1" i="0" u="none" strike="noStrike" kern="1200" spc="0" baseline="0">
                        <a:solidFill>
                          <a:schemeClr val="accent3"/>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200" b="1">
                        <a:latin typeface="微软雅黑" panose="020B0503020204020204" charset="-122"/>
                        <a:ea typeface="微软雅黑" panose="020B0503020204020204" charset="-122"/>
                        <a:cs typeface="微软雅黑" panose="020B0503020204020204" charset="-122"/>
                        <a:sym typeface="微软雅黑" panose="020B0503020204020204" charset="-122"/>
                      </a:rPr>
                      <a:t>创业团队</a:t>
                    </a:r>
                    <a:endParaRPr sz="1200" b="1">
                      <a:latin typeface="微软雅黑" panose="020B0503020204020204" charset="-122"/>
                      <a:ea typeface="微软雅黑" panose="020B0503020204020204" charset="-122"/>
                      <a:cs typeface="微软雅黑" panose="020B0503020204020204" charset="-122"/>
                      <a:sym typeface="微软雅黑" panose="020B0503020204020204" charset="-122"/>
                    </a:endParaRPr>
                  </a:p>
                  <a:p>
                    <a:pPr defTabSz="914400">
                      <a:defRPr lang="zh-CN" sz="1200" b="1" i="0" u="none" strike="noStrike" kern="1200" spc="0" baseline="0">
                        <a:solidFill>
                          <a:schemeClr val="accent3"/>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200" b="1">
                        <a:latin typeface="微软雅黑" panose="020B0503020204020204" charset="-122"/>
                        <a:ea typeface="微软雅黑" panose="020B0503020204020204" charset="-122"/>
                        <a:cs typeface="微软雅黑" panose="020B0503020204020204" charset="-122"/>
                        <a:sym typeface="微软雅黑" panose="020B0503020204020204" charset="-122"/>
                      </a:rPr>
                      <a:t>19%</a:t>
                    </a:r>
                    <a:endParaRPr sz="1200" b="1">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numFmt formatCode="General" sourceLinked="1"/>
              <c:spPr>
                <a:noFill/>
                <a:ln>
                  <a:noFill/>
                </a:ln>
                <a:effectLst/>
              </c:spPr>
              <c:txPr>
                <a:bodyPr rot="0" spcFirstLastPara="0" vertOverflow="ellipsis" vert="horz" wrap="square" lIns="38100" tIns="19050" rIns="38100" bIns="19050" anchor="ctr" anchorCtr="1"/>
                <a:lstStyle/>
                <a:p>
                  <a:pPr>
                    <a:defRPr lang="zh-CN" sz="1200" b="1" i="0" u="none" strike="noStrike" kern="1200" spc="0" baseline="0">
                      <a:solidFill>
                        <a:schemeClr val="accent3"/>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outEnd"/>
              <c:showLegendKey val="0"/>
              <c:showVal val="1"/>
              <c:showCatName val="1"/>
              <c:showSerName val="0"/>
              <c:showPercent val="0"/>
              <c:showBubbleSize val="0"/>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1200" b="1" i="0" u="none" strike="noStrike" kern="1200" spc="0" baseline="0">
                        <a:solidFill>
                          <a:schemeClr val="accent5"/>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200" b="1">
                        <a:latin typeface="微软雅黑" panose="020B0503020204020204" charset="-122"/>
                        <a:ea typeface="微软雅黑" panose="020B0503020204020204" charset="-122"/>
                        <a:cs typeface="微软雅黑" panose="020B0503020204020204" charset="-122"/>
                        <a:sym typeface="微软雅黑" panose="020B0503020204020204" charset="-122"/>
                      </a:rPr>
                      <a:t>股权激励</a:t>
                    </a:r>
                    <a:endParaRPr sz="1200" b="1">
                      <a:latin typeface="微软雅黑" panose="020B0503020204020204" charset="-122"/>
                      <a:ea typeface="微软雅黑" panose="020B0503020204020204" charset="-122"/>
                      <a:cs typeface="微软雅黑" panose="020B0503020204020204" charset="-122"/>
                      <a:sym typeface="微软雅黑" panose="020B0503020204020204" charset="-122"/>
                    </a:endParaRPr>
                  </a:p>
                  <a:p>
                    <a:pPr defTabSz="914400">
                      <a:defRPr lang="zh-CN" sz="1200" b="1" i="0" u="none" strike="noStrike" kern="1200" spc="0" baseline="0">
                        <a:solidFill>
                          <a:schemeClr val="accent5"/>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200" b="1">
                        <a:latin typeface="微软雅黑" panose="020B0503020204020204" charset="-122"/>
                        <a:ea typeface="微软雅黑" panose="020B0503020204020204" charset="-122"/>
                        <a:cs typeface="微软雅黑" panose="020B0503020204020204" charset="-122"/>
                        <a:sym typeface="微软雅黑" panose="020B0503020204020204" charset="-122"/>
                      </a:rPr>
                      <a:t> 18%</a:t>
                    </a:r>
                    <a:endParaRPr sz="1200" b="1">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numFmt formatCode="General" sourceLinked="1"/>
              <c:spPr>
                <a:noFill/>
                <a:ln>
                  <a:noFill/>
                </a:ln>
                <a:effectLst/>
              </c:spPr>
              <c:txPr>
                <a:bodyPr rot="0" spcFirstLastPara="0" vertOverflow="ellipsis" vert="horz" wrap="square" lIns="38100" tIns="19050" rIns="38100" bIns="19050" anchor="ctr" anchorCtr="1"/>
                <a:lstStyle/>
                <a:p>
                  <a:pPr>
                    <a:defRPr lang="zh-CN" sz="1200" b="1" i="0" u="none" strike="noStrike" kern="1200" spc="0" baseline="0">
                      <a:solidFill>
                        <a:schemeClr val="accent5"/>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outEnd"/>
              <c:showLegendKey val="0"/>
              <c:showVal val="1"/>
              <c:showCatName val="1"/>
              <c:showSerName val="0"/>
              <c:showPercent val="0"/>
              <c:showBubbleSize val="0"/>
              <c:extLst>
                <c:ext xmlns:c15="http://schemas.microsoft.com/office/drawing/2012/chart" uri="{CE6537A1-D6FC-4f65-9D91-7224C49458BB}"/>
              </c:extLst>
            </c:dLbl>
            <c:dLbl>
              <c:idx val="3"/>
              <c:layout>
                <c:manualLayout>
                  <c:x val="0.0259158751696065"/>
                  <c:y val="0"/>
                </c:manualLayout>
              </c:layout>
              <c:tx>
                <c:rich>
                  <a:bodyPr rot="0" spcFirstLastPara="0" vertOverflow="ellipsis" vert="horz" wrap="square" lIns="38100" tIns="19050" rIns="38100" bIns="19050" anchor="ctr" anchorCtr="1"/>
                  <a:lstStyle/>
                  <a:p>
                    <a:pPr defTabSz="914400">
                      <a:defRPr lang="zh-CN" sz="1200" b="1" i="0" u="none" strike="noStrike" kern="1200" spc="0" baseline="0">
                        <a:solidFill>
                          <a:schemeClr val="accent1">
                            <a:lumMod val="60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200" b="1">
                        <a:latin typeface="微软雅黑" panose="020B0503020204020204" charset="-122"/>
                        <a:ea typeface="微软雅黑" panose="020B0503020204020204" charset="-122"/>
                        <a:cs typeface="微软雅黑" panose="020B0503020204020204" charset="-122"/>
                        <a:sym typeface="微软雅黑" panose="020B0503020204020204" charset="-122"/>
                      </a:rPr>
                      <a:t>投资人</a:t>
                    </a:r>
                    <a:endParaRPr sz="1200" b="1">
                      <a:latin typeface="微软雅黑" panose="020B0503020204020204" charset="-122"/>
                      <a:ea typeface="微软雅黑" panose="020B0503020204020204" charset="-122"/>
                      <a:cs typeface="微软雅黑" panose="020B0503020204020204" charset="-122"/>
                      <a:sym typeface="微软雅黑" panose="020B0503020204020204" charset="-122"/>
                    </a:endParaRPr>
                  </a:p>
                  <a:p>
                    <a:pPr defTabSz="914400">
                      <a:defRPr lang="zh-CN" sz="1200" b="1" i="0" u="none" strike="noStrike" kern="1200" spc="0" baseline="0">
                        <a:solidFill>
                          <a:schemeClr val="accent1">
                            <a:lumMod val="60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200" b="1">
                        <a:latin typeface="微软雅黑" panose="020B0503020204020204" charset="-122"/>
                        <a:ea typeface="微软雅黑" panose="020B0503020204020204" charset="-122"/>
                        <a:cs typeface="微软雅黑" panose="020B0503020204020204" charset="-122"/>
                        <a:sym typeface="微软雅黑" panose="020B0503020204020204" charset="-122"/>
                      </a:rPr>
                      <a:t>10%</a:t>
                    </a:r>
                    <a:endParaRPr sz="1200" b="1">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numFmt formatCode="General" sourceLinked="1"/>
              <c:spPr>
                <a:noFill/>
                <a:ln>
                  <a:noFill/>
                </a:ln>
                <a:effectLst/>
              </c:spPr>
              <c:txPr>
                <a:bodyPr rot="0" spcFirstLastPara="0" vertOverflow="ellipsis" vert="horz" wrap="square" lIns="38100" tIns="19050" rIns="38100" bIns="19050" anchor="ctr" anchorCtr="1"/>
                <a:lstStyle/>
                <a:p>
                  <a:pPr>
                    <a:defRPr lang="zh-CN" sz="1200" b="1" i="0" u="none" strike="noStrike" kern="1200" spc="0" baseline="0">
                      <a:solidFill>
                        <a:schemeClr val="accent1">
                          <a:lumMod val="60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bestFit"/>
              <c:showLegendKey val="0"/>
              <c:showVal val="1"/>
              <c:showCatName val="1"/>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200" b="1" i="0" u="none" strike="noStrike" kern="1200" spc="0" baseline="0">
                    <a:solidFill>
                      <a:schemeClr val="accent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outEnd"/>
            <c:showLegendKey val="0"/>
            <c:showVal val="1"/>
            <c:showCatName val="1"/>
            <c:showSerName val="0"/>
            <c:showPercent val="0"/>
            <c:showBubbleSize val="0"/>
            <c:showLeaderLines val="1"/>
            <c:extLst>
              <c:ext xmlns:c15="http://schemas.microsoft.com/office/drawing/2012/chart" uri="{CE6537A1-D6FC-4f65-9D91-7224C49458BB}">
                <c15:layout/>
                <c15:showLeaderLines val="1"/>
                <c15:leaderLines>
                  <c:spPr>
                    <a:ln w="9525">
                      <a:solidFill>
                        <a:schemeClr val="tx1">
                          <a:lumMod val="35000"/>
                          <a:lumOff val="65000"/>
                        </a:schemeClr>
                      </a:solidFill>
                      <a:round/>
                    </a:ln>
                    <a:effectLst/>
                  </c:spPr>
                </c15:leaderLines>
              </c:ext>
            </c:extLst>
          </c:dLbls>
          <c:cat>
            <c:strRef>
              <c:f>Sheet1!$A$2:$A$5</c:f>
              <c:strCache>
                <c:ptCount val="4"/>
                <c:pt idx="0">
                  <c:v>创始人</c:v>
                </c:pt>
                <c:pt idx="1">
                  <c:v>创业团队</c:v>
                </c:pt>
                <c:pt idx="2">
                  <c:v>股权激励</c:v>
                </c:pt>
                <c:pt idx="3">
                  <c:v>投资人</c:v>
                </c:pt>
              </c:strCache>
            </c:strRef>
          </c:cat>
          <c:val>
            <c:numRef>
              <c:f>Sheet1!$B$2:$B$5</c:f>
              <c:numCache>
                <c:formatCode>0%</c:formatCode>
                <c:ptCount val="4"/>
                <c:pt idx="0">
                  <c:v>0.53</c:v>
                </c:pt>
                <c:pt idx="1">
                  <c:v>0.19</c:v>
                </c:pt>
                <c:pt idx="2">
                  <c:v>0.18</c:v>
                </c:pt>
                <c:pt idx="3">
                  <c:v>0.1</c:v>
                </c:pt>
              </c:numCache>
            </c:numRef>
          </c:val>
        </c:ser>
        <c:dLbls>
          <c:showLegendKey val="0"/>
          <c:showVal val="1"/>
          <c:showCatName val="0"/>
          <c:showSerName val="0"/>
          <c:showPercent val="0"/>
          <c:showBubbleSize val="0"/>
        </c:dLbls>
      </c:pie3DChart>
      <c:spPr>
        <a:noFill/>
        <a:ln>
          <a:noFill/>
        </a:ln>
        <a:effectLst/>
      </c:spPr>
    </c:plotArea>
    <c:legend>
      <c:legendPos val="b"/>
      <c:legendEntry>
        <c:idx val="0"/>
        <c:txPr>
          <a:bodyPr rot="0" spcFirstLastPara="0" vertOverflow="ellipsis" vert="horz" wrap="square" anchor="ctr" anchorCtr="1"/>
          <a:lstStyle/>
          <a:p>
            <a:pPr>
              <a:defRPr lang="zh-CN" sz="12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1"/>
        <c:txPr>
          <a:bodyPr rot="0" spcFirstLastPara="0" vertOverflow="ellipsis" vert="horz" wrap="square" anchor="ctr" anchorCtr="1"/>
          <a:lstStyle/>
          <a:p>
            <a:pPr>
              <a:defRPr lang="zh-CN" sz="12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2"/>
        <c:txPr>
          <a:bodyPr rot="0" spcFirstLastPara="0" vertOverflow="ellipsis" vert="horz" wrap="square" anchor="ctr" anchorCtr="1"/>
          <a:lstStyle/>
          <a:p>
            <a:pPr>
              <a:defRPr lang="zh-CN" sz="12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3"/>
        <c:txPr>
          <a:bodyPr rot="0" spcFirstLastPara="0" vertOverflow="ellipsis" vert="horz" wrap="square" anchor="ctr" anchorCtr="1"/>
          <a:lstStyle/>
          <a:p>
            <a:pPr>
              <a:defRPr lang="zh-CN" sz="12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ayout>
        <c:manualLayout>
          <c:xMode val="edge"/>
          <c:yMode val="edge"/>
          <c:x val="0.201628222523745"/>
          <c:y val="0.874023683547493"/>
        </c:manualLayout>
      </c:layout>
      <c:overlay val="0"/>
      <c:spPr>
        <a:noFill/>
        <a:ln>
          <a:noFill/>
        </a:ln>
        <a:effectLst/>
      </c:spPr>
      <c:txPr>
        <a:bodyPr rot="0" spcFirstLastPara="0" vertOverflow="ellipsis" vert="horz" wrap="square" anchor="ctr" anchorCtr="1"/>
        <a:lstStyle/>
        <a:p>
          <a:pPr>
            <a:defRPr lang="zh-CN" sz="12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6dd40dfe-abcd-4444-b3af-c3560ca40092}"/>
      </c:ext>
    </c:extLst>
  </c:chart>
  <c:spPr>
    <a:noFill/>
    <a:ln w="9525">
      <a:noFill/>
      <a:round/>
    </a:ln>
    <a:effectLst/>
  </c:spPr>
  <c:txPr>
    <a:bodyPr/>
    <a:lstStyle/>
    <a:p>
      <a:pPr>
        <a:defRPr lang="zh-CN" sz="1000" b="1"/>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effectLst/>
      </c:spPr>
    </c:floor>
    <c:sideWall>
      <c:thickness val="0"/>
      <c:spPr>
        <a:noFill/>
        <a:effectLst/>
      </c:spPr>
    </c:sideWall>
    <c:backWall>
      <c:thickness val="0"/>
      <c:spPr>
        <a:noFill/>
        <a:effectLst/>
      </c:spPr>
    </c:backWall>
    <c:plotArea>
      <c:layout>
        <c:manualLayout>
          <c:layoutTarget val="inner"/>
          <c:xMode val="edge"/>
          <c:yMode val="edge"/>
          <c:x val="0.0862957937584803"/>
          <c:y val="0.132779037540942"/>
          <c:w val="0.827408412483039"/>
          <c:h val="0.628369866465105"/>
        </c:manualLayout>
      </c:layout>
      <c:pie3DChart>
        <c:varyColors val="1"/>
        <c:ser>
          <c:idx val="0"/>
          <c:order val="0"/>
          <c:tx>
            <c:strRef>
              <c:f>Sheet1!$B$1</c:f>
              <c:strCache>
                <c:ptCount val="1"/>
                <c:pt idx="0">
                  <c:v>销售额</c:v>
                </c:pt>
              </c:strCache>
            </c:strRef>
          </c:tx>
          <c:spPr/>
          <c:explosion val="0"/>
          <c:dPt>
            <c:idx val="0"/>
            <c:bubble3D val="0"/>
            <c:spPr>
              <a:solidFill>
                <a:schemeClr val="accent1"/>
              </a:solidFill>
              <a:ln>
                <a:noFill/>
              </a:ln>
              <a:effectLst/>
              <a:scene3d>
                <a:camera prst="orthographicFront"/>
                <a:lightRig rig="threePt" dir="t"/>
              </a:scene3d>
              <a:sp3d contourW="15875"/>
            </c:spPr>
          </c:dPt>
          <c:dPt>
            <c:idx val="1"/>
            <c:bubble3D val="0"/>
            <c:spPr>
              <a:solidFill>
                <a:schemeClr val="accent3"/>
              </a:solidFill>
              <a:ln>
                <a:noFill/>
              </a:ln>
              <a:effectLst/>
              <a:scene3d>
                <a:camera prst="orthographicFront"/>
                <a:lightRig rig="threePt" dir="t"/>
              </a:scene3d>
              <a:sp3d contourW="15875"/>
            </c:spPr>
          </c:dPt>
          <c:dPt>
            <c:idx val="2"/>
            <c:bubble3D val="0"/>
            <c:spPr>
              <a:solidFill>
                <a:schemeClr val="accent5"/>
              </a:solidFill>
              <a:ln>
                <a:noFill/>
              </a:ln>
              <a:effectLst/>
              <a:scene3d>
                <a:camera prst="orthographicFront"/>
                <a:lightRig rig="threePt" dir="t"/>
              </a:scene3d>
              <a:sp3d contourW="15875"/>
            </c:spPr>
          </c:dPt>
          <c:dPt>
            <c:idx val="3"/>
            <c:bubble3D val="0"/>
            <c:spPr>
              <a:solidFill>
                <a:schemeClr val="accent1">
                  <a:lumMod val="60000"/>
                </a:schemeClr>
              </a:solidFill>
              <a:ln>
                <a:noFill/>
              </a:ln>
              <a:effectLst/>
              <a:scene3d>
                <a:camera prst="orthographicFront"/>
                <a:lightRig rig="threePt" dir="t"/>
              </a:scene3d>
              <a:sp3d contourW="15875"/>
            </c:spPr>
          </c:dPt>
          <c:dPt>
            <c:idx val="4"/>
            <c:bubble3D val="0"/>
            <c:spPr>
              <a:solidFill>
                <a:schemeClr val="accent3">
                  <a:lumMod val="60000"/>
                </a:schemeClr>
              </a:solidFill>
              <a:ln>
                <a:noFill/>
              </a:ln>
              <a:effectLst/>
              <a:scene3d>
                <a:camera prst="orthographicFront"/>
                <a:lightRig rig="threePt" dir="t"/>
              </a:scene3d>
              <a:sp3d contourW="15875"/>
            </c:spPr>
          </c:dPt>
          <c:dLbls>
            <c:dLbl>
              <c:idx val="0"/>
              <c:layout/>
              <c:tx>
                <c:rich>
                  <a:bodyPr rot="0" spcFirstLastPara="0" vertOverflow="ellipsis" vert="horz" wrap="square" lIns="38100" tIns="19050" rIns="38100" bIns="19050" anchor="ctr" anchorCtr="1"/>
                  <a:lstStyle/>
                  <a:p>
                    <a:pPr defTabSz="914400">
                      <a:defRPr lang="zh-CN" sz="1200" b="1"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200" b="1">
                        <a:solidFill>
                          <a:srgbClr val="588CCB"/>
                        </a:solidFill>
                      </a:rPr>
                      <a:t>运营管理
15%</a:t>
                    </a:r>
                    <a:endParaRPr sz="1200" b="1">
                      <a:solidFill>
                        <a:srgbClr val="588CCB"/>
                      </a:solidFill>
                    </a:endParaRPr>
                  </a:p>
                </c:rich>
              </c:tx>
              <c:dLblPos val="outEnd"/>
              <c:showLegendKey val="0"/>
              <c:showVal val="1"/>
              <c:showCatName val="1"/>
              <c:showSerName val="0"/>
              <c:showPercent val="0"/>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1200" b="1"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200" b="1">
                        <a:solidFill>
                          <a:srgbClr val="A7C963"/>
                        </a:solidFill>
                      </a:rPr>
                      <a:t>技术研发
35%</a:t>
                    </a:r>
                    <a:endParaRPr sz="1200" b="1">
                      <a:solidFill>
                        <a:srgbClr val="A7C963"/>
                      </a:solidFill>
                    </a:endParaRPr>
                  </a:p>
                </c:rich>
              </c:tx>
              <c:dLblPos val="outEnd"/>
              <c:showLegendKey val="0"/>
              <c:showVal val="1"/>
              <c:showCatName val="1"/>
              <c:showSerName val="0"/>
              <c:showPercent val="0"/>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1200" b="1"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200" b="1">
                        <a:solidFill>
                          <a:srgbClr val="54B9D4"/>
                        </a:solidFill>
                      </a:rPr>
                      <a:t>营销推广
15%</a:t>
                    </a:r>
                    <a:endParaRPr sz="1200" b="1">
                      <a:solidFill>
                        <a:srgbClr val="54B9D4"/>
                      </a:solidFill>
                    </a:endParaRPr>
                  </a:p>
                </c:rich>
              </c:tx>
              <c:dLblPos val="outEnd"/>
              <c:showLegendKey val="0"/>
              <c:showVal val="1"/>
              <c:showCatName val="1"/>
              <c:showSerName val="0"/>
              <c:showPercent val="0"/>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1200" b="1"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200" b="1">
                        <a:solidFill>
                          <a:srgbClr val="34567F"/>
                        </a:solidFill>
                      </a:rPr>
                      <a:t>原材料购置
20%</a:t>
                    </a:r>
                    <a:endParaRPr sz="1200" b="1">
                      <a:solidFill>
                        <a:srgbClr val="34567F"/>
                      </a:solidFill>
                    </a:endParaRPr>
                  </a:p>
                </c:rich>
              </c:tx>
              <c:dLblPos val="outEnd"/>
              <c:showLegendKey val="0"/>
              <c:showVal val="1"/>
              <c:showCatName val="1"/>
              <c:showSerName val="0"/>
              <c:showPercent val="0"/>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1200" b="1"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200" b="1">
                        <a:solidFill>
                          <a:srgbClr val="697F38"/>
                        </a:solidFill>
                      </a:rPr>
                      <a:t>专利布局
15%</a:t>
                    </a:r>
                    <a:endParaRPr sz="1200" b="1">
                      <a:solidFill>
                        <a:srgbClr val="697F38"/>
                      </a:solidFill>
                    </a:endParaRPr>
                  </a:p>
                </c:rich>
              </c:tx>
              <c:dLblPos val="outEnd"/>
              <c:showLegendKey val="0"/>
              <c:showVal val="1"/>
              <c:showCatName val="1"/>
              <c:showSerName val="0"/>
              <c:showPercent val="0"/>
              <c:showBubbleSize val="0"/>
              <c:separator>
</c:separator>
              <c:extLst>
                <c:ext xmlns:c15="http://schemas.microsoft.com/office/drawing/2012/chart" uri="{CE6537A1-D6FC-4f65-9D91-7224C49458BB}"/>
              </c:extLst>
            </c:dLbl>
            <c:numFmt formatCode="General" sourceLinked="1"/>
            <c:spPr>
              <a:noFill/>
              <a:ln w="6350">
                <a:noFill/>
              </a:ln>
              <a:effectLst/>
            </c:spPr>
            <c:txPr>
              <a:bodyPr rot="0" spcFirstLastPara="0" vertOverflow="ellipsis" vert="horz" wrap="square" lIns="38100" tIns="19050" rIns="38100" bIns="19050" anchor="ctr" anchorCtr="1" forceAA="0"/>
              <a:lstStyle/>
              <a:p>
                <a:pPr>
                  <a:defRPr lang="zh-CN" sz="1200" b="1"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outEnd"/>
            <c:showLegendKey val="0"/>
            <c:showVal val="1"/>
            <c:showCatName val="1"/>
            <c:showSerName val="0"/>
            <c:showPercent val="0"/>
            <c:showBubbleSize val="0"/>
            <c:separator>
</c:separator>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prstDash val="solid"/>
                      <a:round/>
                    </a:ln>
                    <a:effectLst/>
                  </c:spPr>
                </c15:leaderLines>
              </c:ext>
            </c:extLst>
          </c:dLbls>
          <c:cat>
            <c:strRef>
              <c:f>Sheet1!$A$2:$A$6</c:f>
              <c:strCache>
                <c:ptCount val="5"/>
                <c:pt idx="0">
                  <c:v>运营管理</c:v>
                </c:pt>
                <c:pt idx="1">
                  <c:v>技术研发</c:v>
                </c:pt>
                <c:pt idx="2">
                  <c:v>营销推广</c:v>
                </c:pt>
                <c:pt idx="3">
                  <c:v>原材料购置</c:v>
                </c:pt>
                <c:pt idx="4">
                  <c:v>专利布局</c:v>
                </c:pt>
              </c:strCache>
            </c:strRef>
          </c:cat>
          <c:val>
            <c:numRef>
              <c:f>Sheet1!$B$2:$B$6</c:f>
              <c:numCache>
                <c:formatCode>0%</c:formatCode>
                <c:ptCount val="5"/>
                <c:pt idx="0">
                  <c:v>0.15</c:v>
                </c:pt>
                <c:pt idx="1">
                  <c:v>0.35</c:v>
                </c:pt>
                <c:pt idx="2">
                  <c:v>0.15</c:v>
                </c:pt>
                <c:pt idx="3">
                  <c:v>0.2</c:v>
                </c:pt>
                <c:pt idx="4">
                  <c:v>0.15</c:v>
                </c:pt>
              </c:numCache>
            </c:numRef>
          </c:val>
        </c:ser>
        <c:dLbls>
          <c:showLegendKey val="0"/>
          <c:showVal val="1"/>
          <c:showCatName val="0"/>
          <c:showSerName val="0"/>
          <c:showPercent val="0"/>
          <c:showBubbleSize val="0"/>
        </c:dLbls>
      </c:pie3DChart>
      <c:spPr>
        <a:noFill/>
        <a:ln>
          <a:noFill/>
        </a:ln>
        <a:effectLst/>
      </c:spPr>
    </c:plotArea>
    <c:legend>
      <c:legendPos val="b"/>
      <c:legendEntry>
        <c:idx val="0"/>
        <c:txPr>
          <a:bodyPr rot="0" spcFirstLastPara="0" vertOverflow="ellipsis" vert="horz" wrap="square" anchor="ctr" anchorCtr="1"/>
          <a:lstStyle/>
          <a:p>
            <a:pPr>
              <a:defRPr lang="zh-CN" sz="12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1"/>
        <c:txPr>
          <a:bodyPr rot="0" spcFirstLastPara="0" vertOverflow="ellipsis" vert="horz" wrap="square" anchor="ctr" anchorCtr="1"/>
          <a:lstStyle/>
          <a:p>
            <a:pPr>
              <a:defRPr lang="zh-CN" sz="12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2"/>
        <c:txPr>
          <a:bodyPr rot="0" spcFirstLastPara="0" vertOverflow="ellipsis" vert="horz" wrap="square" anchor="ctr" anchorCtr="1"/>
          <a:lstStyle/>
          <a:p>
            <a:pPr>
              <a:defRPr lang="zh-CN" sz="12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3"/>
        <c:txPr>
          <a:bodyPr rot="0" spcFirstLastPara="0" vertOverflow="ellipsis" vert="horz" wrap="square" anchor="ctr" anchorCtr="1"/>
          <a:lstStyle/>
          <a:p>
            <a:pPr>
              <a:defRPr lang="zh-CN" sz="12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4"/>
        <c:txPr>
          <a:bodyPr rot="0" spcFirstLastPara="0" vertOverflow="ellipsis" vert="horz" wrap="square" anchor="ctr" anchorCtr="1"/>
          <a:lstStyle/>
          <a:p>
            <a:pPr>
              <a:defRPr lang="zh-CN" sz="12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ayout/>
      <c:overlay val="0"/>
      <c:spPr>
        <a:noFill/>
        <a:ln>
          <a:noFill/>
        </a:ln>
        <a:effectLst/>
      </c:spPr>
      <c:txPr>
        <a:bodyPr rot="0" spcFirstLastPara="0" vertOverflow="ellipsis" vert="horz" wrap="square" anchor="ctr" anchorCtr="1"/>
        <a:lstStyle/>
        <a:p>
          <a:pPr>
            <a:defRPr lang="zh-CN" sz="12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34e2d0a9-9a4b-4d94-a17f-10e0a4cbc598}"/>
      </c:ext>
    </c:extLst>
  </c:chart>
  <c:spPr>
    <a:noFill/>
    <a:ln w="6350" cap="flat" cmpd="sng" algn="ctr">
      <a:noFill/>
      <a:prstDash val="solid"/>
      <a:round/>
    </a:ln>
    <a:effectLst/>
  </c:spPr>
  <c:txPr>
    <a:bodyPr/>
    <a:lstStyle/>
    <a:p>
      <a:pPr>
        <a:defRPr lang="zh-CN" b="1">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总收入</c:v>
                </c:pt>
              </c:strCache>
            </c:strRef>
          </c:tx>
          <c:spPr>
            <a:solidFill>
              <a:schemeClr val="accent1"/>
            </a:solidFill>
            <a:ln>
              <a:noFill/>
            </a:ln>
            <a:effectLst/>
          </c:spPr>
          <c:invertIfNegative val="0"/>
          <c:dLbls>
            <c:delete val="1"/>
          </c:dLbls>
          <c:cat>
            <c:strRef>
              <c:f>Sheet1!$A$2:$A$6</c:f>
              <c:strCache>
                <c:ptCount val="5"/>
                <c:pt idx="0">
                  <c:v>2026年</c:v>
                </c:pt>
                <c:pt idx="1">
                  <c:v>2027年</c:v>
                </c:pt>
                <c:pt idx="2">
                  <c:v>2028年</c:v>
                </c:pt>
                <c:pt idx="3">
                  <c:v>2029年</c:v>
                </c:pt>
                <c:pt idx="4">
                  <c:v>2030年</c:v>
                </c:pt>
              </c:strCache>
            </c:strRef>
          </c:cat>
          <c:val>
            <c:numRef>
              <c:f>Sheet1!$B$2:$B$6</c:f>
              <c:numCache>
                <c:formatCode>General</c:formatCode>
                <c:ptCount val="5"/>
                <c:pt idx="0">
                  <c:v>336</c:v>
                </c:pt>
                <c:pt idx="1">
                  <c:v>403</c:v>
                </c:pt>
                <c:pt idx="2">
                  <c:v>505</c:v>
                </c:pt>
                <c:pt idx="3">
                  <c:v>657</c:v>
                </c:pt>
                <c:pt idx="4">
                  <c:v>886</c:v>
                </c:pt>
              </c:numCache>
            </c:numRef>
          </c:val>
        </c:ser>
        <c:dLbls>
          <c:showLegendKey val="0"/>
          <c:showVal val="0"/>
          <c:showCatName val="0"/>
          <c:showSerName val="0"/>
          <c:showPercent val="0"/>
          <c:showBubbleSize val="0"/>
        </c:dLbls>
        <c:gapWidth val="219"/>
        <c:overlap val="-27"/>
        <c:axId val="547450395"/>
        <c:axId val="709435401"/>
      </c:barChart>
      <c:lineChart>
        <c:grouping val="standard"/>
        <c:varyColors val="0"/>
        <c:ser>
          <c:idx val="2"/>
          <c:order val="1"/>
          <c:tx>
            <c:strRef>
              <c:f>Sheet1!$D$1</c:f>
              <c:strCache>
                <c:ptCount val="1"/>
                <c:pt idx="0">
                  <c:v>销售量</c:v>
                </c:pt>
              </c:strCache>
            </c:strRef>
          </c:tx>
          <c:spPr>
            <a:ln w="28575" cap="rnd" cmpd="sng" algn="ctr">
              <a:solidFill>
                <a:schemeClr val="accent3"/>
              </a:solidFill>
              <a:prstDash val="solid"/>
              <a:round/>
            </a:ln>
            <a:effectLst/>
          </c:spPr>
          <c:marker>
            <c:symbol val="none"/>
          </c:marker>
          <c:dLbls>
            <c:delete val="1"/>
          </c:dLbls>
          <c:cat>
            <c:strRef>
              <c:f>Sheet1!$A$2:$A$6</c:f>
              <c:strCache>
                <c:ptCount val="5"/>
                <c:pt idx="0">
                  <c:v>2026年</c:v>
                </c:pt>
                <c:pt idx="1">
                  <c:v>2027年</c:v>
                </c:pt>
                <c:pt idx="2">
                  <c:v>2028年</c:v>
                </c:pt>
                <c:pt idx="3">
                  <c:v>2029年</c:v>
                </c:pt>
                <c:pt idx="4">
                  <c:v>2030年</c:v>
                </c:pt>
              </c:strCache>
            </c:strRef>
          </c:cat>
          <c:val>
            <c:numRef>
              <c:f>Sheet1!$D$2:$D$6</c:f>
              <c:numCache>
                <c:formatCode>General</c:formatCode>
                <c:ptCount val="5"/>
                <c:pt idx="0">
                  <c:v>4800</c:v>
                </c:pt>
                <c:pt idx="1">
                  <c:v>5760</c:v>
                </c:pt>
                <c:pt idx="2">
                  <c:v>7216</c:v>
                </c:pt>
                <c:pt idx="3">
                  <c:v>9380</c:v>
                </c:pt>
                <c:pt idx="4">
                  <c:v>12663</c:v>
                </c:pt>
              </c:numCache>
            </c:numRef>
          </c:val>
          <c:smooth val="0"/>
        </c:ser>
        <c:dLbls>
          <c:showLegendKey val="0"/>
          <c:showVal val="0"/>
          <c:showCatName val="0"/>
          <c:showSerName val="0"/>
          <c:showPercent val="0"/>
          <c:showBubbleSize val="0"/>
        </c:dLbls>
        <c:marker val="0"/>
        <c:smooth val="0"/>
        <c:axId val="270532958"/>
        <c:axId val="783881583"/>
      </c:lineChart>
      <c:catAx>
        <c:axId val="547450395"/>
        <c:scaling>
          <c:orientation val="minMax"/>
        </c:scaling>
        <c:delete val="0"/>
        <c:axPos val="b"/>
        <c:title>
          <c:layout/>
          <c:overlay val="0"/>
          <c:spPr>
            <a:noFill/>
            <a:ln>
              <a:noFill/>
            </a:ln>
            <a:effectLst/>
          </c:spPr>
          <c:tx>
            <c:rich>
              <a:bodyPr/>
              <a:lstStyle/>
              <a:p>
                <a:pPr>
                  <a:defRPr/>
                </a:pPr>
              </a:p>
            </c:rich>
          </c:tx>
        </c:title>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709435401"/>
        <c:crosses val="autoZero"/>
        <c:auto val="1"/>
        <c:lblAlgn val="ctr"/>
        <c:lblOffset val="100"/>
        <c:noMultiLvlLbl val="0"/>
      </c:catAx>
      <c:valAx>
        <c:axId val="709435401"/>
        <c:scaling>
          <c:orientation val="minMax"/>
        </c:scaling>
        <c:delete val="0"/>
        <c:axPos val="l"/>
        <c:majorGridlines>
          <c:spPr>
            <a:ln w="9525" cap="flat" cmpd="sng" algn="ctr">
              <a:solidFill>
                <a:schemeClr val="lt1">
                  <a:lumMod val="90200"/>
                </a:schemeClr>
              </a:solidFill>
              <a:prstDash val="solid"/>
              <a:round/>
            </a:ln>
            <a:effectLst/>
          </c:spPr>
        </c:majorGridlines>
        <c:title>
          <c:tx>
            <c:rich>
              <a:bodyPr rot="-5400000" spcFirstLastPara="0" vertOverflow="ellipsis" vert="horz" wrap="square" anchor="ctr" anchorCtr="1"/>
              <a:lstStyle/>
              <a:p>
                <a:pPr defTabSz="914400">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b="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总收入（万元）</a:t>
                </a:r>
                <a:endParaRPr b="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layout/>
          <c:overlay val="0"/>
          <c:spPr>
            <a:noFill/>
            <a:ln>
              <a:noFill/>
            </a:ln>
            <a:effectLst/>
          </c:spPr>
        </c:title>
        <c:numFmt formatCode="General" sourceLinked="1"/>
        <c:majorTickMark val="none"/>
        <c:minorTickMark val="none"/>
        <c:tickLblPos val="nextTo"/>
        <c:spPr>
          <a:noFill/>
          <a:ln w="12700" cap="flat" cmpd="sng" algn="ctr">
            <a:noFill/>
            <a:prstDash val="solid"/>
            <a:round/>
          </a:ln>
          <a:effectLst/>
        </c:spPr>
        <c:txPr>
          <a:bodyPr rot="-6000000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547450395"/>
        <c:crosses val="autoZero"/>
        <c:crossBetween val="between"/>
      </c:valAx>
      <c:catAx>
        <c:axId val="270532958"/>
        <c:scaling>
          <c:orientation val="minMax"/>
        </c:scaling>
        <c:delete val="1"/>
        <c:axPos val="b"/>
        <c:majorTickMark val="out"/>
        <c:minorTickMark val="none"/>
        <c:tickLblPos val="nextTo"/>
        <c:txPr>
          <a:bodyPr rot="-6000000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783881583"/>
        <c:crosses val="autoZero"/>
        <c:auto val="1"/>
        <c:lblAlgn val="ctr"/>
        <c:lblOffset val="100"/>
        <c:noMultiLvlLbl val="0"/>
      </c:catAx>
      <c:valAx>
        <c:axId val="783881583"/>
        <c:scaling>
          <c:orientation val="minMax"/>
        </c:scaling>
        <c:delete val="0"/>
        <c:axPos val="r"/>
        <c:title>
          <c:tx>
            <c:rich>
              <a:bodyPr rot="-5400000" spcFirstLastPara="0" vertOverflow="ellipsis" vert="horz" wrap="square" anchor="ctr" anchorCtr="1"/>
              <a:lstStyle/>
              <a:p>
                <a:pPr defTabSz="914400">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altLang="en-US" b="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销售量（元）</a:t>
                </a:r>
                <a:endParaRPr lang="en-US" altLang="zh-CN" b="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layout/>
          <c:overlay val="0"/>
          <c:spPr>
            <a:noFill/>
            <a:ln>
              <a:noFill/>
            </a:ln>
            <a:effectLst/>
          </c:spPr>
        </c:title>
        <c:numFmt formatCode="General" sourceLinked="1"/>
        <c:majorTickMark val="out"/>
        <c:minorTickMark val="none"/>
        <c:tickLblPos val="nextTo"/>
        <c:spPr>
          <a:noFill/>
          <a:ln w="12700" cap="flat" cmpd="sng" algn="ctr">
            <a:noFill/>
            <a:prstDash val="solid"/>
            <a:round/>
          </a:ln>
          <a:effectLst/>
        </c:spPr>
        <c:txPr>
          <a:bodyPr rot="-6000000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270532958"/>
        <c:crosses val="max"/>
        <c:crossBetween val="between"/>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1"/>
        <c:txPr>
          <a:bodyPr rot="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ayout>
        <c:manualLayout>
          <c:xMode val="edge"/>
          <c:yMode val="edge"/>
          <c:x val="0.355377248608774"/>
          <c:y val="0.781818181818182"/>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708124fe-d34c-409a-bda2-a311e6317055}"/>
      </c:ext>
    </c:extLst>
  </c:chart>
  <c:spPr>
    <a:noFill/>
    <a:ln w="9525" cap="flat" cmpd="sng" algn="ctr">
      <a:noFill/>
      <a:prstDash val="solid"/>
      <a:round/>
    </a:ln>
    <a:effectLst/>
  </c:spPr>
  <c:txPr>
    <a:bodyPr/>
    <a:lstStyle/>
    <a:p>
      <a:pPr>
        <a:defRPr lang="zh-CN" b="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总成本趋势</c:v>
                </c:pt>
              </c:strCache>
            </c:strRef>
          </c:tx>
          <c:spPr>
            <a:solidFill>
              <a:schemeClr val="accent6"/>
            </a:solidFill>
            <a:ln>
              <a:noFill/>
            </a:ln>
            <a:effectLst/>
          </c:spPr>
          <c:invertIfNegative val="0"/>
          <c:dLbls>
            <c:delete val="1"/>
          </c:dLbls>
          <c:cat>
            <c:strRef>
              <c:f>Sheet1!$A$2:$A$6</c:f>
              <c:strCache>
                <c:ptCount val="5"/>
                <c:pt idx="0">
                  <c:v>2026年</c:v>
                </c:pt>
                <c:pt idx="1">
                  <c:v>2027年</c:v>
                </c:pt>
                <c:pt idx="2">
                  <c:v>2028年</c:v>
                </c:pt>
                <c:pt idx="3">
                  <c:v>2029年</c:v>
                </c:pt>
                <c:pt idx="4">
                  <c:v>2030年</c:v>
                </c:pt>
              </c:strCache>
            </c:strRef>
          </c:cat>
          <c:val>
            <c:numRef>
              <c:f>Sheet1!$B$2:$B$6</c:f>
              <c:numCache>
                <c:formatCode>#,##0</c:formatCode>
                <c:ptCount val="5"/>
                <c:pt idx="0">
                  <c:v>168</c:v>
                </c:pt>
                <c:pt idx="1">
                  <c:v>202</c:v>
                </c:pt>
                <c:pt idx="2">
                  <c:v>253</c:v>
                </c:pt>
                <c:pt idx="3">
                  <c:v>328</c:v>
                </c:pt>
                <c:pt idx="4">
                  <c:v>443</c:v>
                </c:pt>
              </c:numCache>
            </c:numRef>
          </c:val>
        </c:ser>
        <c:ser>
          <c:idx val="1"/>
          <c:order val="1"/>
          <c:tx>
            <c:strRef>
              <c:f>Sheet1!$C$1</c:f>
              <c:strCache>
                <c:ptCount val="1"/>
                <c:pt idx="0">
                  <c:v>系列 2</c:v>
                </c:pt>
              </c:strCache>
            </c:strRef>
          </c:tx>
          <c:spPr>
            <a:solidFill>
              <a:schemeClr val="accent5"/>
            </a:solidFill>
            <a:ln>
              <a:noFill/>
            </a:ln>
            <a:effectLst/>
          </c:spPr>
          <c:invertIfNegative val="0"/>
          <c:dLbls>
            <c:delete val="1"/>
          </c:dLbls>
          <c:cat>
            <c:strRef>
              <c:f>Sheet1!$A$2:$A$6</c:f>
              <c:strCache>
                <c:ptCount val="5"/>
                <c:pt idx="0">
                  <c:v>2026年</c:v>
                </c:pt>
                <c:pt idx="1">
                  <c:v>2027年</c:v>
                </c:pt>
                <c:pt idx="2">
                  <c:v>2028年</c:v>
                </c:pt>
                <c:pt idx="3">
                  <c:v>2029年</c:v>
                </c:pt>
                <c:pt idx="4">
                  <c:v>2030年</c:v>
                </c:pt>
              </c:strCache>
            </c:strRef>
          </c:cat>
          <c:val>
            <c:numRef>
              <c:f>Sheet1!$C$2:$C$6</c:f>
              <c:numCache>
                <c:formatCode>General</c:formatCode>
                <c:ptCount val="5"/>
                <c:pt idx="0">
                  <c:v>2.4</c:v>
                </c:pt>
                <c:pt idx="1">
                  <c:v>4.4</c:v>
                </c:pt>
                <c:pt idx="2">
                  <c:v>1.8</c:v>
                </c:pt>
                <c:pt idx="3">
                  <c:v>2.8</c:v>
                </c:pt>
              </c:numCache>
            </c:numRef>
          </c:val>
        </c:ser>
        <c:dLbls>
          <c:showLegendKey val="0"/>
          <c:showVal val="0"/>
          <c:showCatName val="0"/>
          <c:showSerName val="0"/>
          <c:showPercent val="0"/>
          <c:showBubbleSize val="0"/>
        </c:dLbls>
        <c:gapWidth val="219"/>
        <c:overlap val="-27"/>
        <c:axId val="742042581"/>
        <c:axId val="379586323"/>
      </c:barChart>
      <c:lineChart>
        <c:grouping val="standard"/>
        <c:varyColors val="0"/>
        <c:ser>
          <c:idx val="2"/>
          <c:order val="2"/>
          <c:tx>
            <c:strRef>
              <c:f>Sheet1!$D$1</c:f>
              <c:strCache>
                <c:ptCount val="1"/>
                <c:pt idx="0">
                  <c:v>销售量</c:v>
                </c:pt>
              </c:strCache>
            </c:strRef>
          </c:tx>
          <c:spPr>
            <a:ln w="28575" cap="rnd">
              <a:solidFill>
                <a:schemeClr val="accent4"/>
              </a:solidFill>
              <a:round/>
            </a:ln>
            <a:effectLst/>
          </c:spPr>
          <c:marker>
            <c:symbol val="none"/>
          </c:marker>
          <c:dLbls>
            <c:delete val="1"/>
          </c:dLbls>
          <c:cat>
            <c:strRef>
              <c:f>Sheet1!$A$2:$A$6</c:f>
              <c:strCache>
                <c:ptCount val="5"/>
                <c:pt idx="0">
                  <c:v>2026年</c:v>
                </c:pt>
                <c:pt idx="1">
                  <c:v>2027年</c:v>
                </c:pt>
                <c:pt idx="2">
                  <c:v>2028年</c:v>
                </c:pt>
                <c:pt idx="3">
                  <c:v>2029年</c:v>
                </c:pt>
                <c:pt idx="4">
                  <c:v>2030年</c:v>
                </c:pt>
              </c:strCache>
            </c:strRef>
          </c:cat>
          <c:val>
            <c:numRef>
              <c:f>Sheet1!$D$2:$D$6</c:f>
              <c:numCache>
                <c:formatCode>General</c:formatCode>
                <c:ptCount val="5"/>
                <c:pt idx="0">
                  <c:v>4800</c:v>
                </c:pt>
                <c:pt idx="1">
                  <c:v>5760</c:v>
                </c:pt>
                <c:pt idx="2">
                  <c:v>7216</c:v>
                </c:pt>
                <c:pt idx="3">
                  <c:v>9380</c:v>
                </c:pt>
                <c:pt idx="4">
                  <c:v>12663</c:v>
                </c:pt>
              </c:numCache>
            </c:numRef>
          </c:val>
          <c:smooth val="0"/>
        </c:ser>
        <c:dLbls>
          <c:showLegendKey val="0"/>
          <c:showVal val="0"/>
          <c:showCatName val="0"/>
          <c:showSerName val="0"/>
          <c:showPercent val="0"/>
          <c:showBubbleSize val="0"/>
        </c:dLbls>
        <c:marker val="0"/>
        <c:smooth val="0"/>
        <c:axId val="679037721"/>
        <c:axId val="591755689"/>
      </c:lineChart>
      <c:catAx>
        <c:axId val="742042581"/>
        <c:scaling>
          <c:orientation val="minMax"/>
        </c:scaling>
        <c:delete val="0"/>
        <c:axPos val="b"/>
        <c:title>
          <c:layout/>
          <c:overlay val="0"/>
          <c:spPr>
            <a:noFill/>
            <a:ln>
              <a:noFill/>
            </a:ln>
            <a:effectLst/>
          </c:spPr>
          <c:txPr>
            <a:bodyPr rot="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title>
        <c:majorTickMark val="none"/>
        <c:minorTickMark val="none"/>
        <c:tickLblPos val="nextTo"/>
        <c:spPr>
          <a:noFill/>
          <a:ln w="9525">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379586323"/>
        <c:crosses val="autoZero"/>
        <c:auto val="1"/>
        <c:lblAlgn val="ctr"/>
        <c:lblOffset val="100"/>
        <c:noMultiLvlLbl val="0"/>
      </c:catAx>
      <c:valAx>
        <c:axId val="379586323"/>
        <c:scaling>
          <c:orientation val="minMax"/>
        </c:scaling>
        <c:delete val="0"/>
        <c:axPos val="l"/>
        <c:majorGridlines>
          <c:spPr>
            <a:ln w="9525">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b="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总成本（万元）</a:t>
                </a:r>
                <a:endParaRPr b="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layout/>
          <c:overlay val="0"/>
          <c:spPr>
            <a:noFill/>
            <a:ln>
              <a:noFill/>
            </a:ln>
            <a:effectLst/>
          </c:spPr>
        </c:title>
        <c:numFmt formatCode="#,##0"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742042581"/>
        <c:crosses val="autoZero"/>
        <c:crossBetween val="between"/>
      </c:valAx>
      <c:catAx>
        <c:axId val="679037721"/>
        <c:scaling>
          <c:orientation val="minMax"/>
        </c:scaling>
        <c:delete val="1"/>
        <c:axPos val="b"/>
        <c:majorTickMark val="out"/>
        <c:minorTickMark val="none"/>
        <c:tickLblPos val="nextTo"/>
        <c:txPr>
          <a:bodyPr rot="-6000000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591755689"/>
        <c:crosses val="autoZero"/>
        <c:auto val="1"/>
        <c:lblAlgn val="ctr"/>
        <c:lblOffset val="100"/>
        <c:noMultiLvlLbl val="0"/>
      </c:catAx>
      <c:valAx>
        <c:axId val="591755689"/>
        <c:scaling>
          <c:orientation val="minMax"/>
        </c:scaling>
        <c:delete val="0"/>
        <c:axPos val="r"/>
        <c:title>
          <c:tx>
            <c:rich>
              <a:bodyPr rot="-5400000" spcFirstLastPara="0" vertOverflow="ellipsis" vert="horz" wrap="square" anchor="ctr" anchorCtr="1"/>
              <a:lstStyle/>
              <a:p>
                <a:pPr defTabSz="914400">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b="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销售量（元）</a:t>
                </a:r>
                <a:endParaRPr b="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layout/>
          <c:overlay val="0"/>
          <c:spPr>
            <a:noFill/>
            <a:ln>
              <a:noFill/>
            </a:ln>
            <a:effectLst/>
          </c:spPr>
        </c:title>
        <c:numFmt formatCode="General" sourceLinked="1"/>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679037721"/>
        <c:crosses val="max"/>
        <c:crossBetween val="between"/>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1"/>
        <c:delete val="1"/>
      </c:legendEntry>
      <c:legendEntry>
        <c:idx val="2"/>
        <c:txPr>
          <a:bodyPr rot="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ayout/>
      <c:overlay val="0"/>
      <c:spPr>
        <a:noFill/>
        <a:ln>
          <a:noFill/>
        </a:ln>
        <a:effectLst/>
      </c:spPr>
      <c:txPr>
        <a:bodyPr rot="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574049b7-11cd-430d-b335-6ed2ea06e4bd}"/>
      </c:ext>
    </c:extLst>
  </c:chart>
  <c:spPr>
    <a:noFill/>
    <a:ln w="9525">
      <a:noFill/>
      <a:round/>
    </a:ln>
    <a:effectLst/>
  </c:spPr>
  <c:txPr>
    <a:bodyPr/>
    <a:lstStyle/>
    <a:p>
      <a:pPr>
        <a:defRPr lang="zh-CN" b="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a:solidFill>
          <a:schemeClr val="tx1">
            <a:lumMod val="35000"/>
            <a:lumOff val="65000"/>
          </a:schemeClr>
        </a:solidFill>
        <a:round/>
      </a:ln>
    </cs:spPr>
  </cs:dropLine>
  <cs:errorBar>
    <cs:lnRef idx="0"/>
    <cs:fillRef idx="0"/>
    <cs:effectRef idx="0"/>
    <cs:fontRef idx="minor">
      <a:schemeClr val="tx1"/>
    </cs:fontRef>
    <cs:spPr>
      <a:ln w="9525">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a:solidFill>
          <a:schemeClr val="tx1">
            <a:lumMod val="15000"/>
            <a:lumOff val="85000"/>
          </a:schemeClr>
        </a:solidFill>
        <a:round/>
      </a:ln>
    </cs:spPr>
  </cs:gridlineMajor>
  <cs:gridlineMinor>
    <cs:lnRef idx="0"/>
    <cs:fillRef idx="0"/>
    <cs:effectRef idx="0"/>
    <cs:fontRef idx="minor">
      <a:schemeClr val="tx1"/>
    </cs:fontRef>
    <cs:spPr>
      <a:ln w="9525">
        <a:solidFill>
          <a:schemeClr val="tx1">
            <a:lumMod val="5000"/>
            <a:lumOff val="95000"/>
          </a:schemeClr>
        </a:solidFill>
        <a:round/>
      </a:ln>
    </cs:spPr>
  </cs:gridlineMinor>
  <cs:hiLoLine>
    <cs:lnRef idx="0"/>
    <cs:fillRef idx="0"/>
    <cs:effectRef idx="0"/>
    <cs:fontRef idx="minor">
      <a:schemeClr val="tx1"/>
    </cs:fontRef>
    <cs:spPr>
      <a:ln w="9525">
        <a:solidFill>
          <a:schemeClr val="tx1">
            <a:lumMod val="75000"/>
            <a:lumOff val="25000"/>
          </a:schemeClr>
        </a:solidFill>
        <a:round/>
      </a:ln>
    </cs:spPr>
  </cs:hiLoLine>
  <cs:leaderLine>
    <cs:lnRef idx="0"/>
    <cs:fillRef idx="0"/>
    <cs:effectRef idx="0"/>
    <cs:fontRef idx="minor">
      <a:schemeClr val="tx1"/>
    </cs:fontRef>
    <cs:spPr>
      <a:ln w="9525">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a:solidFill>
          <a:schemeClr val="tx1">
            <a:lumMod val="35000"/>
            <a:lumOff val="65000"/>
          </a:schemeClr>
        </a:solidFill>
        <a:round/>
      </a:ln>
    </cs:spPr>
  </cs:dropLine>
  <cs:errorBar>
    <cs:lnRef idx="0"/>
    <cs:fillRef idx="0"/>
    <cs:effectRef idx="0"/>
    <cs:fontRef idx="minor">
      <a:schemeClr val="tx1"/>
    </cs:fontRef>
    <cs:spPr>
      <a:ln w="9525">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a:solidFill>
          <a:schemeClr val="tx1">
            <a:lumMod val="15000"/>
            <a:lumOff val="85000"/>
          </a:schemeClr>
        </a:solidFill>
        <a:round/>
      </a:ln>
    </cs:spPr>
  </cs:gridlineMajor>
  <cs:gridlineMinor>
    <cs:lnRef idx="0"/>
    <cs:fillRef idx="0"/>
    <cs:effectRef idx="0"/>
    <cs:fontRef idx="minor">
      <a:schemeClr val="tx1"/>
    </cs:fontRef>
    <cs:spPr>
      <a:ln w="9525">
        <a:solidFill>
          <a:schemeClr val="tx1">
            <a:lumMod val="5000"/>
            <a:lumOff val="95000"/>
          </a:schemeClr>
        </a:solidFill>
        <a:round/>
      </a:ln>
    </cs:spPr>
  </cs:gridlineMinor>
  <cs:hiLoLine>
    <cs:lnRef idx="0"/>
    <cs:fillRef idx="0"/>
    <cs:effectRef idx="0"/>
    <cs:fontRef idx="minor">
      <a:schemeClr val="tx1"/>
    </cs:fontRef>
    <cs:spPr>
      <a:ln w="9525">
        <a:solidFill>
          <a:schemeClr val="tx1">
            <a:lumMod val="75000"/>
            <a:lumOff val="25000"/>
          </a:schemeClr>
        </a:solidFill>
        <a:round/>
      </a:ln>
    </cs:spPr>
  </cs:hiLoLine>
  <cs:leaderLine>
    <cs:lnRef idx="0"/>
    <cs:fillRef idx="0"/>
    <cs:effectRef idx="0"/>
    <cs:fontRef idx="minor">
      <a:schemeClr val="tx1"/>
    </cs:fontRef>
    <cs:spPr>
      <a:ln w="9525">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a:solidFill>
          <a:schemeClr val="tx1">
            <a:lumMod val="35000"/>
            <a:lumOff val="65000"/>
          </a:schemeClr>
        </a:solidFill>
        <a:round/>
      </a:ln>
    </cs:spPr>
  </cs:dropLine>
  <cs:errorBar>
    <cs:lnRef idx="0"/>
    <cs:fillRef idx="0"/>
    <cs:effectRef idx="0"/>
    <cs:fontRef idx="minor">
      <a:schemeClr val="tx1"/>
    </cs:fontRef>
    <cs:spPr>
      <a:ln w="9525">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a:solidFill>
          <a:schemeClr val="tx1">
            <a:lumMod val="15000"/>
            <a:lumOff val="85000"/>
          </a:schemeClr>
        </a:solidFill>
        <a:round/>
      </a:ln>
    </cs:spPr>
  </cs:gridlineMajor>
  <cs:gridlineMinor>
    <cs:lnRef idx="0"/>
    <cs:fillRef idx="0"/>
    <cs:effectRef idx="0"/>
    <cs:fontRef idx="minor">
      <a:schemeClr val="tx1"/>
    </cs:fontRef>
    <cs:spPr>
      <a:ln w="9525">
        <a:solidFill>
          <a:schemeClr val="tx1">
            <a:lumMod val="5000"/>
            <a:lumOff val="95000"/>
          </a:schemeClr>
        </a:solidFill>
        <a:round/>
      </a:ln>
    </cs:spPr>
  </cs:gridlineMinor>
  <cs:hiLoLine>
    <cs:lnRef idx="0"/>
    <cs:fillRef idx="0"/>
    <cs:effectRef idx="0"/>
    <cs:fontRef idx="minor">
      <a:schemeClr val="tx1"/>
    </cs:fontRef>
    <cs:spPr>
      <a:ln w="9525">
        <a:solidFill>
          <a:schemeClr val="tx1">
            <a:lumMod val="75000"/>
            <a:lumOff val="25000"/>
          </a:schemeClr>
        </a:solidFill>
        <a:round/>
      </a:ln>
    </cs:spPr>
  </cs:hiLoLine>
  <cs:leaderLine>
    <cs:lnRef idx="0"/>
    <cs:fillRef idx="0"/>
    <cs:effectRef idx="0"/>
    <cs:fontRef idx="minor">
      <a:schemeClr val="tx1"/>
    </cs:fontRef>
    <cs:spPr>
      <a:ln w="9525">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a:solidFill>
          <a:schemeClr val="tx1">
            <a:lumMod val="65000"/>
            <a:lumOff val="35000"/>
          </a:schemeClr>
        </a:solidFill>
        <a:round/>
      </a:ln>
    </cs:spPr>
  </cs:downBar>
  <cs:dropLine>
    <cs:lnRef idx="0"/>
    <cs:fillRef idx="0"/>
    <cs:effectRef idx="0"/>
    <cs:fontRef idx="minor">
      <a:schemeClr val="tx1"/>
    </cs:fontRef>
    <cs:spPr>
      <a:ln w="9525">
        <a:solidFill>
          <a:schemeClr val="tx1">
            <a:lumMod val="35000"/>
            <a:lumOff val="65000"/>
          </a:schemeClr>
        </a:solidFill>
        <a:round/>
      </a:ln>
    </cs:spPr>
  </cs:dropLine>
  <cs:errorBar>
    <cs:lnRef idx="0"/>
    <cs:fillRef idx="0"/>
    <cs:effectRef idx="0"/>
    <cs:fontRef idx="minor">
      <a:schemeClr val="tx1"/>
    </cs:fontRef>
    <cs:spPr>
      <a:ln w="9525">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a:solidFill>
          <a:schemeClr val="tx1">
            <a:lumMod val="15000"/>
            <a:lumOff val="85000"/>
          </a:schemeClr>
        </a:solidFill>
        <a:round/>
      </a:ln>
    </cs:spPr>
  </cs:gridlineMajor>
  <cs:gridlineMinor>
    <cs:lnRef idx="0"/>
    <cs:fillRef idx="0"/>
    <cs:effectRef idx="0"/>
    <cs:fontRef idx="minor">
      <a:schemeClr val="tx1"/>
    </cs:fontRef>
    <cs:spPr>
      <a:ln w="9525">
        <a:solidFill>
          <a:schemeClr val="tx1">
            <a:lumMod val="5000"/>
            <a:lumOff val="95000"/>
          </a:schemeClr>
        </a:solidFill>
        <a:round/>
      </a:ln>
    </cs:spPr>
  </cs:gridlineMinor>
  <cs:hiLoLine>
    <cs:lnRef idx="0"/>
    <cs:fillRef idx="0"/>
    <cs:effectRef idx="0"/>
    <cs:fontRef idx="minor">
      <a:schemeClr val="tx1"/>
    </cs:fontRef>
    <cs:spPr>
      <a:ln w="9525">
        <a:solidFill>
          <a:schemeClr val="tx1">
            <a:lumMod val="50000"/>
            <a:lumOff val="50000"/>
          </a:schemeClr>
        </a:solidFill>
        <a:round/>
      </a:ln>
    </cs:spPr>
  </cs:hiLoLine>
  <cs:leaderLine>
    <cs:lnRef idx="0"/>
    <cs:fillRef idx="0"/>
    <cs:effectRef idx="0"/>
    <cs:fontRef idx="minor">
      <a:schemeClr val="tx1"/>
    </cs:fontRef>
    <cs:spPr>
      <a:ln w="9525">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10093">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900" kern="1200"/>
  </cs:chartArea>
  <cs:dataLabel>
    <cs:lnRef idx="0"/>
    <cs:fillRef idx="0"/>
    <cs:effectRef idx="0"/>
    <cs:fontRef idx="minor">
      <cs:styleClr val="auto"/>
    </cs:fontRef>
    <cs:defRPr sz="1000" b="1" i="0" u="none" strike="noStrike" kern="1200" spc="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styleClr val="auto"/>
    </cs:lnRef>
    <cs:fillRef idx="1">
      <cs:styleClr val="auto"/>
    </cs:fillRef>
    <cs:effectRef idx="0"/>
    <cs:fontRef idx="minor">
      <a:schemeClr val="dk1"/>
    </cs:fontRef>
    <cs:spPr>
      <a:ln>
        <a:solidFill>
          <a:schemeClr val="bg1"/>
        </a:solidFill>
      </a:ln>
      <a:effectLst/>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a:solidFill>
          <a:schemeClr val="tx1">
            <a:lumMod val="65000"/>
            <a:lumOff val="35000"/>
          </a:schemeClr>
        </a:solidFill>
        <a:round/>
      </a:ln>
    </cs:spPr>
  </cs:downBar>
  <cs:dropLine>
    <cs:lnRef idx="0"/>
    <cs:fillRef idx="0"/>
    <cs:effectRef idx="0"/>
    <cs:fontRef idx="minor">
      <a:schemeClr val="tx1"/>
    </cs:fontRef>
    <cs:spPr>
      <a:ln w="9525">
        <a:solidFill>
          <a:schemeClr val="tx1">
            <a:lumMod val="35000"/>
            <a:lumOff val="65000"/>
          </a:schemeClr>
        </a:solidFill>
        <a:round/>
      </a:ln>
    </cs:spPr>
  </cs:dropLine>
  <cs:errorBar>
    <cs:lnRef idx="0"/>
    <cs:fillRef idx="0"/>
    <cs:effectRef idx="0"/>
    <cs:fontRef idx="minor">
      <a:schemeClr val="tx1"/>
    </cs:fontRef>
    <cs:spPr>
      <a:ln w="9525">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a:solidFill>
          <a:schemeClr val="lt1">
            <a:lumMod val="90200"/>
          </a:schemeClr>
        </a:solidFill>
        <a:round/>
      </a:ln>
    </cs:spPr>
  </cs:gridlineMajor>
  <cs:gridlineMinor>
    <cs:lnRef idx="0"/>
    <cs:fillRef idx="0"/>
    <cs:effectRef idx="0"/>
    <cs:fontRef idx="minor">
      <a:schemeClr val="tx1"/>
    </cs:fontRef>
    <cs:spPr>
      <a:ln w="9525">
        <a:solidFill>
          <a:schemeClr val="tx1">
            <a:lumMod val="5000"/>
            <a:lumOff val="95000"/>
          </a:schemeClr>
        </a:solidFill>
        <a:round/>
      </a:ln>
    </cs:spPr>
  </cs:gridlineMinor>
  <cs:hiLoLine>
    <cs:lnRef idx="0"/>
    <cs:fillRef idx="0"/>
    <cs:effectRef idx="0"/>
    <cs:fontRef idx="minor">
      <a:schemeClr val="tx1"/>
    </cs:fontRef>
    <cs:spPr>
      <a:ln w="9525">
        <a:solidFill>
          <a:schemeClr val="tx1">
            <a:lumMod val="50000"/>
            <a:lumOff val="50000"/>
          </a:schemeClr>
        </a:solidFill>
        <a:round/>
      </a:ln>
    </cs:spPr>
  </cs:hiLoLine>
  <cs:leaderLine>
    <cs:lnRef idx="0"/>
    <cs:fillRef idx="0"/>
    <cs:effectRef idx="0"/>
    <cs:fontRef idx="minor">
      <a:schemeClr val="tx1"/>
    </cs:fontRef>
    <cs:spPr>
      <a:ln w="9525">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a:solidFill>
          <a:schemeClr val="tx1">
            <a:lumMod val="65000"/>
            <a:lumOff val="35000"/>
          </a:schemeClr>
        </a:solidFill>
        <a:round/>
      </a:ln>
    </cs:spPr>
  </cs:downBar>
  <cs:dropLine>
    <cs:lnRef idx="0"/>
    <cs:fillRef idx="0"/>
    <cs:effectRef idx="0"/>
    <cs:fontRef idx="minor">
      <a:schemeClr val="tx1"/>
    </cs:fontRef>
    <cs:spPr>
      <a:ln w="9525">
        <a:solidFill>
          <a:schemeClr val="tx1">
            <a:lumMod val="35000"/>
            <a:lumOff val="65000"/>
          </a:schemeClr>
        </a:solidFill>
        <a:round/>
      </a:ln>
    </cs:spPr>
  </cs:dropLine>
  <cs:errorBar>
    <cs:lnRef idx="0"/>
    <cs:fillRef idx="0"/>
    <cs:effectRef idx="0"/>
    <cs:fontRef idx="minor">
      <a:schemeClr val="tx1"/>
    </cs:fontRef>
    <cs:spPr>
      <a:ln w="9525">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a:solidFill>
          <a:schemeClr val="lt1">
            <a:lumMod val="90200"/>
          </a:schemeClr>
        </a:solidFill>
        <a:round/>
      </a:ln>
    </cs:spPr>
  </cs:gridlineMajor>
  <cs:gridlineMinor>
    <cs:lnRef idx="0"/>
    <cs:fillRef idx="0"/>
    <cs:effectRef idx="0"/>
    <cs:fontRef idx="minor">
      <a:schemeClr val="tx1"/>
    </cs:fontRef>
    <cs:spPr>
      <a:ln w="9525">
        <a:solidFill>
          <a:schemeClr val="tx1">
            <a:lumMod val="5000"/>
            <a:lumOff val="95000"/>
          </a:schemeClr>
        </a:solidFill>
        <a:round/>
      </a:ln>
    </cs:spPr>
  </cs:gridlineMinor>
  <cs:hiLoLine>
    <cs:lnRef idx="0"/>
    <cs:fillRef idx="0"/>
    <cs:effectRef idx="0"/>
    <cs:fontRef idx="minor">
      <a:schemeClr val="tx1"/>
    </cs:fontRef>
    <cs:spPr>
      <a:ln w="9525">
        <a:solidFill>
          <a:schemeClr val="tx1">
            <a:lumMod val="75000"/>
            <a:lumOff val="25000"/>
          </a:schemeClr>
        </a:solidFill>
        <a:round/>
      </a:ln>
    </cs:spPr>
  </cs:hiLoLine>
  <cs:leaderLine>
    <cs:lnRef idx="0"/>
    <cs:fillRef idx="0"/>
    <cs:effectRef idx="0"/>
    <cs:fontRef idx="minor">
      <a:schemeClr val="tx1"/>
    </cs:fontRef>
    <cs:spPr>
      <a:ln w="9525">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a:solidFill>
          <a:schemeClr val="tx1">
            <a:lumMod val="15000"/>
            <a:lumOff val="85000"/>
          </a:schemeClr>
        </a:solidFill>
        <a:round/>
      </a:ln>
    </cs:spPr>
    <cs:defRPr sz="900" kern="1200"/>
  </cs:seriesAxis>
  <cs:seriesLine>
    <cs:lnRef idx="0"/>
    <cs:fillRef idx="0"/>
    <cs:effectRef idx="0"/>
    <cs:fontRef idx="minor">
      <a:schemeClr val="tx1"/>
    </cs:fontRef>
    <cs:spPr>
      <a:ln w="9525">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extobjs>
    <extobj name="E657119C-6982-421D-8BA7-E74DEB70A7DA-1">
      <extobjdata type="E657119C-6982-421D-8BA7-E74DEB70A7DA" data="ewoJIkxhdGV4U3RyIiA6ICLPtXt7fV97ZH19PVxcZnJhY3tkUXt7fV97ZH19L1F7e31fe2R9fX17ZFAvUH0iCn0K"/>
    </extobj>
    <extobj name="E657119C-6982-421D-8BA7-E74DEB70A7DA-2">
      <extobjdata type="E657119C-6982-421D-8BA7-E74DEB70A7DA" data="ewoJIkxhdGV4U3RyIiA6ICJcXHN1bV97dD0wfV57bn17XFxmcmFje3t7Q31fe3R9fX17e3soMStpcnIpfV57dH19fX0iCn0K"/>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81FD4A-7FDE-4913-9A39-F8F465F84D99}">
  <ds:schemaRefs/>
</ds:datastoreItem>
</file>

<file path=docProps/app.xml><?xml version="1.0" encoding="utf-8"?>
<Properties xmlns="http://schemas.openxmlformats.org/officeDocument/2006/extended-properties" xmlns:vt="http://schemas.openxmlformats.org/officeDocument/2006/docPropsVTypes">
  <Template>Normal.dotm</Template>
  <Pages>146</Pages>
  <Words>472</Words>
  <Characters>609</Characters>
  <Lines>0</Lines>
  <Paragraphs>329</Paragraphs>
  <TotalTime>6</TotalTime>
  <ScaleCrop>false</ScaleCrop>
  <LinksUpToDate>false</LinksUpToDate>
  <CharactersWithSpaces>787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2018-05-25T16:08:00Z</dcterms:created>
  <dc:creator>Kui-Xiao</dc:creator>
  <cp:lastModifiedBy>壤鞠俸饺稍</cp:lastModifiedBy>
  <cp:lastPrinted>2017-12-15T01:54:00Z</cp:lastPrinted>
  <dcterms:modified xsi:type="dcterms:W3CDTF">2025-07-12T04:06:32Z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4380D454347840A69AD21C072B6D16AC_13</vt:lpwstr>
  </property>
  <property fmtid="{D5CDD505-2E9C-101B-9397-08002B2CF9AE}" pid="3" name="KSOProductBuildVer">
    <vt:lpwstr>2052-12.1.0.21915</vt:lpwstr>
  </property>
  <property fmtid="{D5CDD505-2E9C-101B-9397-08002B2CF9AE}" pid="4" name="KSOSaveFontToCloudKey">
    <vt:lpwstr>274693833_btnclosed</vt:lpwstr>
  </property>
  <property fmtid="{D5CDD505-2E9C-101B-9397-08002B2CF9AE}" pid="5" name="KSOTemplateDocerSaveRecord">
    <vt:lpwstr>eyJoZGlkIjoiYTMzZjZiZjk4NDVhOTAzYTY2M2ZhOGEyZmIzZTdkYmMiLCJ1c2VySWQiOiIxNzA1MzMyOTcyIn0=</vt:lpwstr>
  </property>
</Properties>
</file>