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D7BBC">
      <w:pPr>
        <w:spacing w:before="2496" w:beforeLines="800" w:after="1248" w:afterLines="400" w:line="276" w:lineRule="auto"/>
        <w:jc w:val="center"/>
        <w:rPr>
          <w:rFonts w:ascii="Arial" w:hAnsi="Arial" w:cs="Arial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b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AutoRoute</w:t>
      </w:r>
      <w:r>
        <w:rPr>
          <w:rFonts w:hint="eastAsia" w:ascii="Arial" w:hAnsi="Arial" w:cs="Arial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使用说明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4520"/>
      </w:tblGrid>
      <w:tr w14:paraId="3CF3B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F50A0AF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模块名称:</w:t>
            </w:r>
          </w:p>
        </w:tc>
        <w:tc>
          <w:tcPr>
            <w:tcW w:w="452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bottom"/>
          </w:tcPr>
          <w:p w14:paraId="733114B1">
            <w:pPr>
              <w:spacing w:before="156" w:after="156" w:line="276" w:lineRule="auto"/>
              <w:rPr>
                <w:rFonts w:hint="default" w:ascii="Arial" w:hAnsi="Arial" w:eastAsia="宋体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AutoRoute</w:t>
            </w:r>
          </w:p>
        </w:tc>
      </w:tr>
      <w:tr w14:paraId="6BD60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BBB95ED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版    本:</w:t>
            </w:r>
          </w:p>
        </w:tc>
        <w:tc>
          <w:tcPr>
            <w:tcW w:w="4520" w:type="dxa"/>
            <w:tcBorders>
              <w:left w:val="single" w:color="auto" w:sz="4" w:space="0"/>
              <w:right w:val="single" w:color="auto" w:sz="4" w:space="0"/>
            </w:tcBorders>
            <w:vAlign w:val="bottom"/>
          </w:tcPr>
          <w:p w14:paraId="1673998A">
            <w:pPr>
              <w:spacing w:before="156" w:after="156" w:line="276" w:lineRule="auto"/>
              <w:rPr>
                <w:rFonts w:hint="default" w:ascii="Arial" w:hAnsi="Arial" w:eastAsia="宋体" w:cs="Arial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Arial" w:hAnsi="Arial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</w:t>
            </w:r>
          </w:p>
        </w:tc>
      </w:tr>
      <w:tr w14:paraId="7A5A8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BF4FE3E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完成日期:</w:t>
            </w:r>
          </w:p>
        </w:tc>
        <w:tc>
          <w:tcPr>
            <w:tcW w:w="4520" w:type="dxa"/>
            <w:tcBorders>
              <w:left w:val="single" w:color="auto" w:sz="4" w:space="0"/>
              <w:right w:val="single" w:color="auto" w:sz="4" w:space="0"/>
            </w:tcBorders>
            <w:vAlign w:val="bottom"/>
          </w:tcPr>
          <w:p w14:paraId="50CA4233">
            <w:pPr>
              <w:spacing w:before="156" w:after="156" w:line="276" w:lineRule="auto"/>
              <w:rPr>
                <w:rFonts w:hint="default" w:ascii="Arial" w:hAnsi="Arial" w:eastAsia="宋体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02</w:t>
            </w:r>
            <w:r>
              <w:rPr>
                <w:rFonts w:hint="eastAsia" w:ascii="Arial" w:hAnsi="Arial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6.1.6</w:t>
            </w:r>
          </w:p>
        </w:tc>
      </w:tr>
      <w:tr w14:paraId="57C0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E3E037F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作    者:</w:t>
            </w:r>
          </w:p>
        </w:tc>
        <w:tc>
          <w:tcPr>
            <w:tcW w:w="4520" w:type="dxa"/>
            <w:tcBorders>
              <w:left w:val="single" w:color="auto" w:sz="4" w:space="0"/>
              <w:right w:val="single" w:color="auto" w:sz="4" w:space="0"/>
            </w:tcBorders>
            <w:vAlign w:val="bottom"/>
          </w:tcPr>
          <w:p w14:paraId="2C190ACF">
            <w:pPr>
              <w:spacing w:before="156" w:after="156" w:line="276" w:lineRule="auto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谷沼桥</w:t>
            </w:r>
          </w:p>
        </w:tc>
      </w:tr>
      <w:tr w14:paraId="65F8B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F3FED04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审    核:</w:t>
            </w:r>
          </w:p>
        </w:tc>
        <w:tc>
          <w:tcPr>
            <w:tcW w:w="4520" w:type="dxa"/>
            <w:tcBorders>
              <w:left w:val="single" w:color="auto" w:sz="4" w:space="0"/>
              <w:right w:val="single" w:color="auto" w:sz="4" w:space="0"/>
            </w:tcBorders>
            <w:vAlign w:val="bottom"/>
          </w:tcPr>
          <w:p w14:paraId="227462A2">
            <w:pPr>
              <w:spacing w:before="156" w:after="156" w:line="276" w:lineRule="auto"/>
              <w:rPr>
                <w:rFonts w:ascii="Arial" w:hAnsi="Arial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794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0F1178E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批    准:</w:t>
            </w:r>
          </w:p>
        </w:tc>
        <w:tc>
          <w:tcPr>
            <w:tcW w:w="4520" w:type="dxa"/>
            <w:tcBorders>
              <w:left w:val="single" w:color="auto" w:sz="4" w:space="0"/>
              <w:right w:val="single" w:color="auto" w:sz="4" w:space="0"/>
            </w:tcBorders>
            <w:vAlign w:val="bottom"/>
          </w:tcPr>
          <w:p w14:paraId="0C216055">
            <w:pPr>
              <w:spacing w:before="156" w:after="156" w:line="276" w:lineRule="auto"/>
              <w:rPr>
                <w:rFonts w:ascii="Arial" w:hAnsi="Arial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450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2299A76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文件状态:</w:t>
            </w:r>
          </w:p>
        </w:tc>
        <w:tc>
          <w:tcPr>
            <w:tcW w:w="4520" w:type="dxa"/>
            <w:tcBorders>
              <w:left w:val="single" w:color="auto" w:sz="4" w:space="0"/>
              <w:right w:val="single" w:color="auto" w:sz="4" w:space="0"/>
            </w:tcBorders>
            <w:vAlign w:val="bottom"/>
          </w:tcPr>
          <w:p w14:paraId="111755D8">
            <w:pPr>
              <w:spacing w:before="156" w:after="156" w:line="276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int="eastAsia" w:ascii="Arial" w:hAnsi="Arial" w:cs="Arial"/>
                <w:sz w:val="28"/>
                <w:szCs w:val="28"/>
                <w:lang w:eastAsia="zh-CN"/>
              </w:rPr>
              <w:t>☑</w:t>
            </w:r>
            <w:r>
              <w:rPr>
                <w:rFonts w:ascii="Arial" w:hAnsi="Arial" w:cs="Arial"/>
                <w:sz w:val="28"/>
                <w:szCs w:val="28"/>
              </w:rPr>
              <w:t xml:space="preserve">草稿  </w:t>
            </w:r>
            <w:r>
              <w:rPr>
                <w:rFonts w:ascii="Arial" w:hAnsi="Arial" w:cs="Arial"/>
                <w:sz w:val="28"/>
                <w:szCs w:val="28"/>
              </w:rPr>
              <w:sym w:font="Wingdings 2" w:char="00A3"/>
            </w:r>
            <w:r>
              <w:rPr>
                <w:rFonts w:ascii="Arial" w:hAnsi="Arial" w:cs="Arial"/>
                <w:sz w:val="28"/>
                <w:szCs w:val="28"/>
              </w:rPr>
              <w:t>正式发布  □正在修改</w:t>
            </w:r>
          </w:p>
        </w:tc>
      </w:tr>
    </w:tbl>
    <w:p w14:paraId="3D931AC9">
      <w:pPr>
        <w:spacing w:before="312" w:beforeLines="100" w:after="156" w:line="276" w:lineRule="auto"/>
        <w:jc w:val="center"/>
        <w:rPr>
          <w:rFonts w:ascii="Arial" w:hAnsi="Arial" w:cs="Arial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type w:val="continuous"/>
          <w:pgSz w:w="11906" w:h="16838"/>
          <w:pgMar w:top="1440" w:right="1304" w:bottom="1134" w:left="1304" w:header="340" w:footer="567" w:gutter="0"/>
          <w:pgNumType w:fmt="upperRoman" w:start="1"/>
          <w:cols w:space="425" w:num="1"/>
          <w:titlePg/>
          <w:docGrid w:type="lines" w:linePitch="312" w:charSpace="0"/>
        </w:sectPr>
      </w:pPr>
    </w:p>
    <w:p w14:paraId="4F775DAC">
      <w:pPr>
        <w:spacing w:before="156" w:beforeLines="50" w:after="78" w:afterLines="25" w:line="276" w:lineRule="auto"/>
        <w:jc w:val="center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版 本 历 史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1062"/>
        <w:gridCol w:w="2388"/>
        <w:gridCol w:w="4894"/>
      </w:tblGrid>
      <w:tr w14:paraId="589D7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170" w:type="dxa"/>
            <w:shd w:val="clear" w:color="auto" w:fill="E6E6E6"/>
          </w:tcPr>
          <w:p w14:paraId="3151625B">
            <w:pPr>
              <w:spacing w:before="46" w:beforeLines="15" w:after="46" w:afterLines="15"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版本/状态</w:t>
            </w:r>
          </w:p>
        </w:tc>
        <w:tc>
          <w:tcPr>
            <w:tcW w:w="1062" w:type="dxa"/>
            <w:shd w:val="clear" w:color="auto" w:fill="E6E6E6"/>
          </w:tcPr>
          <w:p w14:paraId="1A3712DB">
            <w:pPr>
              <w:spacing w:before="46" w:beforeLines="15" w:after="46" w:afterLines="15"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责任人</w:t>
            </w:r>
          </w:p>
        </w:tc>
        <w:tc>
          <w:tcPr>
            <w:tcW w:w="2388" w:type="dxa"/>
            <w:shd w:val="clear" w:color="auto" w:fill="E6E6E6"/>
          </w:tcPr>
          <w:p w14:paraId="4DDB0E36">
            <w:pPr>
              <w:spacing w:before="46" w:beforeLines="15" w:after="46" w:afterLines="15"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起止日期</w:t>
            </w:r>
          </w:p>
        </w:tc>
        <w:tc>
          <w:tcPr>
            <w:tcW w:w="4894" w:type="dxa"/>
            <w:shd w:val="clear" w:color="auto" w:fill="E6E6E6"/>
          </w:tcPr>
          <w:p w14:paraId="67BCFF5D">
            <w:pPr>
              <w:spacing w:before="46" w:beforeLines="15" w:after="46" w:afterLines="15"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备注</w:t>
            </w:r>
          </w:p>
        </w:tc>
      </w:tr>
      <w:tr w14:paraId="47B8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1170" w:type="dxa"/>
            <w:vAlign w:val="center"/>
          </w:tcPr>
          <w:p w14:paraId="1BE059FD">
            <w:pPr>
              <w:adjustRightInd w:val="0"/>
              <w:spacing w:before="46" w:beforeLines="15" w:after="46" w:afterLines="15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hint="eastAsia" w:ascii="Arial" w:hAnsi="Arial" w:cs="Arial"/>
                <w:kern w:val="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Cs w:val="20"/>
              </w:rPr>
              <w:t>0.1/</w:t>
            </w:r>
            <w:r>
              <w:rPr>
                <w:rFonts w:hint="eastAsia" w:ascii="Arial" w:hAnsi="Arial" w:cs="Arial"/>
                <w:kern w:val="0"/>
                <w:szCs w:val="20"/>
              </w:rPr>
              <w:t>草稿</w:t>
            </w:r>
          </w:p>
        </w:tc>
        <w:tc>
          <w:tcPr>
            <w:tcW w:w="1062" w:type="dxa"/>
            <w:vAlign w:val="center"/>
          </w:tcPr>
          <w:p w14:paraId="08E8F948">
            <w:pPr>
              <w:adjustRightInd w:val="0"/>
              <w:spacing w:before="46" w:beforeLines="15" w:after="46" w:afterLines="15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hint="eastAsia" w:ascii="Arial" w:hAnsi="Arial" w:cs="Arial"/>
                <w:kern w:val="0"/>
                <w:szCs w:val="20"/>
              </w:rPr>
              <w:t>谷沼桥</w:t>
            </w:r>
          </w:p>
        </w:tc>
        <w:tc>
          <w:tcPr>
            <w:tcW w:w="2388" w:type="dxa"/>
            <w:vAlign w:val="center"/>
          </w:tcPr>
          <w:p w14:paraId="6CB005BC">
            <w:pPr>
              <w:adjustRightInd w:val="0"/>
              <w:spacing w:before="46" w:beforeLines="15" w:after="46" w:afterLines="15" w:line="240" w:lineRule="auto"/>
              <w:jc w:val="center"/>
              <w:textAlignment w:val="baseline"/>
              <w:rPr>
                <w:rFonts w:hint="eastAsia" w:ascii="Arial" w:hAnsi="Arial" w:eastAsia="宋体" w:cs="Arial"/>
                <w:kern w:val="0"/>
                <w:szCs w:val="20"/>
                <w:lang w:eastAsia="zh-CN"/>
              </w:rPr>
            </w:pPr>
            <w:r>
              <w:rPr>
                <w:rFonts w:hint="eastAsia" w:ascii="Arial" w:hAnsi="Arial" w:cs="Arial"/>
                <w:kern w:val="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Cs w:val="20"/>
              </w:rPr>
              <w:t>02</w:t>
            </w:r>
            <w:r>
              <w:rPr>
                <w:rFonts w:hint="eastAsia" w:ascii="Arial" w:hAnsi="Arial" w:cs="Arial"/>
                <w:kern w:val="0"/>
                <w:szCs w:val="20"/>
                <w:lang w:val="en-US" w:eastAsia="zh-CN"/>
              </w:rPr>
              <w:t>5</w:t>
            </w:r>
            <w:r>
              <w:rPr>
                <w:rFonts w:ascii="Arial" w:hAnsi="Arial" w:cs="Arial"/>
                <w:kern w:val="0"/>
                <w:szCs w:val="20"/>
              </w:rPr>
              <w:t>.1</w:t>
            </w:r>
            <w:r>
              <w:rPr>
                <w:rFonts w:hint="eastAsia" w:ascii="Arial" w:hAnsi="Arial" w:cs="Arial"/>
                <w:kern w:val="0"/>
                <w:szCs w:val="20"/>
                <w:lang w:val="en-US" w:eastAsia="zh-CN"/>
              </w:rPr>
              <w:t>2</w:t>
            </w:r>
            <w:r>
              <w:rPr>
                <w:rFonts w:ascii="Arial" w:hAnsi="Arial" w:cs="Arial"/>
                <w:kern w:val="0"/>
                <w:szCs w:val="20"/>
              </w:rPr>
              <w:t>.</w:t>
            </w:r>
            <w:r>
              <w:rPr>
                <w:rFonts w:hint="eastAsia" w:ascii="Arial" w:hAnsi="Arial" w:cs="Arial"/>
                <w:kern w:val="0"/>
                <w:szCs w:val="20"/>
                <w:lang w:val="en-US" w:eastAsia="zh-CN"/>
              </w:rPr>
              <w:t>10</w:t>
            </w:r>
            <w:r>
              <w:rPr>
                <w:rFonts w:ascii="Arial" w:hAnsi="Arial" w:cs="Arial"/>
                <w:kern w:val="0"/>
                <w:szCs w:val="20"/>
              </w:rPr>
              <w:t>-202</w:t>
            </w:r>
            <w:r>
              <w:rPr>
                <w:rFonts w:hint="eastAsia" w:ascii="Arial" w:hAnsi="Arial" w:cs="Arial"/>
                <w:kern w:val="0"/>
                <w:szCs w:val="20"/>
                <w:lang w:val="en-US" w:eastAsia="zh-CN"/>
              </w:rPr>
              <w:t>6</w:t>
            </w:r>
            <w:r>
              <w:rPr>
                <w:rFonts w:ascii="Arial" w:hAnsi="Arial" w:cs="Arial"/>
                <w:kern w:val="0"/>
                <w:szCs w:val="20"/>
              </w:rPr>
              <w:t>.1.</w:t>
            </w:r>
            <w:r>
              <w:rPr>
                <w:rFonts w:hint="eastAsia" w:ascii="Arial" w:hAnsi="Arial" w:cs="Arial"/>
                <w:kern w:val="0"/>
                <w:szCs w:val="20"/>
                <w:lang w:val="en-US" w:eastAsia="zh-CN"/>
              </w:rPr>
              <w:t>6</w:t>
            </w:r>
          </w:p>
        </w:tc>
        <w:tc>
          <w:tcPr>
            <w:tcW w:w="4894" w:type="dxa"/>
          </w:tcPr>
          <w:p w14:paraId="1B1D2244">
            <w:pPr>
              <w:adjustRightInd w:val="0"/>
              <w:spacing w:before="46" w:beforeLines="15" w:after="46" w:afterLines="15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hint="eastAsia" w:ascii="Arial" w:hAnsi="Arial" w:cs="Arial"/>
                <w:kern w:val="0"/>
                <w:szCs w:val="20"/>
              </w:rPr>
              <w:t>起草了第一版使用说明</w:t>
            </w:r>
          </w:p>
        </w:tc>
      </w:tr>
    </w:tbl>
    <w:p w14:paraId="0F3525A3">
      <w:pPr>
        <w:spacing w:before="156" w:after="156" w:line="276" w:lineRule="auto"/>
        <w:jc w:val="center"/>
        <w:rPr>
          <w:rFonts w:ascii="Arial" w:hAnsi="Arial" w:cs="Arial"/>
          <w:spacing w:val="200"/>
        </w:rPr>
      </w:pPr>
      <w:r>
        <w:rPr>
          <w:rFonts w:ascii="Arial" w:hAnsi="Arial" w:cs="Arial"/>
          <w:color w:val="0000FF"/>
        </w:rPr>
        <w:br w:type="page"/>
      </w:r>
      <w:r>
        <w:rPr>
          <w:rFonts w:ascii="Arial" w:hAnsi="Arial" w:cs="Arial"/>
          <w:b/>
          <w:spacing w:val="200"/>
          <w:sz w:val="28"/>
          <w:szCs w:val="28"/>
        </w:rPr>
        <w:t>目录</w:t>
      </w:r>
    </w:p>
    <w:p w14:paraId="00B0248B">
      <w:pPr>
        <w:pStyle w:val="26"/>
        <w:tabs>
          <w:tab w:val="right" w:leader="dot" w:pos="9298"/>
        </w:tabs>
      </w:pPr>
      <w:r>
        <w:rPr>
          <w:rFonts w:cs="Arial"/>
          <w:bCs w:val="0"/>
          <w:caps w:val="0"/>
          <w:szCs w:val="21"/>
        </w:rPr>
        <w:fldChar w:fldCharType="begin"/>
      </w:r>
      <w:r>
        <w:rPr>
          <w:rFonts w:cs="Arial"/>
          <w:bCs w:val="0"/>
          <w:caps w:val="0"/>
          <w:szCs w:val="21"/>
        </w:rPr>
        <w:instrText xml:space="preserve"> TOC \o "1-3" \h \z \u </w:instrText>
      </w:r>
      <w:r>
        <w:rPr>
          <w:rFonts w:cs="Arial"/>
          <w:bCs w:val="0"/>
          <w:caps w:val="0"/>
          <w:szCs w:val="21"/>
        </w:rPr>
        <w:fldChar w:fldCharType="separate"/>
      </w:r>
      <w:r>
        <w:rPr>
          <w:rFonts w:cs="Arial"/>
          <w:bCs w:val="0"/>
          <w:caps w:val="0"/>
          <w:szCs w:val="21"/>
        </w:rPr>
        <w:fldChar w:fldCharType="begin"/>
      </w:r>
      <w:r>
        <w:rPr>
          <w:rFonts w:cs="Arial"/>
          <w:bCs w:val="0"/>
          <w:caps w:val="0"/>
          <w:szCs w:val="21"/>
        </w:rPr>
        <w:instrText xml:space="preserve"> HYPERLINK \l _Toc14965 </w:instrText>
      </w:r>
      <w:r>
        <w:rPr>
          <w:rFonts w:cs="Arial"/>
          <w:bCs w:val="0"/>
          <w:caps w:val="0"/>
          <w:szCs w:val="21"/>
        </w:rPr>
        <w:fldChar w:fldCharType="separate"/>
      </w:r>
      <w:r>
        <w:rPr>
          <w:rFonts w:hint="default" w:ascii="微软雅黑" w:hAnsi="微软雅黑" w:eastAsia="微软雅黑"/>
        </w:rPr>
        <w:t xml:space="preserve">1. </w:t>
      </w:r>
      <w:r>
        <w:t>前言</w:t>
      </w:r>
      <w:r>
        <w:tab/>
      </w:r>
      <w:r>
        <w:fldChar w:fldCharType="begin"/>
      </w:r>
      <w:r>
        <w:instrText xml:space="preserve"> PAGEREF _Toc14965 \h </w:instrText>
      </w:r>
      <w:r>
        <w:fldChar w:fldCharType="separate"/>
      </w:r>
      <w:r>
        <w:t>1</w:t>
      </w:r>
      <w:r>
        <w:fldChar w:fldCharType="end"/>
      </w:r>
      <w:r>
        <w:rPr>
          <w:rFonts w:cs="Arial"/>
          <w:bCs w:val="0"/>
          <w:caps w:val="0"/>
          <w:szCs w:val="21"/>
        </w:rPr>
        <w:fldChar w:fldCharType="end"/>
      </w:r>
    </w:p>
    <w:p w14:paraId="68B07A0B">
      <w:pPr>
        <w:pStyle w:val="26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_Toc20033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</w:rPr>
        <w:t xml:space="preserve">2. </w:t>
      </w:r>
      <w:r>
        <w:t>Prerequests</w:t>
      </w:r>
      <w:r>
        <w:tab/>
      </w:r>
      <w:r>
        <w:fldChar w:fldCharType="begin"/>
      </w:r>
      <w:r>
        <w:instrText xml:space="preserve"> PAGEREF _Toc20033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4E50339A">
      <w:pPr>
        <w:pStyle w:val="26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_Toc10436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</w:rPr>
        <w:t xml:space="preserve">3. </w:t>
      </w:r>
      <w:r>
        <w:rPr>
          <w:rFonts w:hint="eastAsia"/>
        </w:rPr>
        <w:t>工具使用方法</w:t>
      </w:r>
      <w:r>
        <w:tab/>
      </w:r>
      <w:r>
        <w:fldChar w:fldCharType="begin"/>
      </w:r>
      <w:r>
        <w:instrText xml:space="preserve"> PAGEREF _Toc10436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24FCC23A">
      <w:pPr>
        <w:pStyle w:val="31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_Toc3131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3.1. </w:t>
      </w:r>
      <w:r>
        <w:rPr>
          <w:rFonts w:hint="eastAsia" w:ascii="Arial" w:hAnsi="Arial"/>
          <w:lang w:val="en-US" w:eastAsia="zh-CN"/>
        </w:rPr>
        <w:t>工具进入</w:t>
      </w:r>
      <w:r>
        <w:tab/>
      </w:r>
      <w:r>
        <w:fldChar w:fldCharType="begin"/>
      </w:r>
      <w:r>
        <w:instrText xml:space="preserve"> PAGEREF _Toc3131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0D488B62">
      <w:pPr>
        <w:pStyle w:val="31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_Toc10950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</w:rPr>
        <w:t xml:space="preserve">3.2. </w:t>
      </w:r>
      <w:r>
        <w:rPr>
          <w:rFonts w:hint="eastAsia"/>
          <w:lang w:val="en-US" w:eastAsia="zh-CN"/>
        </w:rPr>
        <w:t>工具页面介绍</w:t>
      </w:r>
      <w:r>
        <w:tab/>
      </w:r>
      <w:r>
        <w:fldChar w:fldCharType="begin"/>
      </w:r>
      <w:r>
        <w:instrText xml:space="preserve"> PAGEREF _Toc10950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1D05E7ED">
      <w:pPr>
        <w:pStyle w:val="31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_Toc20097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3.3. </w:t>
      </w:r>
      <w:r>
        <w:rPr>
          <w:rFonts w:hint="eastAsia" w:ascii="Arial" w:hAnsi="Arial"/>
          <w:lang w:val="en-US" w:eastAsia="zh-CN"/>
        </w:rPr>
        <w:t>功能介绍</w:t>
      </w:r>
      <w:r>
        <w:tab/>
      </w:r>
      <w:r>
        <w:fldChar w:fldCharType="begin"/>
      </w:r>
      <w:r>
        <w:instrText xml:space="preserve"> PAGEREF _Toc20097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19D7BAD1">
      <w:pPr>
        <w:pStyle w:val="18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_Toc5800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3.3.1. </w:t>
      </w:r>
      <w:r>
        <w:rPr>
          <w:rFonts w:hint="eastAsia"/>
          <w:lang w:val="en-US" w:eastAsia="zh-CN"/>
        </w:rPr>
        <w:t>转换邻接表</w:t>
      </w:r>
      <w:r>
        <w:tab/>
      </w:r>
      <w:r>
        <w:fldChar w:fldCharType="begin"/>
      </w:r>
      <w:r>
        <w:instrText xml:space="preserve"> PAGEREF _Toc5800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416FC70C">
      <w:pPr>
        <w:pStyle w:val="18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_Toc20445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3.3.2. </w:t>
      </w:r>
      <w:r>
        <w:rPr>
          <w:rFonts w:hint="eastAsia"/>
          <w:lang w:val="en-US" w:eastAsia="zh-CN"/>
        </w:rPr>
        <w:t>初始化拓扑</w:t>
      </w:r>
      <w:r>
        <w:tab/>
      </w:r>
      <w:r>
        <w:fldChar w:fldCharType="begin"/>
      </w:r>
      <w:r>
        <w:instrText xml:space="preserve"> PAGEREF _Toc20445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68B2184F">
      <w:pPr>
        <w:pStyle w:val="18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_Toc11310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3.3.3. </w:t>
      </w:r>
      <w:r>
        <w:rPr>
          <w:rFonts w:hint="eastAsia"/>
          <w:lang w:val="en-US" w:eastAsia="zh-CN"/>
        </w:rPr>
        <w:t>初始化业务</w:t>
      </w:r>
      <w:r>
        <w:tab/>
      </w:r>
      <w:r>
        <w:fldChar w:fldCharType="begin"/>
      </w:r>
      <w:r>
        <w:instrText xml:space="preserve"> PAGEREF _Toc11310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42B02F09">
      <w:pPr>
        <w:pStyle w:val="18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_Toc2202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3.3.4. </w:t>
      </w:r>
      <w:r>
        <w:rPr>
          <w:rFonts w:hint="eastAsia"/>
          <w:lang w:val="en-US" w:eastAsia="zh-CN"/>
        </w:rPr>
        <w:t>路由计算手动</w:t>
      </w:r>
      <w:r>
        <w:tab/>
      </w:r>
      <w:r>
        <w:fldChar w:fldCharType="begin"/>
      </w:r>
      <w:r>
        <w:instrText xml:space="preserve"> PAGEREF _Toc2202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7244AB81">
      <w:pPr>
        <w:pStyle w:val="18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_Toc17322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3.3.5. </w:t>
      </w:r>
      <w:r>
        <w:rPr>
          <w:rFonts w:hint="eastAsia"/>
          <w:lang w:val="en-US" w:eastAsia="zh-CN"/>
        </w:rPr>
        <w:t>路由计算自动</w:t>
      </w:r>
      <w:r>
        <w:tab/>
      </w:r>
      <w:r>
        <w:fldChar w:fldCharType="begin"/>
      </w:r>
      <w:r>
        <w:instrText xml:space="preserve"> PAGEREF _Toc17322 \h </w:instrText>
      </w:r>
      <w:r>
        <w:fldChar w:fldCharType="separate"/>
      </w:r>
      <w:r>
        <w:t>13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222E2828">
      <w:pPr>
        <w:pStyle w:val="26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_Toc29740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</w:rPr>
        <w:t xml:space="preserve">4. </w:t>
      </w:r>
      <w:r>
        <w:rPr>
          <w:rFonts w:hint="eastAsia"/>
        </w:rPr>
        <w:t>Change</w:t>
      </w:r>
      <w:r>
        <w:t xml:space="preserve"> LOG</w:t>
      </w:r>
      <w:r>
        <w:tab/>
      </w:r>
      <w:r>
        <w:fldChar w:fldCharType="begin"/>
      </w:r>
      <w:r>
        <w:instrText xml:space="preserve"> PAGEREF _Toc29740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6938514D">
      <w:pPr>
        <w:pStyle w:val="26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_Toc1411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</w:rPr>
        <w:t xml:space="preserve">5. </w:t>
      </w:r>
      <w:r>
        <w:rPr>
          <w:rFonts w:hint="eastAsia"/>
        </w:rPr>
        <w:t>存在的问题</w:t>
      </w:r>
      <w:r>
        <w:t>&amp;&amp;TODO</w:t>
      </w:r>
      <w:r>
        <w:tab/>
      </w:r>
      <w:r>
        <w:fldChar w:fldCharType="begin"/>
      </w:r>
      <w:r>
        <w:instrText xml:space="preserve"> PAGEREF _Toc1411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795FC571">
      <w:pPr>
        <w:spacing w:before="156" w:after="156" w:line="276" w:lineRule="auto"/>
        <w:rPr>
          <w:rFonts w:ascii="Arial" w:hAnsi="Arial" w:cs="Arial"/>
          <w:bCs/>
          <w:caps/>
          <w:szCs w:val="21"/>
        </w:rPr>
        <w:sectPr>
          <w:headerReference r:id="rId11" w:type="first"/>
          <w:footerReference r:id="rId13" w:type="first"/>
          <w:footerReference r:id="rId12" w:type="default"/>
          <w:pgSz w:w="11906" w:h="16838"/>
          <w:pgMar w:top="1440" w:right="1304" w:bottom="1134" w:left="1304" w:header="340" w:footer="567" w:gutter="0"/>
          <w:pgNumType w:fmt="upperRoman" w:start="1"/>
          <w:cols w:space="425" w:num="1"/>
          <w:docGrid w:type="lines" w:linePitch="312" w:charSpace="0"/>
        </w:sectPr>
      </w:pPr>
      <w:r>
        <w:rPr>
          <w:rFonts w:ascii="Arial" w:hAnsi="Arial" w:cs="Arial"/>
          <w:bCs/>
          <w:caps/>
          <w:szCs w:val="21"/>
        </w:rPr>
        <w:fldChar w:fldCharType="end"/>
      </w:r>
      <w:bookmarkStart w:id="15" w:name="_GoBack"/>
      <w:bookmarkEnd w:id="15"/>
    </w:p>
    <w:p w14:paraId="6A26747D">
      <w:pPr>
        <w:pStyle w:val="2"/>
        <w:tabs>
          <w:tab w:val="left" w:pos="425"/>
          <w:tab w:val="clear" w:pos="0"/>
        </w:tabs>
        <w:spacing w:before="156" w:after="156"/>
      </w:pPr>
      <w:bookmarkStart w:id="0" w:name="_Toc14965"/>
      <w:r>
        <w:t>前言</w:t>
      </w:r>
      <w:bookmarkEnd w:id="0"/>
    </w:p>
    <w:p w14:paraId="69E4AFE1">
      <w:pPr>
        <w:spacing w:before="156" w:after="156" w:line="276" w:lineRule="auto"/>
        <w:ind w:firstLine="420" w:firstLineChars="200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目前工程师在规划通信网络拓扑时，经常需要阅读拓扑图或者拓扑相关表格等，了解到各个站点的连接情况，链路属性后再逐个手动计算和优化路由。这种方式在站点数量较少时效率尚可，但是站点数量如果达到数百个，或者需要计算的路由数量达到数百个时，工程师往往力不从心，需要耗费大量精力进行规划的同时，也无法保证精确度。</w:t>
      </w:r>
    </w:p>
    <w:p w14:paraId="713B3FF8">
      <w:pPr>
        <w:spacing w:before="156" w:after="156" w:line="276" w:lineRule="auto"/>
        <w:ind w:firstLine="420" w:firstLineChars="200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在这种背景下AutoRoute工具应运而生，该工具为节省工程师路由规划的精力而开发，预计实现下面的功能:</w:t>
      </w:r>
    </w:p>
    <w:p w14:paraId="3B491878">
      <w:pPr>
        <w:numPr>
          <w:ilvl w:val="0"/>
          <w:numId w:val="2"/>
        </w:numPr>
        <w:spacing w:before="156" w:after="156" w:line="276" w:lineRule="auto"/>
        <w:ind w:left="840" w:leftChars="0" w:hanging="420" w:firstLineChars="0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从传输段列表读取拓扑图信息</w:t>
      </w:r>
      <w:r>
        <w:rPr>
          <w:rFonts w:hint="eastAsia" w:ascii="Arial" w:hAnsi="Arial" w:cs="Arial"/>
          <w:b/>
          <w:bCs/>
          <w:lang w:val="en-US" w:eastAsia="zh-CN"/>
        </w:rPr>
        <w:tab/>
        <w:t>(已完成)</w:t>
      </w:r>
    </w:p>
    <w:p w14:paraId="10350A01">
      <w:pPr>
        <w:numPr>
          <w:ilvl w:val="0"/>
          <w:numId w:val="2"/>
        </w:numPr>
        <w:spacing w:before="156" w:after="156" w:line="276" w:lineRule="auto"/>
        <w:ind w:left="840" w:leftChars="0" w:hanging="420" w:firstLineChars="0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从地图文件读取拓扑图信息</w:t>
      </w:r>
      <w:r>
        <w:rPr>
          <w:rFonts w:hint="eastAsia" w:ascii="Arial" w:hAnsi="Arial" w:cs="Arial"/>
          <w:b/>
          <w:bCs/>
          <w:lang w:val="en-US" w:eastAsia="zh-CN"/>
        </w:rPr>
        <w:tab/>
        <w:t>(已开发，但精度不够, 仅供参考)</w:t>
      </w:r>
    </w:p>
    <w:p w14:paraId="6A99A18F">
      <w:pPr>
        <w:numPr>
          <w:ilvl w:val="0"/>
          <w:numId w:val="2"/>
        </w:numPr>
        <w:spacing w:before="156" w:after="156" w:line="276" w:lineRule="auto"/>
        <w:ind w:left="840" w:leftChars="0" w:hanging="420" w:firstLineChars="0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手动输入信息计算路由</w:t>
      </w:r>
      <w:r>
        <w:rPr>
          <w:rFonts w:hint="eastAsia" w:ascii="Arial" w:hAnsi="Arial" w:cs="Arial"/>
          <w:b/>
          <w:bCs/>
          <w:lang w:val="en-US" w:eastAsia="zh-CN"/>
        </w:rPr>
        <w:tab/>
        <w:t/>
      </w:r>
      <w:r>
        <w:rPr>
          <w:rFonts w:hint="eastAsia" w:ascii="Arial" w:hAnsi="Arial" w:cs="Arial"/>
          <w:b/>
          <w:bCs/>
          <w:lang w:val="en-US" w:eastAsia="zh-CN"/>
        </w:rPr>
        <w:tab/>
        <w:t>(已完成)</w:t>
      </w:r>
    </w:p>
    <w:p w14:paraId="0083367D">
      <w:pPr>
        <w:numPr>
          <w:ilvl w:val="0"/>
          <w:numId w:val="2"/>
        </w:numPr>
        <w:spacing w:before="156" w:after="156" w:line="276" w:lineRule="auto"/>
        <w:ind w:left="840" w:leftChars="0" w:hanging="420" w:firstLineChars="0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输入业务表自动计算路由</w:t>
      </w:r>
      <w:r>
        <w:rPr>
          <w:rFonts w:hint="eastAsia" w:ascii="Arial" w:hAnsi="Arial" w:cs="Arial"/>
          <w:b/>
          <w:bCs/>
          <w:lang w:val="en-US" w:eastAsia="zh-CN"/>
        </w:rPr>
        <w:tab/>
        <w:t/>
      </w:r>
      <w:r>
        <w:rPr>
          <w:rFonts w:hint="eastAsia" w:ascii="Arial" w:hAnsi="Arial" w:cs="Arial"/>
          <w:b/>
          <w:bCs/>
          <w:lang w:val="en-US" w:eastAsia="zh-CN"/>
        </w:rPr>
        <w:tab/>
        <w:t>(已完成，待完善)</w:t>
      </w:r>
    </w:p>
    <w:p w14:paraId="3A80D2B9">
      <w:pPr>
        <w:numPr>
          <w:ilvl w:val="0"/>
          <w:numId w:val="2"/>
        </w:numPr>
        <w:spacing w:before="156" w:after="156" w:line="276" w:lineRule="auto"/>
        <w:ind w:left="840" w:leftChars="0" w:hanging="420" w:firstLineChars="0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同时计算光缆路由</w:t>
      </w:r>
      <w:r>
        <w:rPr>
          <w:rFonts w:hint="eastAsia" w:ascii="Arial" w:hAnsi="Arial" w:cs="Arial"/>
          <w:b/>
          <w:bCs/>
          <w:lang w:val="en-US" w:eastAsia="zh-CN"/>
        </w:rPr>
        <w:tab/>
        <w:t/>
      </w:r>
      <w:r>
        <w:rPr>
          <w:rFonts w:hint="eastAsia" w:ascii="Arial" w:hAnsi="Arial" w:cs="Arial"/>
          <w:b/>
          <w:bCs/>
          <w:lang w:val="en-US" w:eastAsia="zh-CN"/>
        </w:rPr>
        <w:tab/>
        <w:t/>
      </w:r>
      <w:r>
        <w:rPr>
          <w:rFonts w:hint="eastAsia" w:ascii="Arial" w:hAnsi="Arial" w:cs="Arial"/>
          <w:b/>
          <w:bCs/>
          <w:lang w:val="en-US" w:eastAsia="zh-CN"/>
        </w:rPr>
        <w:tab/>
        <w:t>(未完成)</w:t>
      </w:r>
    </w:p>
    <w:p w14:paraId="54BB9821">
      <w:pPr>
        <w:numPr>
          <w:numId w:val="0"/>
        </w:numPr>
        <w:spacing w:before="156" w:after="156" w:line="276" w:lineRule="auto"/>
        <w:ind w:left="420" w:leftChars="0"/>
        <w:rPr>
          <w:rFonts w:hint="default" w:ascii="Arial" w:hAnsi="Arial" w:cs="Arial"/>
          <w:b/>
          <w:bCs/>
          <w:lang w:val="en-US" w:eastAsia="zh-CN"/>
        </w:rPr>
      </w:pPr>
    </w:p>
    <w:p w14:paraId="41480C3F">
      <w:pPr>
        <w:shd w:val="clear" w:fill="FFFF00"/>
        <w:spacing w:before="156" w:after="156" w:line="276" w:lineRule="auto"/>
        <w:ind w:firstLine="420" w:firstLineChars="20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WARNING:该工具目前仅为v0.1测试版本，该工具还未经过完善测试，计算结果仅供参考，请用户使用时认真核对计算结果是否符合预期。</w:t>
      </w:r>
    </w:p>
    <w:p w14:paraId="1DDD5F9A">
      <w:pPr>
        <w:spacing w:before="156" w:after="156" w:line="276" w:lineRule="auto"/>
        <w:ind w:firstLine="420" w:firstLineChars="200"/>
        <w:rPr>
          <w:rFonts w:hint="default" w:ascii="Arial" w:hAnsi="Arial" w:cs="Arial"/>
          <w:lang w:val="en-US" w:eastAsia="zh-CN"/>
        </w:rPr>
      </w:pPr>
    </w:p>
    <w:p w14:paraId="3061CE51">
      <w:pPr>
        <w:spacing w:before="156" w:after="156" w:line="276" w:lineRule="auto"/>
        <w:ind w:left="420"/>
        <w:rPr>
          <w:rFonts w:ascii="Arial" w:hAnsi="Arial" w:cs="Arial"/>
        </w:rPr>
      </w:pPr>
      <w:r>
        <w:rPr>
          <w:rFonts w:hint="eastAsia" w:ascii="Arial" w:hAnsi="Arial" w:cs="Arial"/>
          <w:highlight w:val="red"/>
        </w:rPr>
        <w:t>该工具依赖window提供的api运行，只支持在windows环境下使用。</w:t>
      </w:r>
    </w:p>
    <w:p w14:paraId="760E7731">
      <w:pPr>
        <w:pStyle w:val="2"/>
        <w:tabs>
          <w:tab w:val="left" w:pos="425"/>
          <w:tab w:val="clear" w:pos="0"/>
        </w:tabs>
        <w:spacing w:before="156" w:after="156"/>
      </w:pPr>
      <w:bookmarkStart w:id="1" w:name="_Toc144832612"/>
      <w:bookmarkStart w:id="2" w:name="_Toc20033"/>
      <w:r>
        <w:t>Prerequests</w:t>
      </w:r>
      <w:bookmarkEnd w:id="1"/>
      <w:bookmarkEnd w:id="2"/>
    </w:p>
    <w:p w14:paraId="13CFAA81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工具使用内嵌式python集成，无需配置环境即可运行。</w:t>
      </w:r>
    </w:p>
    <w:p w14:paraId="56950F5C">
      <w:pPr>
        <w:pStyle w:val="2"/>
        <w:tabs>
          <w:tab w:val="left" w:pos="425"/>
          <w:tab w:val="clear" w:pos="0"/>
        </w:tabs>
        <w:spacing w:after="156"/>
      </w:pPr>
      <w:bookmarkStart w:id="3" w:name="_Toc10436"/>
      <w:r>
        <w:rPr>
          <w:rFonts w:hint="eastAsia"/>
        </w:rPr>
        <w:t>工具使用方法</w:t>
      </w:r>
      <w:bookmarkEnd w:id="3"/>
    </w:p>
    <w:p w14:paraId="09C9BB8F">
      <w:pPr>
        <w:pStyle w:val="3"/>
        <w:tabs>
          <w:tab w:val="left" w:pos="567"/>
          <w:tab w:val="clear" w:pos="0"/>
        </w:tabs>
        <w:rPr>
          <w:rFonts w:hint="default" w:ascii="Arial" w:hAnsi="Arial"/>
          <w:lang w:val="en-US" w:eastAsia="zh-CN"/>
        </w:rPr>
      </w:pPr>
      <w:bookmarkStart w:id="4" w:name="_Toc3131"/>
      <w:r>
        <w:rPr>
          <w:rFonts w:hint="eastAsia" w:ascii="Arial" w:hAnsi="Arial"/>
          <w:lang w:val="en-US" w:eastAsia="zh-CN"/>
        </w:rPr>
        <w:t>工具进入</w:t>
      </w:r>
      <w:bookmarkEnd w:id="4"/>
    </w:p>
    <w:p w14:paraId="16F54696">
      <w:r>
        <w:drawing>
          <wp:inline distT="0" distB="0" distL="114300" distR="114300">
            <wp:extent cx="5899785" cy="3291205"/>
            <wp:effectExtent l="0" t="0" r="5715" b="44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6E4B">
      <w:pPr>
        <w:pStyle w:val="13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工具进入方法</w:t>
      </w:r>
    </w:p>
    <w:p w14:paraId="0A7C92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打开工具会进入Home目录，选择到AutoRoute对应的脚本，点打开即可。</w:t>
      </w:r>
    </w:p>
    <w:p w14:paraId="5BDAFAFD">
      <w:pPr>
        <w:pStyle w:val="3"/>
        <w:tabs>
          <w:tab w:val="left" w:pos="567"/>
          <w:tab w:val="clear" w:pos="0"/>
        </w:tabs>
      </w:pPr>
      <w:bookmarkStart w:id="5" w:name="_Toc10950"/>
      <w:r>
        <w:rPr>
          <w:rFonts w:hint="eastAsia"/>
          <w:lang w:val="en-US" w:eastAsia="zh-CN"/>
        </w:rPr>
        <w:t>工具页面介绍</w:t>
      </w:r>
      <w:bookmarkEnd w:id="5"/>
    </w:p>
    <w:p w14:paraId="27D03A50">
      <w:pPr>
        <w:keepNext/>
        <w:spacing w:after="156"/>
        <w:ind w:firstLine="420"/>
        <w:jc w:val="center"/>
      </w:pPr>
      <w:r>
        <w:drawing>
          <wp:inline distT="0" distB="0" distL="114300" distR="114300">
            <wp:extent cx="5897245" cy="3321050"/>
            <wp:effectExtent l="0" t="0" r="8255" b="1270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65DAD">
      <w:pPr>
        <w:pStyle w:val="13"/>
        <w:keepNext/>
        <w:spacing w:after="156"/>
        <w:ind w:firstLine="42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AutoRoute页面</w:t>
      </w:r>
    </w:p>
    <w:p w14:paraId="6A492F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点击打开后进入工具子页面，工具的控件功能如下:</w:t>
      </w:r>
    </w:p>
    <w:p w14:paraId="580548D7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源文件显示框</w:t>
      </w:r>
    </w:p>
    <w:p w14:paraId="44797368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跳纤链路表显示框</w:t>
      </w:r>
    </w:p>
    <w:p w14:paraId="60BF4875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邻接表显示框</w:t>
      </w:r>
    </w:p>
    <w:p w14:paraId="6E2894F6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业务表显示框</w:t>
      </w:r>
    </w:p>
    <w:p w14:paraId="60A98E45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源文件选择按钮，目前可以选择地图文件(.png)或者传输段文件(.xlsx)</w:t>
      </w:r>
    </w:p>
    <w:p w14:paraId="0BC8648A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跳纤链路表选择按钮，</w:t>
      </w:r>
      <w:r>
        <w:rPr>
          <w:rFonts w:hint="eastAsia"/>
          <w:shd w:val="clear" w:fill="FFFF00"/>
          <w:lang w:val="en-US" w:eastAsia="zh-CN"/>
        </w:rPr>
        <w:t>跳纤链路表读取功能现在还没有做，这里只是预留接口</w:t>
      </w:r>
    </w:p>
    <w:p w14:paraId="27E82597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邻接表选择按钮，邻接表是通过源文件转换来的格式，后面介绍</w:t>
      </w:r>
    </w:p>
    <w:p w14:paraId="41E611F5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业务表选择按钮</w:t>
      </w:r>
    </w:p>
    <w:p w14:paraId="1586E0AE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工具菜单，目前只有一个访问工具暂存目录的功能</w:t>
      </w:r>
    </w:p>
    <w:p w14:paraId="294D5D58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转换邻接表：将会将输入的源文件尝试转换为邻接表格式</w:t>
      </w:r>
    </w:p>
    <w:p w14:paraId="2CE38014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初始化拓扑：输入邻接表后，点击该按钮可以初始化拓扑信息</w:t>
      </w:r>
    </w:p>
    <w:p w14:paraId="2430C3C4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初始化业务：输入业务表后，点击该按钮可以初始化业务信息</w:t>
      </w:r>
    </w:p>
    <w:p w14:paraId="43B03D47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起点：初始化拓扑后，在这里选择起点节点，</w:t>
      </w:r>
      <w:r>
        <w:rPr>
          <w:rFonts w:hint="eastAsia"/>
          <w:shd w:val="clear" w:fill="FFFF00"/>
          <w:lang w:val="en-US" w:eastAsia="zh-CN"/>
        </w:rPr>
        <w:t>仅</w:t>
      </w:r>
      <w:r>
        <w:rPr>
          <w:rFonts w:hint="default"/>
          <w:shd w:val="clear" w:fill="FFFF00"/>
          <w:lang w:val="en-US" w:eastAsia="zh-CN"/>
        </w:rPr>
        <w:t>”</w:t>
      </w:r>
      <w:r>
        <w:rPr>
          <w:rFonts w:hint="eastAsia"/>
          <w:shd w:val="clear" w:fill="FFFF00"/>
          <w:lang w:val="en-US" w:eastAsia="zh-CN"/>
        </w:rPr>
        <w:t>路由计算(手动)</w:t>
      </w:r>
      <w:r>
        <w:rPr>
          <w:rFonts w:hint="default"/>
          <w:shd w:val="clear" w:fill="FFFF00"/>
          <w:lang w:val="en-US" w:eastAsia="zh-CN"/>
        </w:rPr>
        <w:t>”</w:t>
      </w:r>
      <w:r>
        <w:rPr>
          <w:rFonts w:hint="eastAsia"/>
          <w:shd w:val="clear" w:fill="FFFF00"/>
          <w:lang w:val="en-US" w:eastAsia="zh-CN"/>
        </w:rPr>
        <w:t>有效</w:t>
      </w:r>
    </w:p>
    <w:p w14:paraId="29757A42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终点：初始化拓扑后，在这里选择终点节点，</w:t>
      </w:r>
      <w:r>
        <w:rPr>
          <w:rFonts w:hint="eastAsia"/>
          <w:shd w:val="clear" w:fill="FFFF00"/>
          <w:lang w:val="en-US" w:eastAsia="zh-CN"/>
        </w:rPr>
        <w:t>仅</w:t>
      </w:r>
      <w:r>
        <w:rPr>
          <w:rFonts w:hint="default"/>
          <w:shd w:val="clear" w:fill="FFFF00"/>
          <w:lang w:val="en-US" w:eastAsia="zh-CN"/>
        </w:rPr>
        <w:t>”</w:t>
      </w:r>
      <w:r>
        <w:rPr>
          <w:rFonts w:hint="eastAsia"/>
          <w:shd w:val="clear" w:fill="FFFF00"/>
          <w:lang w:val="en-US" w:eastAsia="zh-CN"/>
        </w:rPr>
        <w:t>路由计算(手动)</w:t>
      </w:r>
      <w:r>
        <w:rPr>
          <w:rFonts w:hint="default"/>
          <w:shd w:val="clear" w:fill="FFFF00"/>
          <w:lang w:val="en-US" w:eastAsia="zh-CN"/>
        </w:rPr>
        <w:t>”</w:t>
      </w:r>
      <w:r>
        <w:rPr>
          <w:rFonts w:hint="eastAsia"/>
          <w:shd w:val="clear" w:fill="FFFF00"/>
          <w:lang w:val="en-US" w:eastAsia="zh-CN"/>
        </w:rPr>
        <w:t>有效</w:t>
      </w:r>
    </w:p>
    <w:p w14:paraId="554D6F7A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期望路径数：选择期望计算出的路径数量，</w:t>
      </w:r>
      <w:r>
        <w:rPr>
          <w:rFonts w:hint="eastAsia"/>
          <w:shd w:val="clear" w:fill="FFFF00"/>
          <w:lang w:val="en-US" w:eastAsia="zh-CN"/>
        </w:rPr>
        <w:t>仅</w:t>
      </w:r>
      <w:r>
        <w:rPr>
          <w:rFonts w:hint="default"/>
          <w:shd w:val="clear" w:fill="FFFF00"/>
          <w:lang w:val="en-US" w:eastAsia="zh-CN"/>
        </w:rPr>
        <w:t>”</w:t>
      </w:r>
      <w:r>
        <w:rPr>
          <w:rFonts w:hint="eastAsia"/>
          <w:shd w:val="clear" w:fill="FFFF00"/>
          <w:lang w:val="en-US" w:eastAsia="zh-CN"/>
        </w:rPr>
        <w:t>路由计算(手动)</w:t>
      </w:r>
      <w:r>
        <w:rPr>
          <w:rFonts w:hint="default"/>
          <w:shd w:val="clear" w:fill="FFFF00"/>
          <w:lang w:val="en-US" w:eastAsia="zh-CN"/>
        </w:rPr>
        <w:t>”</w:t>
      </w:r>
      <w:r>
        <w:rPr>
          <w:rFonts w:hint="eastAsia"/>
          <w:shd w:val="clear" w:fill="FFFF00"/>
          <w:lang w:val="en-US" w:eastAsia="zh-CN"/>
        </w:rPr>
        <w:t>有效</w:t>
      </w:r>
    </w:p>
    <w:p w14:paraId="6981ADAD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只使用Ason链路：选择后，将只使用带有Ason属性的链路，</w:t>
      </w:r>
      <w:r>
        <w:rPr>
          <w:rFonts w:hint="eastAsia"/>
          <w:shd w:val="clear" w:fill="FF0000"/>
          <w:lang w:val="en-US" w:eastAsia="zh-CN"/>
        </w:rPr>
        <w:t>但是目前邻接表默认所有链路都是非Ason的，现在请不要使用</w:t>
      </w:r>
      <w:r>
        <w:rPr>
          <w:rFonts w:hint="eastAsia"/>
          <w:lang w:val="en-US" w:eastAsia="zh-CN"/>
        </w:rPr>
        <w:t>，</w:t>
      </w:r>
      <w:r>
        <w:rPr>
          <w:rFonts w:hint="eastAsia"/>
          <w:shd w:val="clear" w:fill="FFFF00"/>
          <w:lang w:val="en-US" w:eastAsia="zh-CN"/>
        </w:rPr>
        <w:t>仅</w:t>
      </w:r>
      <w:r>
        <w:rPr>
          <w:rFonts w:hint="default"/>
          <w:shd w:val="clear" w:fill="FFFF00"/>
          <w:lang w:val="en-US" w:eastAsia="zh-CN"/>
        </w:rPr>
        <w:t>”</w:t>
      </w:r>
      <w:r>
        <w:rPr>
          <w:rFonts w:hint="eastAsia"/>
          <w:shd w:val="clear" w:fill="FFFF00"/>
          <w:lang w:val="en-US" w:eastAsia="zh-CN"/>
        </w:rPr>
        <w:t>路由计算(手动)</w:t>
      </w:r>
      <w:r>
        <w:rPr>
          <w:rFonts w:hint="default"/>
          <w:shd w:val="clear" w:fill="FFFF00"/>
          <w:lang w:val="en-US" w:eastAsia="zh-CN"/>
        </w:rPr>
        <w:t>”</w:t>
      </w:r>
      <w:r>
        <w:rPr>
          <w:rFonts w:hint="eastAsia"/>
          <w:shd w:val="clear" w:fill="FFFF00"/>
          <w:lang w:val="en-US" w:eastAsia="zh-CN"/>
        </w:rPr>
        <w:t>有效</w:t>
      </w:r>
    </w:p>
    <w:p w14:paraId="1CB99D6C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禁用链路输入框：输入的链路将被禁用，计算时将绕过这些链路，稍后介绍</w:t>
      </w:r>
    </w:p>
    <w:p w14:paraId="2E6D4923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输出框：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路由计算（手动）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的输出结果显示在这里</w:t>
      </w:r>
    </w:p>
    <w:p w14:paraId="132E1872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路由计算(手动)：根据GUI的起点，终点，期望路径数等信息进行一次手动计算</w:t>
      </w:r>
    </w:p>
    <w:p w14:paraId="2345D71C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路由计算(自动): 根据输入拓扑，业务表，进行一次自动计算，导出对应的表格，业务表格式稍后介绍</w:t>
      </w:r>
    </w:p>
    <w:p w14:paraId="51660C25">
      <w:pPr>
        <w:pStyle w:val="3"/>
        <w:tabs>
          <w:tab w:val="left" w:pos="567"/>
          <w:tab w:val="clear" w:pos="0"/>
        </w:tabs>
        <w:rPr>
          <w:rFonts w:hint="default" w:ascii="Arial" w:hAnsi="Arial"/>
          <w:lang w:val="en-US" w:eastAsia="zh-CN"/>
        </w:rPr>
      </w:pPr>
      <w:bookmarkStart w:id="6" w:name="_Toc20097"/>
      <w:r>
        <w:rPr>
          <w:rFonts w:hint="eastAsia" w:ascii="Arial" w:hAnsi="Arial"/>
          <w:lang w:val="en-US" w:eastAsia="zh-CN"/>
        </w:rPr>
        <w:t>功能介绍</w:t>
      </w:r>
      <w:bookmarkEnd w:id="6"/>
    </w:p>
    <w:p w14:paraId="2B79B0DA">
      <w:p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工具目前具有五个功能，需要分别介绍操作顺序：</w:t>
      </w:r>
    </w:p>
    <w:p w14:paraId="1163B00E">
      <w:pPr>
        <w:numPr>
          <w:ilvl w:val="0"/>
          <w:numId w:val="4"/>
        </w:numPr>
        <w:ind w:left="425" w:leftChars="0" w:hanging="425" w:firstLineChars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转换邻接表</w:t>
      </w:r>
    </w:p>
    <w:p w14:paraId="3EF31F1F">
      <w:pPr>
        <w:numPr>
          <w:ilvl w:val="0"/>
          <w:numId w:val="4"/>
        </w:numPr>
        <w:ind w:left="425" w:leftChars="0" w:hanging="425" w:firstLineChars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初始化拓扑</w:t>
      </w:r>
    </w:p>
    <w:p w14:paraId="216F1C38">
      <w:pPr>
        <w:numPr>
          <w:ilvl w:val="0"/>
          <w:numId w:val="4"/>
        </w:numPr>
        <w:ind w:left="425" w:leftChars="0" w:hanging="425" w:firstLineChars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初始化业务</w:t>
      </w:r>
    </w:p>
    <w:p w14:paraId="0FFDE58A">
      <w:pPr>
        <w:numPr>
          <w:ilvl w:val="0"/>
          <w:numId w:val="4"/>
        </w:numPr>
        <w:ind w:left="425" w:leftChars="0" w:hanging="425" w:firstLineChars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路由计算(手动)</w:t>
      </w:r>
    </w:p>
    <w:p w14:paraId="3611FDDF">
      <w:pPr>
        <w:numPr>
          <w:ilvl w:val="0"/>
          <w:numId w:val="4"/>
        </w:numPr>
        <w:ind w:left="425" w:leftChars="0" w:hanging="425" w:firstLineChars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路由计算(自动)</w:t>
      </w:r>
    </w:p>
    <w:p w14:paraId="38A20591">
      <w:pPr>
        <w:pStyle w:val="4"/>
        <w:bidi w:val="0"/>
        <w:rPr>
          <w:rFonts w:hint="default"/>
          <w:lang w:val="en-US" w:eastAsia="zh-CN"/>
        </w:rPr>
      </w:pPr>
      <w:bookmarkStart w:id="7" w:name="_Toc5800"/>
      <w:r>
        <w:rPr>
          <w:rFonts w:hint="eastAsia"/>
          <w:lang w:val="en-US" w:eastAsia="zh-CN"/>
        </w:rPr>
        <w:t>转换邻接表</w:t>
      </w:r>
      <w:bookmarkEnd w:id="7"/>
    </w:p>
    <w:p w14:paraId="37ADC28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</w:t>
      </w:r>
    </w:p>
    <w:p w14:paraId="67BFFE6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转换邻接表是指用户输入源文件(地图文件(.png)或者传输段文件(.xlsx))，将文件转换为工具统一的拓扑格式(邻接表)的功能。邻接表已经预留了光纤链路信息和Ason链路信息接口，后续如有相关数据也直接集成到邻接表中。</w:t>
      </w:r>
    </w:p>
    <w:p w14:paraId="227226D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该功能具有以下作用</w:t>
      </w:r>
    </w:p>
    <w:p w14:paraId="28033E56">
      <w:pPr>
        <w:numPr>
          <w:ilvl w:val="0"/>
          <w:numId w:val="5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邻接表作为一种中间格式，具备统一化拓扑信息的功能。后续初始化拓扑需要此格式的信息。</w:t>
      </w:r>
    </w:p>
    <w:p w14:paraId="719D8350">
      <w:pPr>
        <w:numPr>
          <w:ilvl w:val="0"/>
          <w:numId w:val="5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通过邻接表可以直接观察到拓扑转换是否正确，拓扑信息是否完毕。</w:t>
      </w:r>
      <w:r>
        <w:rPr>
          <w:rFonts w:hint="eastAsia"/>
          <w:shd w:val="clear" w:fill="FFFF00"/>
          <w:lang w:val="en-US" w:eastAsia="zh-CN"/>
        </w:rPr>
        <w:t>如果源文件中的数据有缺漏或读取错误，邻接表会直接体现其错误，用户可以自己矫正邻接表错误</w:t>
      </w:r>
    </w:p>
    <w:p w14:paraId="18E31B3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地图文件格式</w:t>
      </w:r>
    </w:p>
    <w:p w14:paraId="19C49CC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下面是地图文件格式示例:</w:t>
      </w:r>
    </w:p>
    <w:p w14:paraId="55DE314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898515" cy="2926715"/>
            <wp:effectExtent l="0" t="0" r="6985" b="6985"/>
            <wp:docPr id="8" name="图片 8" descr="net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netTes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729B">
      <w:pPr>
        <w:pStyle w:val="13"/>
        <w:ind w:firstLine="420" w:firstLineChars="0"/>
        <w:jc w:val="center"/>
        <w:rPr>
          <w:rFonts w:hint="eastAsia" w:eastAsia="微软雅黑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地图文件示例</w:t>
      </w:r>
    </w:p>
    <w:p w14:paraId="1725429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如果输入地图文件，工具将以图像识别的方法提取邻接表信息。</w:t>
      </w:r>
    </w:p>
    <w:p w14:paraId="4AA66800">
      <w:pPr>
        <w:shd w:val="clear" w:fill="FFFF0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目前精度不高，仅供参考！</w:t>
      </w:r>
    </w:p>
    <w:p w14:paraId="31E24801">
      <w:pPr>
        <w:rPr>
          <w:rFonts w:hint="eastAsia"/>
          <w:lang w:val="en-US" w:eastAsia="zh-CN"/>
        </w:rPr>
      </w:pPr>
    </w:p>
    <w:p w14:paraId="4EC40316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传输段格式</w:t>
      </w:r>
    </w:p>
    <w:p w14:paraId="24D2813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相比使用地图文件，传输段格式的表格是比较推荐的，传输段是指具有下面列的表格:</w:t>
      </w:r>
    </w:p>
    <w:p w14:paraId="3A454D5D">
      <w:pPr>
        <w:ind w:firstLine="420" w:firstLineChars="0"/>
        <w:jc w:val="center"/>
      </w:pPr>
      <w:r>
        <w:drawing>
          <wp:inline distT="0" distB="0" distL="114300" distR="114300">
            <wp:extent cx="5902960" cy="809625"/>
            <wp:effectExtent l="0" t="0" r="2540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83636">
      <w:pPr>
        <w:pStyle w:val="13"/>
        <w:tabs>
          <w:tab w:val="left" w:pos="3074"/>
        </w:tabs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传输段格式示例</w:t>
      </w:r>
    </w:p>
    <w:p w14:paraId="2E749BD6">
      <w:pPr>
        <w:shd w:val="clear" w:fill="FFFF0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注意传输段表格必须第一行是列名！！！</w:t>
      </w:r>
    </w:p>
    <w:p w14:paraId="16C68EE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如果第一列不是这些列名而是其他信息，请将其删掉，否则工具无法识别。</w:t>
      </w:r>
    </w:p>
    <w:p w14:paraId="446A630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操作方法</w:t>
      </w:r>
    </w:p>
    <w:p w14:paraId="54978C4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以传输段格式文件作为示例</w:t>
      </w:r>
    </w:p>
    <w:p w14:paraId="7F0747E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先点击下面的控件:</w:t>
      </w:r>
    </w:p>
    <w:p w14:paraId="53642351">
      <w:pPr>
        <w:ind w:firstLine="420" w:firstLineChars="0"/>
      </w:pPr>
      <w:r>
        <w:drawing>
          <wp:inline distT="0" distB="0" distL="114300" distR="114300">
            <wp:extent cx="5899785" cy="3291205"/>
            <wp:effectExtent l="0" t="0" r="5715" b="444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58A80">
      <w:pPr>
        <w:pStyle w:val="13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选择源文件</w:t>
      </w:r>
    </w:p>
    <w:p w14:paraId="6152F52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将弹出选择源文件窗口, 在右下角切换为表格文件</w:t>
      </w:r>
    </w:p>
    <w:p w14:paraId="1C6DF07C">
      <w:pPr>
        <w:ind w:firstLine="420" w:firstLineChars="0"/>
      </w:pPr>
      <w:r>
        <w:drawing>
          <wp:inline distT="0" distB="0" distL="114300" distR="114300">
            <wp:extent cx="5901690" cy="3325495"/>
            <wp:effectExtent l="0" t="0" r="3810" b="825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B4DE3">
      <w:pPr>
        <w:pStyle w:val="13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切换表格文件</w:t>
      </w:r>
    </w:p>
    <w:p w14:paraId="52E83DC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选择对应的传输段文件，如《中兴传输段列表》</w:t>
      </w:r>
    </w:p>
    <w:p w14:paraId="7B7F25B9">
      <w:pPr>
        <w:ind w:firstLine="420" w:firstLineChars="0"/>
      </w:pPr>
      <w:r>
        <w:drawing>
          <wp:inline distT="0" distB="0" distL="114300" distR="114300">
            <wp:extent cx="5901690" cy="3325495"/>
            <wp:effectExtent l="0" t="0" r="3810" b="825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FF8BA">
      <w:pPr>
        <w:pStyle w:val="13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选择传输段列表</w:t>
      </w:r>
    </w:p>
    <w:p w14:paraId="6410E61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选择好之后点打开，之后展示框会显示你选择的文件</w:t>
      </w:r>
    </w:p>
    <w:p w14:paraId="3F231188">
      <w:pPr>
        <w:ind w:firstLine="420" w:firstLineChars="0"/>
      </w:pPr>
      <w:r>
        <w:drawing>
          <wp:inline distT="0" distB="0" distL="114300" distR="114300">
            <wp:extent cx="5899785" cy="3291205"/>
            <wp:effectExtent l="0" t="0" r="5715" b="444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E6A78">
      <w:pPr>
        <w:pStyle w:val="13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展示框显示</w:t>
      </w:r>
    </w:p>
    <w:p w14:paraId="74BC10A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之后，点击转换邻接表按钮，将会进行转换</w:t>
      </w:r>
    </w:p>
    <w:p w14:paraId="14F25E58">
      <w:pPr>
        <w:ind w:firstLine="420" w:firstLineChars="0"/>
      </w:pPr>
      <w:r>
        <w:drawing>
          <wp:inline distT="0" distB="0" distL="114300" distR="114300">
            <wp:extent cx="5899785" cy="3291205"/>
            <wp:effectExtent l="0" t="0" r="5715" b="444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CD37E">
      <w:pPr>
        <w:pStyle w:val="13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转换邻接表</w:t>
      </w:r>
    </w:p>
    <w:p w14:paraId="05BEBD6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如果成功，会提示成功信息，并弹出邻接表表格，其格式如下所示:</w:t>
      </w:r>
    </w:p>
    <w:p w14:paraId="03088101">
      <w:pPr>
        <w:ind w:firstLine="420" w:firstLineChars="0"/>
      </w:pPr>
      <w:r>
        <w:drawing>
          <wp:inline distT="0" distB="0" distL="114300" distR="114300">
            <wp:extent cx="5890260" cy="695325"/>
            <wp:effectExtent l="0" t="0" r="15240" b="952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AF9F">
      <w:pPr>
        <w:pStyle w:val="13"/>
        <w:ind w:firstLine="420" w:firstLineChars="0"/>
        <w:jc w:val="center"/>
        <w:rPr>
          <w:rFonts w:hint="eastAsia" w:eastAsia="微软雅黑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邻接表表格格式</w:t>
      </w:r>
    </w:p>
    <w:p w14:paraId="530EC0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该表格会保存在工具temp目录下，如果不放心或者不熟悉工具目录，可以另存为到其他地方。如果出错，工具会提示错误。</w:t>
      </w:r>
    </w:p>
    <w:p w14:paraId="11F2A7C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你可以阅览邻接表信息，以查看信息是否正确。</w:t>
      </w:r>
    </w:p>
    <w:p w14:paraId="5978C63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读取邻接表可能会出现未知站情况，如下:</w:t>
      </w:r>
    </w:p>
    <w:p w14:paraId="2AF30A60">
      <w:pPr>
        <w:ind w:firstLine="420" w:firstLineChars="0"/>
        <w:jc w:val="center"/>
      </w:pPr>
      <w:r>
        <w:drawing>
          <wp:inline distT="0" distB="0" distL="114300" distR="114300">
            <wp:extent cx="2447925" cy="1019175"/>
            <wp:effectExtent l="0" t="0" r="9525" b="952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270B1">
      <w:pPr>
        <w:pStyle w:val="13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未知站</w:t>
      </w:r>
    </w:p>
    <w:p w14:paraId="5E12911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这是因为源表格535行中没有填写z端站点信息导致，如需要请修正。</w:t>
      </w:r>
    </w:p>
    <w:p w14:paraId="1F494529">
      <w:pPr>
        <w:pStyle w:val="4"/>
        <w:bidi w:val="0"/>
        <w:rPr>
          <w:rFonts w:hint="default"/>
          <w:lang w:val="en-US" w:eastAsia="zh-CN"/>
        </w:rPr>
      </w:pPr>
      <w:bookmarkStart w:id="8" w:name="_Toc20445"/>
      <w:r>
        <w:rPr>
          <w:rFonts w:hint="eastAsia"/>
          <w:lang w:val="en-US" w:eastAsia="zh-CN"/>
        </w:rPr>
        <w:t>初始化拓扑</w:t>
      </w:r>
      <w:bookmarkEnd w:id="8"/>
    </w:p>
    <w:p w14:paraId="55CB86A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获得邻接表后可以进行此功能。参照3.3.1.4的步骤，在下图位置填入转换获得的邻接表:</w:t>
      </w:r>
    </w:p>
    <w:p w14:paraId="0E04FD56">
      <w:pPr>
        <w:ind w:firstLine="420" w:firstLineChars="0"/>
      </w:pPr>
      <w:r>
        <w:drawing>
          <wp:inline distT="0" distB="0" distL="114300" distR="114300">
            <wp:extent cx="5900420" cy="3314065"/>
            <wp:effectExtent l="0" t="0" r="5080" b="635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5CFCB">
      <w:pPr>
        <w:pStyle w:val="13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 xml:space="preserve"> 填入邻接表</w:t>
      </w:r>
    </w:p>
    <w:p w14:paraId="7B8E281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然后点初始化拓扑, 如果一切顺利，会提示初始化成功信息</w:t>
      </w:r>
    </w:p>
    <w:p w14:paraId="68125487">
      <w:pPr>
        <w:ind w:firstLine="420" w:firstLineChars="0"/>
      </w:pPr>
      <w:r>
        <w:drawing>
          <wp:inline distT="0" distB="0" distL="114300" distR="114300">
            <wp:extent cx="5899150" cy="3348990"/>
            <wp:effectExtent l="0" t="0" r="6350" b="381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7558D">
      <w:pPr>
        <w:pStyle w:val="13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 xml:space="preserve"> 初始化拓扑图</w:t>
      </w:r>
    </w:p>
    <w:p w14:paraId="1BB0F7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如果失败会有对应报错。</w:t>
      </w:r>
    </w:p>
    <w:p w14:paraId="01786D24">
      <w:pPr>
        <w:rPr>
          <w:rFonts w:hint="default"/>
          <w:lang w:val="en-US" w:eastAsia="zh-CN"/>
        </w:rPr>
      </w:pPr>
    </w:p>
    <w:p w14:paraId="5DEF71FD">
      <w:pPr>
        <w:pStyle w:val="4"/>
        <w:bidi w:val="0"/>
        <w:rPr>
          <w:rFonts w:hint="default"/>
          <w:lang w:val="en-US" w:eastAsia="zh-CN"/>
        </w:rPr>
      </w:pPr>
      <w:bookmarkStart w:id="9" w:name="_Toc11310"/>
      <w:r>
        <w:rPr>
          <w:rFonts w:hint="eastAsia"/>
          <w:lang w:val="en-US" w:eastAsia="zh-CN"/>
        </w:rPr>
        <w:t>初始化业务</w:t>
      </w:r>
      <w:bookmarkEnd w:id="9"/>
    </w:p>
    <w:p w14:paraId="5EA7D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如果你有业务表，可以尝试一下工具的自动计算功能。</w:t>
      </w:r>
    </w:p>
    <w:p w14:paraId="7F902C4D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业务表格式</w:t>
      </w:r>
    </w:p>
    <w:p w14:paraId="62EEA1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业务表是指拥有下面格式的表:</w:t>
      </w:r>
    </w:p>
    <w:p w14:paraId="0EE401E7">
      <w:r>
        <w:drawing>
          <wp:inline distT="0" distB="0" distL="114300" distR="114300">
            <wp:extent cx="5897245" cy="2312670"/>
            <wp:effectExtent l="0" t="0" r="8255" b="11430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4743A">
      <w:pPr>
        <w:pStyle w:val="1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 xml:space="preserve"> 业务表格式</w:t>
      </w:r>
    </w:p>
    <w:p w14:paraId="029A7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业务表必须包含这五列信息</w:t>
      </w:r>
    </w:p>
    <w:p w14:paraId="2427CB2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 xml:space="preserve">另外，业务表对于 </w:t>
      </w:r>
      <w:r>
        <w:rPr>
          <w:rFonts w:hint="eastAsia"/>
          <w:b/>
          <w:bCs/>
          <w:lang w:val="en-US" w:eastAsia="zh-CN"/>
        </w:rPr>
        <w:t xml:space="preserve">当前路由 </w:t>
      </w:r>
      <w:r>
        <w:rPr>
          <w:rFonts w:hint="eastAsia"/>
          <w:b w:val="0"/>
          <w:bCs w:val="0"/>
          <w:lang w:val="en-US" w:eastAsia="zh-CN"/>
        </w:rPr>
        <w:t>的格式也有要求，其必须形如下面这种格式:</w:t>
      </w:r>
    </w:p>
    <w:p w14:paraId="7D9177F5">
      <w:pPr>
        <w:jc w:val="center"/>
      </w:pPr>
      <w:r>
        <w:drawing>
          <wp:inline distT="0" distB="0" distL="114300" distR="114300">
            <wp:extent cx="2371725" cy="5133975"/>
            <wp:effectExtent l="0" t="0" r="9525" b="9525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0AB3E">
      <w:pPr>
        <w:pStyle w:val="1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 xml:space="preserve"> 当前路由格式</w:t>
      </w:r>
    </w:p>
    <w:p w14:paraId="689231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满足下面要求:</w:t>
      </w:r>
    </w:p>
    <w:p w14:paraId="58293247">
      <w:pPr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对于光路路由，每个站之间用-&gt;连接</w:t>
      </w:r>
    </w:p>
    <w:p w14:paraId="0EF7DCE8">
      <w:pPr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需要修改的链路标注为红色</w:t>
      </w:r>
      <w:r>
        <w:rPr>
          <w:rFonts w:hint="eastAsia"/>
          <w:shd w:val="clear" w:fill="FF0000"/>
          <w:lang w:val="en-US" w:eastAsia="zh-CN"/>
        </w:rPr>
        <w:t>(必须为标准红色 FF0000 ),</w:t>
      </w:r>
      <w:r>
        <w:rPr>
          <w:rFonts w:hint="eastAsia"/>
          <w:lang w:val="en-US" w:eastAsia="zh-CN"/>
        </w:rPr>
        <w:t xml:space="preserve"> 不需要修改的链路标注为黑色</w:t>
      </w:r>
    </w:p>
    <w:p w14:paraId="3644CD86">
      <w:pPr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光缆路由另起一行(有回车键)，并放在括号中，每个站之间用-连接</w:t>
      </w:r>
    </w:p>
    <w:p w14:paraId="315EF057">
      <w:pPr>
        <w:widowControl w:val="0"/>
        <w:numPr>
          <w:numId w:val="0"/>
        </w:numPr>
        <w:adjustRightInd w:val="0"/>
        <w:snapToGrid w:val="0"/>
        <w:spacing w:after="20" w:afterLines="20" w:line="288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如果格式不满足上面的要求，计算会失败，届时会在对应单元格打印错误信息</w:t>
      </w:r>
    </w:p>
    <w:p w14:paraId="682269D9">
      <w:pPr>
        <w:widowControl w:val="0"/>
        <w:numPr>
          <w:numId w:val="0"/>
        </w:numPr>
        <w:shd w:val="clear" w:fill="FFFF00"/>
        <w:adjustRightInd w:val="0"/>
        <w:snapToGrid w:val="0"/>
        <w:spacing w:after="20" w:afterLines="20" w:line="288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WARNING：如果你的业务表中包含多个sheet,工具会读取当前活跃的sheet,而不总是第一个sheet，请注意。</w:t>
      </w:r>
    </w:p>
    <w:p w14:paraId="5FDDDC5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操作方法</w:t>
      </w:r>
    </w:p>
    <w:p w14:paraId="14632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先选择业务表到业务表框，此部分介绍略去。</w:t>
      </w:r>
    </w:p>
    <w:p w14:paraId="73EA8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然后点击初始化业务表即可:</w:t>
      </w:r>
    </w:p>
    <w:p w14:paraId="6ADD3675">
      <w:r>
        <w:drawing>
          <wp:inline distT="0" distB="0" distL="114300" distR="114300">
            <wp:extent cx="5900420" cy="3289300"/>
            <wp:effectExtent l="0" t="0" r="5080" b="6350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FB4DB">
      <w:pPr>
        <w:pStyle w:val="1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 xml:space="preserve"> 初始化业务表</w:t>
      </w:r>
    </w:p>
    <w:p w14:paraId="249967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如果成功会有提示信息，失败会有报错信息。初始化业务后，你将可以使用路由自动计算功能。</w:t>
      </w:r>
    </w:p>
    <w:p w14:paraId="7B5C3CF9">
      <w:pPr>
        <w:pStyle w:val="4"/>
        <w:bidi w:val="0"/>
        <w:rPr>
          <w:rFonts w:hint="default"/>
          <w:lang w:val="en-US" w:eastAsia="zh-CN"/>
        </w:rPr>
      </w:pPr>
      <w:bookmarkStart w:id="10" w:name="_Toc2202"/>
      <w:r>
        <w:rPr>
          <w:rFonts w:hint="eastAsia"/>
          <w:lang w:val="en-US" w:eastAsia="zh-CN"/>
        </w:rPr>
        <w:t>路由计算手动</w:t>
      </w:r>
      <w:bookmarkEnd w:id="10"/>
    </w:p>
    <w:p w14:paraId="584A012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常规计算</w:t>
      </w:r>
    </w:p>
    <w:p w14:paraId="2DA4C3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初始化拓扑完成后，可以使用路由计算手动功能, 操作示例如下：</w:t>
      </w:r>
    </w:p>
    <w:p w14:paraId="6D673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假设现在我需要计算</w:t>
      </w:r>
      <w:r>
        <w:rPr>
          <w:rFonts w:hint="eastAsia"/>
          <w:b/>
          <w:bCs/>
          <w:lang w:val="en-US" w:eastAsia="zh-CN"/>
        </w:rPr>
        <w:t>龙塘站</w:t>
      </w:r>
      <w:r>
        <w:rPr>
          <w:rFonts w:hint="eastAsia"/>
          <w:lang w:val="en-US" w:eastAsia="zh-CN"/>
        </w:rPr>
        <w:t>到</w:t>
      </w:r>
      <w:r>
        <w:rPr>
          <w:rFonts w:hint="eastAsia"/>
          <w:b/>
          <w:bCs/>
          <w:lang w:val="en-US" w:eastAsia="zh-CN"/>
        </w:rPr>
        <w:t>梧桐站</w:t>
      </w:r>
      <w:r>
        <w:rPr>
          <w:rFonts w:hint="eastAsia"/>
          <w:lang w:val="en-US" w:eastAsia="zh-CN"/>
        </w:rPr>
        <w:t>的路由，预计计算三条不同的路由，配置如下:</w:t>
      </w:r>
    </w:p>
    <w:p w14:paraId="2405BA39">
      <w:r>
        <w:drawing>
          <wp:inline distT="0" distB="0" distL="114300" distR="114300">
            <wp:extent cx="5899785" cy="3297555"/>
            <wp:effectExtent l="0" t="0" r="5715" b="17145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6290D">
      <w:pPr>
        <w:pStyle w:val="1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 xml:space="preserve"> 计算示例1</w:t>
      </w:r>
    </w:p>
    <w:p w14:paraId="756445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然后点路由计算(手动)，得到下面结果:</w:t>
      </w:r>
    </w:p>
    <w:p w14:paraId="5686AC12">
      <w:r>
        <w:drawing>
          <wp:inline distT="0" distB="0" distL="114300" distR="114300">
            <wp:extent cx="5902325" cy="3315335"/>
            <wp:effectExtent l="0" t="0" r="3175" b="18415"/>
            <wp:docPr id="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47DBE">
      <w:pPr>
        <w:pStyle w:val="13"/>
        <w:jc w:val="center"/>
        <w:rPr>
          <w:rFonts w:hint="eastAsia" w:eastAsia="微软雅黑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CN"/>
        </w:rPr>
        <w:t xml:space="preserve"> 计算示例2</w:t>
      </w:r>
    </w:p>
    <w:p w14:paraId="3D13C0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Path是光路路由，FiberPath是光缆路由（预留接口）。Hop是跳数。</w:t>
      </w:r>
    </w:p>
    <w:p w14:paraId="230507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该结果是使用Dijstra算法计算得到的最小跳数路径，满足路由间不重合原则。</w:t>
      </w:r>
    </w:p>
    <w:p w14:paraId="5BFE617C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禁用路径</w:t>
      </w:r>
    </w:p>
    <w:p w14:paraId="766324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假设我还是计算</w:t>
      </w:r>
      <w:r>
        <w:rPr>
          <w:rFonts w:hint="eastAsia"/>
          <w:b/>
          <w:bCs/>
          <w:lang w:val="en-US" w:eastAsia="zh-CN"/>
        </w:rPr>
        <w:t>龙塘站</w:t>
      </w:r>
      <w:r>
        <w:rPr>
          <w:rFonts w:hint="eastAsia"/>
          <w:lang w:val="en-US" w:eastAsia="zh-CN"/>
        </w:rPr>
        <w:t>到</w:t>
      </w:r>
      <w:r>
        <w:rPr>
          <w:rFonts w:hint="eastAsia"/>
          <w:b/>
          <w:bCs/>
          <w:lang w:val="en-US" w:eastAsia="zh-CN"/>
        </w:rPr>
        <w:t>梧桐站</w:t>
      </w:r>
      <w:r>
        <w:rPr>
          <w:rFonts w:hint="eastAsia"/>
          <w:lang w:val="en-US" w:eastAsia="zh-CN"/>
        </w:rPr>
        <w:t>的路由，但是</w:t>
      </w:r>
      <w:r>
        <w:rPr>
          <w:rFonts w:hint="eastAsia"/>
          <w:b/>
          <w:bCs/>
          <w:lang w:val="en-US" w:eastAsia="zh-CN"/>
        </w:rPr>
        <w:t>深供-&gt;梧桐站</w:t>
      </w:r>
      <w:r>
        <w:rPr>
          <w:rFonts w:hint="eastAsia"/>
          <w:lang w:val="en-US" w:eastAsia="zh-CN"/>
        </w:rPr>
        <w:t>链路断开了无法使用，</w:t>
      </w:r>
      <w:r>
        <w:rPr>
          <w:rFonts w:hint="eastAsia"/>
          <w:b/>
          <w:bCs/>
          <w:lang w:val="en-US" w:eastAsia="zh-CN"/>
        </w:rPr>
        <w:t>现代站-&gt;屹百站</w:t>
      </w:r>
      <w:r>
        <w:rPr>
          <w:rFonts w:hint="eastAsia"/>
          <w:lang w:val="en-US" w:eastAsia="zh-CN"/>
        </w:rPr>
        <w:t>的链路也断开了。</w:t>
      </w:r>
    </w:p>
    <w:p w14:paraId="0CC27B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可以在禁用路径窗口输入这两个路径禁用</w:t>
      </w:r>
    </w:p>
    <w:p w14:paraId="485717F6">
      <w:r>
        <w:drawing>
          <wp:inline distT="0" distB="0" distL="114300" distR="114300">
            <wp:extent cx="5897245" cy="3261360"/>
            <wp:effectExtent l="0" t="0" r="8255" b="15240"/>
            <wp:docPr id="2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94E8C">
      <w:pPr>
        <w:pStyle w:val="13"/>
        <w:jc w:val="center"/>
        <w:rPr>
          <w:rFonts w:hint="default" w:eastAsia="微软雅黑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val="en-US" w:eastAsia="zh-CN"/>
        </w:rPr>
        <w:t xml:space="preserve"> 禁用链路</w:t>
      </w:r>
    </w:p>
    <w:p w14:paraId="5E7E81B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然后再点路由计算（手动）:</w:t>
      </w:r>
    </w:p>
    <w:p w14:paraId="734B358B">
      <w:pPr>
        <w:ind w:firstLine="420" w:firstLineChars="0"/>
      </w:pPr>
      <w:r>
        <w:drawing>
          <wp:inline distT="0" distB="0" distL="114300" distR="114300">
            <wp:extent cx="5901055" cy="3266440"/>
            <wp:effectExtent l="0" t="0" r="4445" b="10160"/>
            <wp:docPr id="2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105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5BD86">
      <w:pPr>
        <w:pStyle w:val="13"/>
        <w:ind w:firstLine="420" w:firstLineChars="0"/>
        <w:jc w:val="center"/>
        <w:rPr>
          <w:rFonts w:hint="eastAsia" w:eastAsia="微软雅黑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eastAsia="zh-CN"/>
        </w:rPr>
        <w:t xml:space="preserve"> 禁用路径计算结果</w:t>
      </w:r>
    </w:p>
    <w:p w14:paraId="3CA65F9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发现计算出的路径绕过了设置的禁用路径。</w:t>
      </w:r>
    </w:p>
    <w:p w14:paraId="5DBD2C75">
      <w:pPr>
        <w:pStyle w:val="4"/>
        <w:bidi w:val="0"/>
        <w:rPr>
          <w:rFonts w:hint="default"/>
          <w:lang w:val="en-US" w:eastAsia="zh-CN"/>
        </w:rPr>
      </w:pPr>
      <w:bookmarkStart w:id="11" w:name="_Toc17322"/>
      <w:r>
        <w:rPr>
          <w:rFonts w:hint="eastAsia"/>
          <w:lang w:val="en-US" w:eastAsia="zh-CN"/>
        </w:rPr>
        <w:t>路由计算自动</w:t>
      </w:r>
      <w:bookmarkEnd w:id="11"/>
    </w:p>
    <w:p w14:paraId="7444B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如果你已经完成了拓扑初始化和业务表初始化，可以使用路由计算自动的功能。关于拓扑初始化和业务表初始化请参照3.3.2节和3.3.3节。</w:t>
      </w:r>
    </w:p>
    <w:p w14:paraId="6635A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路由计算自动的功能很简单，点击GUI上的路由计算(自动)即可。</w:t>
      </w:r>
    </w:p>
    <w:p w14:paraId="54D8D0EC">
      <w:r>
        <w:drawing>
          <wp:inline distT="0" distB="0" distL="114300" distR="114300">
            <wp:extent cx="5904230" cy="3315335"/>
            <wp:effectExtent l="0" t="0" r="1270" b="18415"/>
            <wp:docPr id="2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B1B61">
      <w:pPr>
        <w:pStyle w:val="1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eastAsia="zh-CN"/>
        </w:rPr>
        <w:t xml:space="preserve"> 路由计算自动</w:t>
      </w:r>
    </w:p>
    <w:p w14:paraId="43217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该功能会导出计算表格并打开，但有以下注意事项:</w:t>
      </w:r>
    </w:p>
    <w:p w14:paraId="368709FF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自动路由计算时，会使用</w:t>
      </w:r>
      <w:r>
        <w:rPr>
          <w:rFonts w:hint="eastAsia"/>
          <w:shd w:val="clear" w:fill="FF0000"/>
          <w:lang w:val="en-US" w:eastAsia="zh-CN"/>
        </w:rPr>
        <w:t>当前拓扑和当前业务表</w:t>
      </w:r>
      <w:r>
        <w:rPr>
          <w:rFonts w:hint="eastAsia"/>
          <w:lang w:val="en-US" w:eastAsia="zh-CN"/>
        </w:rPr>
        <w:t>进行计算，如果你的业务表里面某些业务包含多个网络的业务，例如同时有华为网和中兴网的业务，请自行排查，确保当前业务表里只有一个拓扑下的业务，以免发生混淆。</w:t>
      </w:r>
    </w:p>
    <w:p w14:paraId="03FACB67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请确保你的业务表格式符合工具3.3.3.1节的规范，否则会产生错误信息，请核查。</w:t>
      </w:r>
    </w:p>
    <w:p w14:paraId="4F55D928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工具计算时，仅会对</w:t>
      </w:r>
      <w:r>
        <w:rPr>
          <w:rFonts w:hint="eastAsia"/>
          <w:shd w:val="clear" w:fill="FF0000"/>
          <w:lang w:val="en-US" w:eastAsia="zh-CN"/>
        </w:rPr>
        <w:t>红色链路</w:t>
      </w:r>
      <w:r>
        <w:rPr>
          <w:rFonts w:hint="eastAsia"/>
          <w:lang w:val="en-US" w:eastAsia="zh-CN"/>
        </w:rPr>
        <w:t>进行重新计算，黑色链路会原样返回</w:t>
      </w:r>
    </w:p>
    <w:p w14:paraId="37E60AA0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同一个业务的多条链路工具会保证链路不重合，工具保证所有红色链路不会在计算后的链路中出现</w:t>
      </w:r>
    </w:p>
    <w:p w14:paraId="21D03ABE">
      <w:pPr>
        <w:widowControl w:val="0"/>
        <w:numPr>
          <w:numId w:val="0"/>
        </w:numPr>
        <w:adjustRightInd w:val="0"/>
        <w:snapToGrid w:val="0"/>
        <w:spacing w:after="20" w:afterLines="20" w:line="288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最后说明一下输出格式，输出示例如下:</w:t>
      </w:r>
    </w:p>
    <w:p w14:paraId="44A0359D">
      <w:pPr>
        <w:widowControl w:val="0"/>
        <w:numPr>
          <w:numId w:val="0"/>
        </w:numPr>
        <w:adjustRightInd w:val="0"/>
        <w:snapToGrid w:val="0"/>
        <w:spacing w:after="20" w:afterLines="20" w:line="288" w:lineRule="auto"/>
        <w:jc w:val="both"/>
      </w:pPr>
      <w:r>
        <w:drawing>
          <wp:inline distT="0" distB="0" distL="114300" distR="114300">
            <wp:extent cx="5899150" cy="2949575"/>
            <wp:effectExtent l="0" t="0" r="6350" b="3175"/>
            <wp:docPr id="2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0B569">
      <w:pPr>
        <w:pStyle w:val="13"/>
        <w:widowControl w:val="0"/>
        <w:numPr>
          <w:numId w:val="0"/>
        </w:numPr>
        <w:adjustRightInd w:val="0"/>
        <w:snapToGrid w:val="0"/>
        <w:spacing w:after="20" w:afterLines="20" w:line="288" w:lineRule="auto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  <w:lang w:eastAsia="zh-CN"/>
        </w:rPr>
        <w:t xml:space="preserve"> 路由计算自动输出示例</w:t>
      </w:r>
    </w:p>
    <w:p w14:paraId="3E88DF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黑色表示原本的链路，红色表示修改的链路，蓝色表示计算错误信息。</w:t>
      </w:r>
    </w:p>
    <w:p w14:paraId="7598D077">
      <w:pPr>
        <w:pStyle w:val="2"/>
        <w:tabs>
          <w:tab w:val="left" w:pos="425"/>
          <w:tab w:val="clear" w:pos="0"/>
        </w:tabs>
        <w:spacing w:after="156"/>
      </w:pPr>
      <w:bookmarkStart w:id="12" w:name="_Toc29740"/>
      <w:r>
        <w:rPr>
          <w:rFonts w:hint="eastAsia"/>
        </w:rPr>
        <w:t>Change</w:t>
      </w:r>
      <w:r>
        <w:t xml:space="preserve"> LOG</w:t>
      </w:r>
      <w:bookmarkEnd w:id="12"/>
    </w:p>
    <w:p w14:paraId="53269062">
      <w:pPr>
        <w:spacing w:after="156"/>
        <w:ind w:left="420"/>
        <w:rPr>
          <w:rFonts w:hint="default" w:eastAsia="宋体"/>
          <w:lang w:val="en-US" w:eastAsia="zh-CN"/>
        </w:rPr>
      </w:pPr>
      <w:r>
        <w:rPr>
          <w:rFonts w:hint="eastAsia"/>
        </w:rPr>
        <w:t>V</w:t>
      </w:r>
      <w:r>
        <w:rPr>
          <w:rFonts w:hint="eastAsia"/>
          <w:lang w:val="en-US" w:eastAsia="zh-CN"/>
        </w:rPr>
        <w:t>0.1</w:t>
      </w:r>
      <w:r>
        <w:rPr>
          <w:rFonts w:hint="eastAsia"/>
          <w:lang w:val="en-US" w:eastAsia="zh-CN"/>
        </w:rPr>
        <w:tab/>
        <w:t>开发工具第一版，有待测试</w:t>
      </w:r>
    </w:p>
    <w:p w14:paraId="06C0CE16">
      <w:pPr>
        <w:pStyle w:val="51"/>
        <w:adjustRightInd w:val="0"/>
        <w:spacing w:after="156" w:line="276" w:lineRule="auto"/>
        <w:ind w:left="840" w:firstLine="0" w:firstLineChars="0"/>
        <w:textAlignment w:val="baseline"/>
        <w:rPr>
          <w:sz w:val="24"/>
          <w:szCs w:val="32"/>
        </w:rPr>
      </w:pPr>
    </w:p>
    <w:p w14:paraId="47DA4FC9">
      <w:pPr>
        <w:pStyle w:val="2"/>
        <w:tabs>
          <w:tab w:val="left" w:pos="425"/>
          <w:tab w:val="clear" w:pos="0"/>
        </w:tabs>
        <w:spacing w:after="156"/>
      </w:pPr>
      <w:bookmarkStart w:id="13" w:name="_Toc144832636"/>
      <w:bookmarkStart w:id="14" w:name="_Toc1411"/>
      <w:r>
        <w:rPr>
          <w:rFonts w:hint="eastAsia"/>
        </w:rPr>
        <w:t>存在的问题</w:t>
      </w:r>
      <w:r>
        <w:t>&amp;&amp;TODO</w:t>
      </w:r>
      <w:bookmarkEnd w:id="13"/>
      <w:bookmarkEnd w:id="14"/>
    </w:p>
    <w:p w14:paraId="7A2888A6">
      <w:pPr>
        <w:pStyle w:val="51"/>
        <w:numPr>
          <w:ilvl w:val="0"/>
          <w:numId w:val="8"/>
        </w:numPr>
        <w:spacing w:after="156"/>
        <w:ind w:firstLineChars="0"/>
      </w:pPr>
      <w:r>
        <w:rPr>
          <w:rFonts w:hint="eastAsia"/>
          <w:lang w:val="en-US" w:eastAsia="zh-CN"/>
        </w:rPr>
        <w:t>暂不支持光缆路由计算，后续更新</w:t>
      </w:r>
    </w:p>
    <w:p w14:paraId="50FE2C8D">
      <w:pPr>
        <w:pStyle w:val="51"/>
        <w:numPr>
          <w:ilvl w:val="0"/>
          <w:numId w:val="8"/>
        </w:numPr>
        <w:spacing w:after="156"/>
        <w:ind w:firstLineChars="0"/>
      </w:pPr>
      <w:r>
        <w:rPr>
          <w:rFonts w:hint="eastAsia"/>
          <w:lang w:val="en-US" w:eastAsia="zh-CN"/>
        </w:rPr>
        <w:t>目前使用的是传输段的A端站点和Z端站点初始化拓扑，可能无法识别成功诸如屹百58E这种带后缀格式的站点，后续预计使用A端网元信息优化站点匹配</w:t>
      </w:r>
    </w:p>
    <w:p w14:paraId="6E90CF85">
      <w:pPr>
        <w:pStyle w:val="51"/>
        <w:numPr>
          <w:ilvl w:val="0"/>
          <w:numId w:val="8"/>
        </w:numPr>
        <w:spacing w:after="156"/>
        <w:ind w:firstLineChars="0"/>
      </w:pPr>
      <w:r>
        <w:rPr>
          <w:rFonts w:hint="eastAsia"/>
          <w:lang w:val="en-US" w:eastAsia="zh-CN"/>
        </w:rPr>
        <w:t>输入地图进行图像识别的功能精度待优化</w:t>
      </w:r>
    </w:p>
    <w:p w14:paraId="5BB3F404">
      <w:pPr>
        <w:pStyle w:val="51"/>
        <w:spacing w:after="156"/>
        <w:ind w:left="840" w:firstLine="0" w:firstLineChars="0"/>
      </w:pPr>
    </w:p>
    <w:sectPr>
      <w:footerReference r:id="rId14" w:type="default"/>
      <w:pgSz w:w="11906" w:h="16838"/>
      <w:pgMar w:top="1440" w:right="1304" w:bottom="1134" w:left="1304" w:header="340" w:footer="567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99680">
    <w:pPr>
      <w:pStyle w:val="23"/>
      <w:framePr w:wrap="around" w:vAnchor="text" w:hAnchor="margin" w:y="1"/>
      <w:spacing w:before="120" w:after="120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separate"/>
    </w:r>
    <w:r>
      <w:rPr>
        <w:rStyle w:val="42"/>
      </w:rPr>
      <w:t>II</w:t>
    </w:r>
    <w:r>
      <w:rPr>
        <w:rStyle w:val="42"/>
      </w:rPr>
      <w:fldChar w:fldCharType="end"/>
    </w:r>
  </w:p>
  <w:p w14:paraId="47BF6F1C">
    <w:pPr>
      <w:pStyle w:val="23"/>
      <w:tabs>
        <w:tab w:val="center" w:pos="4500"/>
        <w:tab w:val="right" w:pos="9000"/>
        <w:tab w:val="clear" w:pos="4153"/>
        <w:tab w:val="clear" w:pos="8306"/>
      </w:tabs>
      <w:spacing w:before="120" w:after="120"/>
      <w:ind w:firstLine="90" w:firstLineChars="50"/>
    </w:pPr>
    <w:r>
      <w:rPr>
        <w:rFonts w:hint="eastAsia"/>
      </w:rPr>
      <w:tab/>
    </w:r>
    <w:r>
      <w:rPr>
        <w:rFonts w:hint="eastAsia"/>
      </w:rPr>
      <w:t xml:space="preserve"> </w:t>
    </w:r>
  </w:p>
  <w:p w14:paraId="1616715F">
    <w:pPr>
      <w:spacing w:before="120"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587F0">
    <w:pPr>
      <w:pStyle w:val="23"/>
      <w:framePr w:wrap="around" w:vAnchor="text" w:hAnchor="margin" w:y="1"/>
      <w:spacing w:before="120" w:after="120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end"/>
    </w:r>
  </w:p>
  <w:p w14:paraId="71BCE7A3">
    <w:pPr>
      <w:pStyle w:val="23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BC20E">
    <w:pPr>
      <w:pStyle w:val="23"/>
      <w:spacing w:after="12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5F24B">
    <w:pPr>
      <w:spacing w:before="120" w:after="120"/>
      <w:jc w:val="center"/>
    </w:pPr>
    <w:r>
      <w:rPr>
        <w:rStyle w:val="42"/>
        <w:sz w:val="18"/>
        <w:szCs w:val="18"/>
      </w:rPr>
      <w:fldChar w:fldCharType="begin"/>
    </w:r>
    <w:r>
      <w:rPr>
        <w:rStyle w:val="42"/>
        <w:sz w:val="18"/>
        <w:szCs w:val="18"/>
      </w:rPr>
      <w:instrText xml:space="preserve"> PAGE </w:instrText>
    </w:r>
    <w:r>
      <w:rPr>
        <w:rStyle w:val="42"/>
        <w:sz w:val="18"/>
        <w:szCs w:val="18"/>
      </w:rPr>
      <w:fldChar w:fldCharType="separate"/>
    </w:r>
    <w:r>
      <w:rPr>
        <w:rStyle w:val="42"/>
        <w:sz w:val="18"/>
        <w:szCs w:val="18"/>
      </w:rPr>
      <w:t>II</w:t>
    </w:r>
    <w:r>
      <w:rPr>
        <w:rStyle w:val="42"/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F29C4">
    <w:pPr>
      <w:pStyle w:val="23"/>
      <w:framePr w:wrap="around" w:vAnchor="text" w:hAnchor="margin" w:xAlign="center" w:y="1"/>
      <w:spacing w:before="120" w:after="120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separate"/>
    </w:r>
    <w:r>
      <w:rPr>
        <w:rStyle w:val="42"/>
      </w:rPr>
      <w:t>I</w:t>
    </w:r>
    <w:r>
      <w:rPr>
        <w:rStyle w:val="42"/>
      </w:rPr>
      <w:fldChar w:fldCharType="end"/>
    </w:r>
  </w:p>
  <w:p w14:paraId="4932011F">
    <w:pPr>
      <w:pStyle w:val="23"/>
      <w:spacing w:before="120" w:after="120"/>
      <w:jc w:val="cen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598B7">
    <w:pPr>
      <w:pStyle w:val="23"/>
      <w:tabs>
        <w:tab w:val="center" w:pos="4500"/>
        <w:tab w:val="right" w:pos="9000"/>
        <w:tab w:val="clear" w:pos="4153"/>
        <w:tab w:val="clear" w:pos="8306"/>
      </w:tabs>
      <w:spacing w:before="120" w:after="120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7"/>
      <w:tblW w:w="9351" w:type="dxa"/>
      <w:tblInd w:w="8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542"/>
      <w:gridCol w:w="6809"/>
    </w:tblGrid>
    <w:tr w14:paraId="1B0B0836">
      <w:tblPrEx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97" w:hRule="atLeast"/>
      </w:trPr>
      <w:tc>
        <w:tcPr>
          <w:tcW w:w="2542" w:type="dxa"/>
          <w:tcBorders>
            <w:bottom w:val="single" w:color="auto" w:sz="12" w:space="0"/>
            <w:right w:val="single" w:color="FFFFFF" w:sz="4" w:space="0"/>
          </w:tcBorders>
          <w:vAlign w:val="bottom"/>
        </w:tcPr>
        <w:p w14:paraId="36779066">
          <w:pPr>
            <w:adjustRightInd w:val="0"/>
            <w:snapToGrid w:val="0"/>
            <w:spacing w:before="120" w:after="48" w:afterLines="20"/>
            <w:ind w:hanging="79"/>
            <w:rPr>
              <w:sz w:val="18"/>
              <w:szCs w:val="18"/>
            </w:rPr>
          </w:pPr>
        </w:p>
      </w:tc>
      <w:tc>
        <w:tcPr>
          <w:tcW w:w="6809" w:type="dxa"/>
          <w:tcBorders>
            <w:left w:val="single" w:color="FFFFFF" w:sz="4" w:space="0"/>
            <w:bottom w:val="single" w:color="auto" w:sz="12" w:space="0"/>
          </w:tcBorders>
          <w:vAlign w:val="bottom"/>
        </w:tcPr>
        <w:p w14:paraId="23EB7598">
          <w:pPr>
            <w:spacing w:before="120" w:after="120"/>
            <w:ind w:right="180"/>
            <w:jc w:val="right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  <w:lang w:val="en-US" w:eastAsia="zh-CN"/>
            </w:rPr>
            <w:t>AutoRoute</w:t>
          </w:r>
          <w:r>
            <w:rPr>
              <w:rFonts w:hint="eastAsia"/>
              <w:sz w:val="18"/>
              <w:szCs w:val="18"/>
            </w:rPr>
            <w:t>使用说明</w:t>
          </w:r>
        </w:p>
      </w:tc>
    </w:tr>
  </w:tbl>
  <w:p w14:paraId="1146B7BE">
    <w:pPr>
      <w:spacing w:before="120" w:after="120" w:line="60" w:lineRule="auto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1917B">
    <w:pPr>
      <w:pStyle w:val="24"/>
      <w:spacing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AB471">
    <w:pPr>
      <w:pStyle w:val="24"/>
      <w:pBdr>
        <w:bottom w:val="none" w:color="auto" w:sz="0" w:space="0"/>
      </w:pBdr>
      <w:spacing w:before="120" w:after="12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7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621"/>
      <w:gridCol w:w="4621"/>
    </w:tblGrid>
    <w:tr w14:paraId="79067F9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621" w:type="dxa"/>
          <w:tcBorders>
            <w:top w:val="single" w:color="FFFFFF" w:sz="4" w:space="0"/>
            <w:left w:val="single" w:color="FFFFFF" w:sz="4" w:space="0"/>
            <w:right w:val="single" w:color="FFFFFF" w:sz="4" w:space="0"/>
          </w:tcBorders>
        </w:tcPr>
        <w:p w14:paraId="133845CA">
          <w:pPr>
            <w:spacing w:before="120" w:after="12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drawing>
              <wp:inline distT="0" distB="0" distL="0" distR="0">
                <wp:extent cx="1323975" cy="390525"/>
                <wp:effectExtent l="0" t="0" r="0" b="0"/>
                <wp:docPr id="2" name="图片 2" descr="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397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hint="eastAsia"/>
              <w:sz w:val="18"/>
              <w:szCs w:val="18"/>
            </w:rPr>
            <w:t xml:space="preserve">                                        </w:t>
          </w:r>
        </w:p>
      </w:tc>
      <w:tc>
        <w:tcPr>
          <w:tcW w:w="4621" w:type="dxa"/>
          <w:tcBorders>
            <w:top w:val="single" w:color="FFFFFF" w:sz="4" w:space="0"/>
            <w:left w:val="single" w:color="FFFFFF" w:sz="4" w:space="0"/>
            <w:right w:val="single" w:color="FFFFFF" w:sz="4" w:space="0"/>
          </w:tcBorders>
          <w:vAlign w:val="bottom"/>
        </w:tcPr>
        <w:p w14:paraId="70DA128C">
          <w:pPr>
            <w:spacing w:before="120" w:after="120"/>
            <w:jc w:val="right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 xml:space="preserve">      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DOCPROPERTY  模块名称  \* MERGEFORMAT </w:instrText>
          </w:r>
          <w:r>
            <w:rPr>
              <w:sz w:val="18"/>
              <w:szCs w:val="18"/>
            </w:rPr>
            <w:fldChar w:fldCharType="separate"/>
          </w:r>
          <w:r>
            <w:rPr>
              <w:rFonts w:hint="eastAsia"/>
              <w:sz w:val="18"/>
              <w:szCs w:val="18"/>
            </w:rPr>
            <w:t>Template模块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</w:instrText>
          </w:r>
          <w:r>
            <w:rPr>
              <w:rFonts w:hint="eastAsia"/>
              <w:sz w:val="18"/>
              <w:szCs w:val="18"/>
            </w:rPr>
            <w:instrText xml:space="preserve">DOCPROPERTY  版本号  \* MERGEFORMAT</w:instrText>
          </w:r>
          <w:r>
            <w:rPr>
              <w:sz w:val="18"/>
              <w:szCs w:val="18"/>
            </w:rPr>
            <w:instrText xml:space="preserve">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V1.0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0959B214">
    <w:pPr>
      <w:spacing w:before="120"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768773"/>
    <w:multiLevelType w:val="singleLevel"/>
    <w:tmpl w:val="C576877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DE9200A"/>
    <w:multiLevelType w:val="singleLevel"/>
    <w:tmpl w:val="DDE9200A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AB4413A"/>
    <w:multiLevelType w:val="multilevel"/>
    <w:tmpl w:val="3AB4413A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4">
    <w:nsid w:val="427A1CBE"/>
    <w:multiLevelType w:val="singleLevel"/>
    <w:tmpl w:val="427A1CB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4789702F"/>
    <w:multiLevelType w:val="singleLevel"/>
    <w:tmpl w:val="4789702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6">
    <w:nsid w:val="535316E4"/>
    <w:multiLevelType w:val="singleLevel"/>
    <w:tmpl w:val="535316E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6102F08"/>
    <w:multiLevelType w:val="singleLevel"/>
    <w:tmpl w:val="56102F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F07"/>
    <w:rsid w:val="000034D3"/>
    <w:rsid w:val="00007429"/>
    <w:rsid w:val="00011C56"/>
    <w:rsid w:val="00013DFC"/>
    <w:rsid w:val="00014977"/>
    <w:rsid w:val="0001596F"/>
    <w:rsid w:val="000164F4"/>
    <w:rsid w:val="000169EB"/>
    <w:rsid w:val="00017A32"/>
    <w:rsid w:val="00026A00"/>
    <w:rsid w:val="000279C2"/>
    <w:rsid w:val="00027A4A"/>
    <w:rsid w:val="00030418"/>
    <w:rsid w:val="00032A7A"/>
    <w:rsid w:val="00041013"/>
    <w:rsid w:val="00041F88"/>
    <w:rsid w:val="00044976"/>
    <w:rsid w:val="000450D0"/>
    <w:rsid w:val="00045D03"/>
    <w:rsid w:val="00063744"/>
    <w:rsid w:val="00066895"/>
    <w:rsid w:val="00067763"/>
    <w:rsid w:val="00070AA3"/>
    <w:rsid w:val="0007274C"/>
    <w:rsid w:val="000743C1"/>
    <w:rsid w:val="00074F08"/>
    <w:rsid w:val="00083931"/>
    <w:rsid w:val="00085053"/>
    <w:rsid w:val="00086BCC"/>
    <w:rsid w:val="00087E0D"/>
    <w:rsid w:val="000931D0"/>
    <w:rsid w:val="0009337E"/>
    <w:rsid w:val="00094F87"/>
    <w:rsid w:val="00095489"/>
    <w:rsid w:val="00095584"/>
    <w:rsid w:val="00095780"/>
    <w:rsid w:val="00096A4A"/>
    <w:rsid w:val="00096FBF"/>
    <w:rsid w:val="000A0015"/>
    <w:rsid w:val="000A044E"/>
    <w:rsid w:val="000A07F3"/>
    <w:rsid w:val="000A0A78"/>
    <w:rsid w:val="000A2A7C"/>
    <w:rsid w:val="000A3ED6"/>
    <w:rsid w:val="000A666B"/>
    <w:rsid w:val="000A687B"/>
    <w:rsid w:val="000A7103"/>
    <w:rsid w:val="000A7C04"/>
    <w:rsid w:val="000B044C"/>
    <w:rsid w:val="000B0948"/>
    <w:rsid w:val="000B1175"/>
    <w:rsid w:val="000B38C5"/>
    <w:rsid w:val="000B408D"/>
    <w:rsid w:val="000B4F82"/>
    <w:rsid w:val="000B789C"/>
    <w:rsid w:val="000C0B6D"/>
    <w:rsid w:val="000C13E3"/>
    <w:rsid w:val="000C329E"/>
    <w:rsid w:val="000C3D72"/>
    <w:rsid w:val="000C3FDB"/>
    <w:rsid w:val="000C56F3"/>
    <w:rsid w:val="000D0195"/>
    <w:rsid w:val="000D10BE"/>
    <w:rsid w:val="000E2010"/>
    <w:rsid w:val="000E3800"/>
    <w:rsid w:val="000E3FE6"/>
    <w:rsid w:val="000E5497"/>
    <w:rsid w:val="000E728B"/>
    <w:rsid w:val="000F3B74"/>
    <w:rsid w:val="000F4109"/>
    <w:rsid w:val="000F48B1"/>
    <w:rsid w:val="000F6493"/>
    <w:rsid w:val="000F7FE9"/>
    <w:rsid w:val="00100A5F"/>
    <w:rsid w:val="00103475"/>
    <w:rsid w:val="00105A5A"/>
    <w:rsid w:val="001060EC"/>
    <w:rsid w:val="0010668A"/>
    <w:rsid w:val="00106B8C"/>
    <w:rsid w:val="001100B0"/>
    <w:rsid w:val="001104C8"/>
    <w:rsid w:val="001116A5"/>
    <w:rsid w:val="00112381"/>
    <w:rsid w:val="001127FF"/>
    <w:rsid w:val="0011708A"/>
    <w:rsid w:val="00117ECD"/>
    <w:rsid w:val="00120812"/>
    <w:rsid w:val="0012187E"/>
    <w:rsid w:val="0012291C"/>
    <w:rsid w:val="00122A2D"/>
    <w:rsid w:val="00122B95"/>
    <w:rsid w:val="00124E54"/>
    <w:rsid w:val="00127152"/>
    <w:rsid w:val="0012799B"/>
    <w:rsid w:val="00127B8E"/>
    <w:rsid w:val="00131767"/>
    <w:rsid w:val="00131A99"/>
    <w:rsid w:val="00132214"/>
    <w:rsid w:val="00133239"/>
    <w:rsid w:val="00137498"/>
    <w:rsid w:val="001375A8"/>
    <w:rsid w:val="00137953"/>
    <w:rsid w:val="00142EF1"/>
    <w:rsid w:val="001437F8"/>
    <w:rsid w:val="001512FF"/>
    <w:rsid w:val="00152715"/>
    <w:rsid w:val="001532D2"/>
    <w:rsid w:val="00154B8B"/>
    <w:rsid w:val="001568C3"/>
    <w:rsid w:val="00156D6F"/>
    <w:rsid w:val="001623D6"/>
    <w:rsid w:val="001656D8"/>
    <w:rsid w:val="00165B07"/>
    <w:rsid w:val="00166A6D"/>
    <w:rsid w:val="00171E03"/>
    <w:rsid w:val="001765F7"/>
    <w:rsid w:val="00176918"/>
    <w:rsid w:val="001808B8"/>
    <w:rsid w:val="00180D2A"/>
    <w:rsid w:val="001821A4"/>
    <w:rsid w:val="001853C7"/>
    <w:rsid w:val="0019429A"/>
    <w:rsid w:val="001A0728"/>
    <w:rsid w:val="001A4B57"/>
    <w:rsid w:val="001A71EF"/>
    <w:rsid w:val="001A7319"/>
    <w:rsid w:val="001A7817"/>
    <w:rsid w:val="001B03ED"/>
    <w:rsid w:val="001B2AFC"/>
    <w:rsid w:val="001B3745"/>
    <w:rsid w:val="001B41A7"/>
    <w:rsid w:val="001B5C25"/>
    <w:rsid w:val="001B605E"/>
    <w:rsid w:val="001B7FBF"/>
    <w:rsid w:val="001C09BD"/>
    <w:rsid w:val="001C1F15"/>
    <w:rsid w:val="001C3966"/>
    <w:rsid w:val="001C41B5"/>
    <w:rsid w:val="001C7C0A"/>
    <w:rsid w:val="001D53DC"/>
    <w:rsid w:val="001E28A4"/>
    <w:rsid w:val="001E37C1"/>
    <w:rsid w:val="001E57A5"/>
    <w:rsid w:val="001E6F3C"/>
    <w:rsid w:val="001E780D"/>
    <w:rsid w:val="001F0180"/>
    <w:rsid w:val="001F4C6B"/>
    <w:rsid w:val="001F7168"/>
    <w:rsid w:val="002007B7"/>
    <w:rsid w:val="00202CA0"/>
    <w:rsid w:val="00202D8A"/>
    <w:rsid w:val="00203AA9"/>
    <w:rsid w:val="00205CB3"/>
    <w:rsid w:val="0020740E"/>
    <w:rsid w:val="002076DB"/>
    <w:rsid w:val="00207A8D"/>
    <w:rsid w:val="00212191"/>
    <w:rsid w:val="00212358"/>
    <w:rsid w:val="0021384C"/>
    <w:rsid w:val="0021519C"/>
    <w:rsid w:val="00215FD9"/>
    <w:rsid w:val="0022160F"/>
    <w:rsid w:val="002234C1"/>
    <w:rsid w:val="00225AA6"/>
    <w:rsid w:val="00232420"/>
    <w:rsid w:val="00233792"/>
    <w:rsid w:val="00234ADD"/>
    <w:rsid w:val="00240AA9"/>
    <w:rsid w:val="00240E3D"/>
    <w:rsid w:val="002422B1"/>
    <w:rsid w:val="00242552"/>
    <w:rsid w:val="00242B30"/>
    <w:rsid w:val="00246EA9"/>
    <w:rsid w:val="00251190"/>
    <w:rsid w:val="002540F6"/>
    <w:rsid w:val="0025564F"/>
    <w:rsid w:val="002570E8"/>
    <w:rsid w:val="00257C97"/>
    <w:rsid w:val="00263F0F"/>
    <w:rsid w:val="00267A33"/>
    <w:rsid w:val="00267F67"/>
    <w:rsid w:val="00280625"/>
    <w:rsid w:val="00284321"/>
    <w:rsid w:val="00285EA9"/>
    <w:rsid w:val="0029452D"/>
    <w:rsid w:val="0029530C"/>
    <w:rsid w:val="002971C8"/>
    <w:rsid w:val="002A1C9E"/>
    <w:rsid w:val="002A2E20"/>
    <w:rsid w:val="002A2FE9"/>
    <w:rsid w:val="002A3A61"/>
    <w:rsid w:val="002A3FA6"/>
    <w:rsid w:val="002A729C"/>
    <w:rsid w:val="002B1981"/>
    <w:rsid w:val="002B2922"/>
    <w:rsid w:val="002B420F"/>
    <w:rsid w:val="002B4C8A"/>
    <w:rsid w:val="002B7A1B"/>
    <w:rsid w:val="002C0AE6"/>
    <w:rsid w:val="002C3CAC"/>
    <w:rsid w:val="002C637A"/>
    <w:rsid w:val="002D3EFF"/>
    <w:rsid w:val="002D4384"/>
    <w:rsid w:val="002D694F"/>
    <w:rsid w:val="002E264D"/>
    <w:rsid w:val="002E3453"/>
    <w:rsid w:val="002E40A7"/>
    <w:rsid w:val="002E5E30"/>
    <w:rsid w:val="002E6C5B"/>
    <w:rsid w:val="002E7CB4"/>
    <w:rsid w:val="002F46C8"/>
    <w:rsid w:val="002F58F7"/>
    <w:rsid w:val="002F6191"/>
    <w:rsid w:val="002F6FD2"/>
    <w:rsid w:val="00300034"/>
    <w:rsid w:val="00302134"/>
    <w:rsid w:val="00311F58"/>
    <w:rsid w:val="00312F17"/>
    <w:rsid w:val="00313C6A"/>
    <w:rsid w:val="003146C2"/>
    <w:rsid w:val="003224C1"/>
    <w:rsid w:val="00325D3E"/>
    <w:rsid w:val="0033189E"/>
    <w:rsid w:val="00331E39"/>
    <w:rsid w:val="0033232C"/>
    <w:rsid w:val="00334189"/>
    <w:rsid w:val="003356A2"/>
    <w:rsid w:val="003369EA"/>
    <w:rsid w:val="00342125"/>
    <w:rsid w:val="0034338B"/>
    <w:rsid w:val="00343754"/>
    <w:rsid w:val="00347828"/>
    <w:rsid w:val="00347F34"/>
    <w:rsid w:val="00351456"/>
    <w:rsid w:val="00352BB4"/>
    <w:rsid w:val="003542D9"/>
    <w:rsid w:val="0035523A"/>
    <w:rsid w:val="00355A65"/>
    <w:rsid w:val="00356177"/>
    <w:rsid w:val="00360584"/>
    <w:rsid w:val="00361D5A"/>
    <w:rsid w:val="0036321C"/>
    <w:rsid w:val="0036645E"/>
    <w:rsid w:val="00367C65"/>
    <w:rsid w:val="00371C2A"/>
    <w:rsid w:val="003728B3"/>
    <w:rsid w:val="00373774"/>
    <w:rsid w:val="00374DFC"/>
    <w:rsid w:val="00375F6C"/>
    <w:rsid w:val="00382E8E"/>
    <w:rsid w:val="00383783"/>
    <w:rsid w:val="00385D6F"/>
    <w:rsid w:val="00386691"/>
    <w:rsid w:val="003929DF"/>
    <w:rsid w:val="00395ACD"/>
    <w:rsid w:val="0039654C"/>
    <w:rsid w:val="00396878"/>
    <w:rsid w:val="003A67AA"/>
    <w:rsid w:val="003B0BF4"/>
    <w:rsid w:val="003B1E45"/>
    <w:rsid w:val="003B3A30"/>
    <w:rsid w:val="003B4545"/>
    <w:rsid w:val="003B457F"/>
    <w:rsid w:val="003B51E2"/>
    <w:rsid w:val="003B7AD9"/>
    <w:rsid w:val="003C3AA0"/>
    <w:rsid w:val="003D131B"/>
    <w:rsid w:val="003D314F"/>
    <w:rsid w:val="003D3DD3"/>
    <w:rsid w:val="003E25E6"/>
    <w:rsid w:val="003E3C5D"/>
    <w:rsid w:val="003E3DCC"/>
    <w:rsid w:val="003E5A53"/>
    <w:rsid w:val="003E76B2"/>
    <w:rsid w:val="003E7C62"/>
    <w:rsid w:val="003F0242"/>
    <w:rsid w:val="003F0F07"/>
    <w:rsid w:val="003F2B8B"/>
    <w:rsid w:val="003F518A"/>
    <w:rsid w:val="003F565C"/>
    <w:rsid w:val="004023C6"/>
    <w:rsid w:val="00403423"/>
    <w:rsid w:val="00403D96"/>
    <w:rsid w:val="00404272"/>
    <w:rsid w:val="00407739"/>
    <w:rsid w:val="00416427"/>
    <w:rsid w:val="00416976"/>
    <w:rsid w:val="00420A1B"/>
    <w:rsid w:val="00423FCB"/>
    <w:rsid w:val="0042466F"/>
    <w:rsid w:val="00425CA7"/>
    <w:rsid w:val="004269DE"/>
    <w:rsid w:val="004314FC"/>
    <w:rsid w:val="00431E15"/>
    <w:rsid w:val="004320B8"/>
    <w:rsid w:val="00432234"/>
    <w:rsid w:val="0043528E"/>
    <w:rsid w:val="0043763E"/>
    <w:rsid w:val="004402CA"/>
    <w:rsid w:val="0044629B"/>
    <w:rsid w:val="00446D64"/>
    <w:rsid w:val="00453B30"/>
    <w:rsid w:val="00460B1D"/>
    <w:rsid w:val="00460C8F"/>
    <w:rsid w:val="0046384B"/>
    <w:rsid w:val="004639F5"/>
    <w:rsid w:val="0046400A"/>
    <w:rsid w:val="004648F6"/>
    <w:rsid w:val="0046608C"/>
    <w:rsid w:val="0046611E"/>
    <w:rsid w:val="00466799"/>
    <w:rsid w:val="00466C5F"/>
    <w:rsid w:val="00471FA6"/>
    <w:rsid w:val="00474B7A"/>
    <w:rsid w:val="0047560C"/>
    <w:rsid w:val="00482355"/>
    <w:rsid w:val="00483E65"/>
    <w:rsid w:val="0048472D"/>
    <w:rsid w:val="004869DD"/>
    <w:rsid w:val="004873CA"/>
    <w:rsid w:val="0049126A"/>
    <w:rsid w:val="004926A0"/>
    <w:rsid w:val="004930CD"/>
    <w:rsid w:val="004A37D3"/>
    <w:rsid w:val="004A5435"/>
    <w:rsid w:val="004A56E1"/>
    <w:rsid w:val="004A5B3D"/>
    <w:rsid w:val="004A693C"/>
    <w:rsid w:val="004B36FD"/>
    <w:rsid w:val="004B3B0E"/>
    <w:rsid w:val="004B44B3"/>
    <w:rsid w:val="004B458C"/>
    <w:rsid w:val="004B57DE"/>
    <w:rsid w:val="004B6D06"/>
    <w:rsid w:val="004C3A84"/>
    <w:rsid w:val="004C43B7"/>
    <w:rsid w:val="004C6395"/>
    <w:rsid w:val="004D0E96"/>
    <w:rsid w:val="004D21F7"/>
    <w:rsid w:val="004D2990"/>
    <w:rsid w:val="004D36C7"/>
    <w:rsid w:val="004D48E7"/>
    <w:rsid w:val="004D5A5F"/>
    <w:rsid w:val="004D6659"/>
    <w:rsid w:val="004D6A3E"/>
    <w:rsid w:val="004E063A"/>
    <w:rsid w:val="004E1905"/>
    <w:rsid w:val="004E35A3"/>
    <w:rsid w:val="004E4907"/>
    <w:rsid w:val="004F0556"/>
    <w:rsid w:val="004F1FD7"/>
    <w:rsid w:val="004F4BA7"/>
    <w:rsid w:val="004F6EDC"/>
    <w:rsid w:val="00504FCA"/>
    <w:rsid w:val="00506430"/>
    <w:rsid w:val="0050770A"/>
    <w:rsid w:val="00510087"/>
    <w:rsid w:val="00513779"/>
    <w:rsid w:val="00515BD4"/>
    <w:rsid w:val="00520591"/>
    <w:rsid w:val="00520959"/>
    <w:rsid w:val="00520FBB"/>
    <w:rsid w:val="00521ACE"/>
    <w:rsid w:val="00523065"/>
    <w:rsid w:val="00526E81"/>
    <w:rsid w:val="00527984"/>
    <w:rsid w:val="00527CA9"/>
    <w:rsid w:val="00531A11"/>
    <w:rsid w:val="00531FD2"/>
    <w:rsid w:val="00535D9C"/>
    <w:rsid w:val="00542118"/>
    <w:rsid w:val="00544799"/>
    <w:rsid w:val="005453F4"/>
    <w:rsid w:val="0054584D"/>
    <w:rsid w:val="00545B23"/>
    <w:rsid w:val="00546820"/>
    <w:rsid w:val="00552066"/>
    <w:rsid w:val="0055478F"/>
    <w:rsid w:val="00554F5A"/>
    <w:rsid w:val="00556418"/>
    <w:rsid w:val="005600D9"/>
    <w:rsid w:val="0056055B"/>
    <w:rsid w:val="00560D4A"/>
    <w:rsid w:val="005610A0"/>
    <w:rsid w:val="00561354"/>
    <w:rsid w:val="00562002"/>
    <w:rsid w:val="00562893"/>
    <w:rsid w:val="00562BA8"/>
    <w:rsid w:val="00564A9C"/>
    <w:rsid w:val="00567D82"/>
    <w:rsid w:val="005704BA"/>
    <w:rsid w:val="00573769"/>
    <w:rsid w:val="00573C35"/>
    <w:rsid w:val="0057438A"/>
    <w:rsid w:val="00574502"/>
    <w:rsid w:val="00574A99"/>
    <w:rsid w:val="0057636B"/>
    <w:rsid w:val="005767A8"/>
    <w:rsid w:val="0057700D"/>
    <w:rsid w:val="00580DEF"/>
    <w:rsid w:val="00585635"/>
    <w:rsid w:val="00585A05"/>
    <w:rsid w:val="005862A0"/>
    <w:rsid w:val="005873C8"/>
    <w:rsid w:val="00590033"/>
    <w:rsid w:val="00590C6E"/>
    <w:rsid w:val="00595092"/>
    <w:rsid w:val="00595857"/>
    <w:rsid w:val="005967C0"/>
    <w:rsid w:val="00596960"/>
    <w:rsid w:val="00597FE1"/>
    <w:rsid w:val="005A2369"/>
    <w:rsid w:val="005A2D38"/>
    <w:rsid w:val="005A39B8"/>
    <w:rsid w:val="005A3CA4"/>
    <w:rsid w:val="005A49F0"/>
    <w:rsid w:val="005A6093"/>
    <w:rsid w:val="005B013A"/>
    <w:rsid w:val="005B3AB6"/>
    <w:rsid w:val="005B3CF3"/>
    <w:rsid w:val="005B5843"/>
    <w:rsid w:val="005C22EE"/>
    <w:rsid w:val="005C27B5"/>
    <w:rsid w:val="005C2CC2"/>
    <w:rsid w:val="005C3681"/>
    <w:rsid w:val="005C371F"/>
    <w:rsid w:val="005C5895"/>
    <w:rsid w:val="005C59E4"/>
    <w:rsid w:val="005C6879"/>
    <w:rsid w:val="005D2829"/>
    <w:rsid w:val="005D7FE1"/>
    <w:rsid w:val="005E1526"/>
    <w:rsid w:val="005E56C2"/>
    <w:rsid w:val="005F5DA8"/>
    <w:rsid w:val="00601751"/>
    <w:rsid w:val="00602746"/>
    <w:rsid w:val="00603158"/>
    <w:rsid w:val="00607B05"/>
    <w:rsid w:val="00611877"/>
    <w:rsid w:val="00611ADD"/>
    <w:rsid w:val="00611AEC"/>
    <w:rsid w:val="006146ED"/>
    <w:rsid w:val="00615B47"/>
    <w:rsid w:val="00617B9A"/>
    <w:rsid w:val="0062044F"/>
    <w:rsid w:val="00622E21"/>
    <w:rsid w:val="00625CF3"/>
    <w:rsid w:val="00626A64"/>
    <w:rsid w:val="00626EEB"/>
    <w:rsid w:val="00627D13"/>
    <w:rsid w:val="00630323"/>
    <w:rsid w:val="006303D4"/>
    <w:rsid w:val="00630A6D"/>
    <w:rsid w:val="00630EB4"/>
    <w:rsid w:val="00632662"/>
    <w:rsid w:val="00642DED"/>
    <w:rsid w:val="00643C4D"/>
    <w:rsid w:val="006476F8"/>
    <w:rsid w:val="00647FDC"/>
    <w:rsid w:val="0065067F"/>
    <w:rsid w:val="006513AF"/>
    <w:rsid w:val="00653DDD"/>
    <w:rsid w:val="006563B6"/>
    <w:rsid w:val="0065743A"/>
    <w:rsid w:val="006609A7"/>
    <w:rsid w:val="00664445"/>
    <w:rsid w:val="00667F12"/>
    <w:rsid w:val="00673CCA"/>
    <w:rsid w:val="00683222"/>
    <w:rsid w:val="006853E2"/>
    <w:rsid w:val="00686499"/>
    <w:rsid w:val="006875DF"/>
    <w:rsid w:val="006935D3"/>
    <w:rsid w:val="00694EC6"/>
    <w:rsid w:val="006962B4"/>
    <w:rsid w:val="00696FF4"/>
    <w:rsid w:val="00697ABE"/>
    <w:rsid w:val="006A670A"/>
    <w:rsid w:val="006B0376"/>
    <w:rsid w:val="006B29BE"/>
    <w:rsid w:val="006B48A2"/>
    <w:rsid w:val="006B4B3F"/>
    <w:rsid w:val="006B5301"/>
    <w:rsid w:val="006C0032"/>
    <w:rsid w:val="006C16BC"/>
    <w:rsid w:val="006C19A5"/>
    <w:rsid w:val="006C2A9B"/>
    <w:rsid w:val="006C67FF"/>
    <w:rsid w:val="006C71A9"/>
    <w:rsid w:val="006D24AA"/>
    <w:rsid w:val="006D2FFA"/>
    <w:rsid w:val="006D3CC5"/>
    <w:rsid w:val="006D3E03"/>
    <w:rsid w:val="006D43C8"/>
    <w:rsid w:val="006D456F"/>
    <w:rsid w:val="006D62BB"/>
    <w:rsid w:val="006E03C5"/>
    <w:rsid w:val="006E05EE"/>
    <w:rsid w:val="006E20ED"/>
    <w:rsid w:val="006E2DBD"/>
    <w:rsid w:val="006E3F58"/>
    <w:rsid w:val="006E42B2"/>
    <w:rsid w:val="006E62DC"/>
    <w:rsid w:val="006E63FE"/>
    <w:rsid w:val="006F45D1"/>
    <w:rsid w:val="006F785B"/>
    <w:rsid w:val="007006EB"/>
    <w:rsid w:val="0070202E"/>
    <w:rsid w:val="0070337D"/>
    <w:rsid w:val="0070537D"/>
    <w:rsid w:val="0070580E"/>
    <w:rsid w:val="007058B6"/>
    <w:rsid w:val="00706BE2"/>
    <w:rsid w:val="00707A6D"/>
    <w:rsid w:val="00711EE7"/>
    <w:rsid w:val="00713AE5"/>
    <w:rsid w:val="007140C0"/>
    <w:rsid w:val="00714A0D"/>
    <w:rsid w:val="00721096"/>
    <w:rsid w:val="00724F61"/>
    <w:rsid w:val="0072548A"/>
    <w:rsid w:val="007255AC"/>
    <w:rsid w:val="00730418"/>
    <w:rsid w:val="00732A65"/>
    <w:rsid w:val="007337C5"/>
    <w:rsid w:val="00740E7C"/>
    <w:rsid w:val="007527BA"/>
    <w:rsid w:val="007539E6"/>
    <w:rsid w:val="00753D96"/>
    <w:rsid w:val="00754C2F"/>
    <w:rsid w:val="00755700"/>
    <w:rsid w:val="00762DE6"/>
    <w:rsid w:val="00764D9E"/>
    <w:rsid w:val="00764FED"/>
    <w:rsid w:val="007732D4"/>
    <w:rsid w:val="00774918"/>
    <w:rsid w:val="00777A9E"/>
    <w:rsid w:val="007805C3"/>
    <w:rsid w:val="0078088E"/>
    <w:rsid w:val="00782F37"/>
    <w:rsid w:val="00785375"/>
    <w:rsid w:val="00793699"/>
    <w:rsid w:val="0079756F"/>
    <w:rsid w:val="007A730F"/>
    <w:rsid w:val="007A7E77"/>
    <w:rsid w:val="007B0DB9"/>
    <w:rsid w:val="007B2D55"/>
    <w:rsid w:val="007C05CB"/>
    <w:rsid w:val="007C0821"/>
    <w:rsid w:val="007C5EFE"/>
    <w:rsid w:val="007C66BC"/>
    <w:rsid w:val="007D06E7"/>
    <w:rsid w:val="007D1838"/>
    <w:rsid w:val="007D4841"/>
    <w:rsid w:val="007D4DBD"/>
    <w:rsid w:val="007D4F19"/>
    <w:rsid w:val="007D5EB5"/>
    <w:rsid w:val="007D7B7B"/>
    <w:rsid w:val="007E2395"/>
    <w:rsid w:val="007E337C"/>
    <w:rsid w:val="007E39EE"/>
    <w:rsid w:val="007E464B"/>
    <w:rsid w:val="007F0553"/>
    <w:rsid w:val="007F2202"/>
    <w:rsid w:val="0080582D"/>
    <w:rsid w:val="008101EC"/>
    <w:rsid w:val="00810866"/>
    <w:rsid w:val="00810F23"/>
    <w:rsid w:val="00814645"/>
    <w:rsid w:val="008151B4"/>
    <w:rsid w:val="008154A2"/>
    <w:rsid w:val="00815E99"/>
    <w:rsid w:val="00825223"/>
    <w:rsid w:val="008265F4"/>
    <w:rsid w:val="00826A80"/>
    <w:rsid w:val="008305E9"/>
    <w:rsid w:val="008315DF"/>
    <w:rsid w:val="00831D0C"/>
    <w:rsid w:val="008324FA"/>
    <w:rsid w:val="00832687"/>
    <w:rsid w:val="00832BD0"/>
    <w:rsid w:val="00833979"/>
    <w:rsid w:val="0083405B"/>
    <w:rsid w:val="00835307"/>
    <w:rsid w:val="00844B56"/>
    <w:rsid w:val="00846FA1"/>
    <w:rsid w:val="00847CB5"/>
    <w:rsid w:val="008502D7"/>
    <w:rsid w:val="0085186B"/>
    <w:rsid w:val="00853CA1"/>
    <w:rsid w:val="00854939"/>
    <w:rsid w:val="00856D78"/>
    <w:rsid w:val="00856F7C"/>
    <w:rsid w:val="0085779B"/>
    <w:rsid w:val="008607D7"/>
    <w:rsid w:val="00861E67"/>
    <w:rsid w:val="00865145"/>
    <w:rsid w:val="0086634B"/>
    <w:rsid w:val="00867B68"/>
    <w:rsid w:val="00871532"/>
    <w:rsid w:val="008742B4"/>
    <w:rsid w:val="00876E6F"/>
    <w:rsid w:val="00877ACD"/>
    <w:rsid w:val="008812BA"/>
    <w:rsid w:val="00881E61"/>
    <w:rsid w:val="00884BE0"/>
    <w:rsid w:val="0088583B"/>
    <w:rsid w:val="008918E6"/>
    <w:rsid w:val="0089380B"/>
    <w:rsid w:val="00893CED"/>
    <w:rsid w:val="00893FCF"/>
    <w:rsid w:val="00894C32"/>
    <w:rsid w:val="00895486"/>
    <w:rsid w:val="008A3C05"/>
    <w:rsid w:val="008A5419"/>
    <w:rsid w:val="008B2B88"/>
    <w:rsid w:val="008B3C1C"/>
    <w:rsid w:val="008B3D1C"/>
    <w:rsid w:val="008B431E"/>
    <w:rsid w:val="008B7737"/>
    <w:rsid w:val="008B7F7D"/>
    <w:rsid w:val="008C1860"/>
    <w:rsid w:val="008C22BE"/>
    <w:rsid w:val="008C41CF"/>
    <w:rsid w:val="008C71BD"/>
    <w:rsid w:val="008D0232"/>
    <w:rsid w:val="008D1988"/>
    <w:rsid w:val="008D3DD6"/>
    <w:rsid w:val="008D3F2E"/>
    <w:rsid w:val="008D5011"/>
    <w:rsid w:val="008E03A5"/>
    <w:rsid w:val="008E1E7F"/>
    <w:rsid w:val="008E3547"/>
    <w:rsid w:val="008E3809"/>
    <w:rsid w:val="008E5A98"/>
    <w:rsid w:val="008E5FCE"/>
    <w:rsid w:val="008F034E"/>
    <w:rsid w:val="008F0CBC"/>
    <w:rsid w:val="008F1607"/>
    <w:rsid w:val="008F1D6A"/>
    <w:rsid w:val="008F397A"/>
    <w:rsid w:val="0090457A"/>
    <w:rsid w:val="009045A8"/>
    <w:rsid w:val="009060EE"/>
    <w:rsid w:val="009071EF"/>
    <w:rsid w:val="00912047"/>
    <w:rsid w:val="00912B8D"/>
    <w:rsid w:val="00912BCE"/>
    <w:rsid w:val="00912BF4"/>
    <w:rsid w:val="00912CC2"/>
    <w:rsid w:val="00912E82"/>
    <w:rsid w:val="009138D0"/>
    <w:rsid w:val="00916064"/>
    <w:rsid w:val="00916FFF"/>
    <w:rsid w:val="00921C60"/>
    <w:rsid w:val="00925FDF"/>
    <w:rsid w:val="0093032E"/>
    <w:rsid w:val="0093072A"/>
    <w:rsid w:val="009317FB"/>
    <w:rsid w:val="00931FA4"/>
    <w:rsid w:val="00933C22"/>
    <w:rsid w:val="00936A94"/>
    <w:rsid w:val="0094270C"/>
    <w:rsid w:val="00943619"/>
    <w:rsid w:val="009437A7"/>
    <w:rsid w:val="0094413B"/>
    <w:rsid w:val="00944BCD"/>
    <w:rsid w:val="00945351"/>
    <w:rsid w:val="009465E8"/>
    <w:rsid w:val="00947557"/>
    <w:rsid w:val="00950365"/>
    <w:rsid w:val="00950418"/>
    <w:rsid w:val="00951147"/>
    <w:rsid w:val="00954F27"/>
    <w:rsid w:val="0095682C"/>
    <w:rsid w:val="00956A12"/>
    <w:rsid w:val="00961711"/>
    <w:rsid w:val="00961E11"/>
    <w:rsid w:val="00964101"/>
    <w:rsid w:val="009713B6"/>
    <w:rsid w:val="00971408"/>
    <w:rsid w:val="0097359E"/>
    <w:rsid w:val="0097488B"/>
    <w:rsid w:val="00974961"/>
    <w:rsid w:val="00974F8F"/>
    <w:rsid w:val="009811F1"/>
    <w:rsid w:val="00982D7A"/>
    <w:rsid w:val="00983321"/>
    <w:rsid w:val="0098638C"/>
    <w:rsid w:val="0098764E"/>
    <w:rsid w:val="009937B4"/>
    <w:rsid w:val="009961C6"/>
    <w:rsid w:val="00996657"/>
    <w:rsid w:val="00996BAF"/>
    <w:rsid w:val="00997CE5"/>
    <w:rsid w:val="009A0526"/>
    <w:rsid w:val="009A2967"/>
    <w:rsid w:val="009A5DDF"/>
    <w:rsid w:val="009A6878"/>
    <w:rsid w:val="009B053A"/>
    <w:rsid w:val="009B0ED8"/>
    <w:rsid w:val="009B6FB7"/>
    <w:rsid w:val="009C1E1A"/>
    <w:rsid w:val="009C5918"/>
    <w:rsid w:val="009C71D3"/>
    <w:rsid w:val="009D1ABE"/>
    <w:rsid w:val="009D429E"/>
    <w:rsid w:val="009D7666"/>
    <w:rsid w:val="009E0332"/>
    <w:rsid w:val="009E1975"/>
    <w:rsid w:val="009E2B8C"/>
    <w:rsid w:val="009E2D52"/>
    <w:rsid w:val="009E2D54"/>
    <w:rsid w:val="009E68B8"/>
    <w:rsid w:val="009F03C9"/>
    <w:rsid w:val="009F1AF9"/>
    <w:rsid w:val="009F1C43"/>
    <w:rsid w:val="009F27B1"/>
    <w:rsid w:val="009F285F"/>
    <w:rsid w:val="009F4589"/>
    <w:rsid w:val="009F6E8A"/>
    <w:rsid w:val="00A01C99"/>
    <w:rsid w:val="00A04112"/>
    <w:rsid w:val="00A05D84"/>
    <w:rsid w:val="00A062B8"/>
    <w:rsid w:val="00A07E4F"/>
    <w:rsid w:val="00A10719"/>
    <w:rsid w:val="00A11638"/>
    <w:rsid w:val="00A11BAE"/>
    <w:rsid w:val="00A128E1"/>
    <w:rsid w:val="00A13229"/>
    <w:rsid w:val="00A14AB6"/>
    <w:rsid w:val="00A1594C"/>
    <w:rsid w:val="00A16CB8"/>
    <w:rsid w:val="00A200B0"/>
    <w:rsid w:val="00A25401"/>
    <w:rsid w:val="00A26950"/>
    <w:rsid w:val="00A26E29"/>
    <w:rsid w:val="00A26F66"/>
    <w:rsid w:val="00A305D9"/>
    <w:rsid w:val="00A31DF1"/>
    <w:rsid w:val="00A37470"/>
    <w:rsid w:val="00A3762F"/>
    <w:rsid w:val="00A41FB3"/>
    <w:rsid w:val="00A422D6"/>
    <w:rsid w:val="00A43442"/>
    <w:rsid w:val="00A44255"/>
    <w:rsid w:val="00A478A0"/>
    <w:rsid w:val="00A5361A"/>
    <w:rsid w:val="00A5446F"/>
    <w:rsid w:val="00A6372C"/>
    <w:rsid w:val="00A7476C"/>
    <w:rsid w:val="00A74F2E"/>
    <w:rsid w:val="00A77D39"/>
    <w:rsid w:val="00A80687"/>
    <w:rsid w:val="00A86AE9"/>
    <w:rsid w:val="00A875A6"/>
    <w:rsid w:val="00A92BD0"/>
    <w:rsid w:val="00A92E76"/>
    <w:rsid w:val="00A93C66"/>
    <w:rsid w:val="00A94129"/>
    <w:rsid w:val="00A96238"/>
    <w:rsid w:val="00A97BE1"/>
    <w:rsid w:val="00AA3FB7"/>
    <w:rsid w:val="00AA5BAF"/>
    <w:rsid w:val="00AA6524"/>
    <w:rsid w:val="00AB2902"/>
    <w:rsid w:val="00AB2C6C"/>
    <w:rsid w:val="00AB35E4"/>
    <w:rsid w:val="00AB4B7C"/>
    <w:rsid w:val="00AB5122"/>
    <w:rsid w:val="00AB56F7"/>
    <w:rsid w:val="00AB770F"/>
    <w:rsid w:val="00AC0F65"/>
    <w:rsid w:val="00AC1792"/>
    <w:rsid w:val="00AC1CC1"/>
    <w:rsid w:val="00AC1E7E"/>
    <w:rsid w:val="00AC4B26"/>
    <w:rsid w:val="00AD3046"/>
    <w:rsid w:val="00AE1567"/>
    <w:rsid w:val="00AE4DD0"/>
    <w:rsid w:val="00AE66D3"/>
    <w:rsid w:val="00AE75E7"/>
    <w:rsid w:val="00AE7C0C"/>
    <w:rsid w:val="00AF04F3"/>
    <w:rsid w:val="00AF073E"/>
    <w:rsid w:val="00AF1E01"/>
    <w:rsid w:val="00AF275C"/>
    <w:rsid w:val="00AF29D0"/>
    <w:rsid w:val="00AF3F31"/>
    <w:rsid w:val="00AF65BF"/>
    <w:rsid w:val="00AF66C2"/>
    <w:rsid w:val="00B00D36"/>
    <w:rsid w:val="00B03FFA"/>
    <w:rsid w:val="00B06C72"/>
    <w:rsid w:val="00B11A19"/>
    <w:rsid w:val="00B11BC1"/>
    <w:rsid w:val="00B1248D"/>
    <w:rsid w:val="00B131CC"/>
    <w:rsid w:val="00B16925"/>
    <w:rsid w:val="00B16E2F"/>
    <w:rsid w:val="00B17619"/>
    <w:rsid w:val="00B1762E"/>
    <w:rsid w:val="00B25610"/>
    <w:rsid w:val="00B3001A"/>
    <w:rsid w:val="00B32365"/>
    <w:rsid w:val="00B335C4"/>
    <w:rsid w:val="00B34148"/>
    <w:rsid w:val="00B3489D"/>
    <w:rsid w:val="00B35D57"/>
    <w:rsid w:val="00B46E83"/>
    <w:rsid w:val="00B51DBD"/>
    <w:rsid w:val="00B56D52"/>
    <w:rsid w:val="00B62F25"/>
    <w:rsid w:val="00B65660"/>
    <w:rsid w:val="00B67BEE"/>
    <w:rsid w:val="00B7038C"/>
    <w:rsid w:val="00B73CB3"/>
    <w:rsid w:val="00B753E6"/>
    <w:rsid w:val="00B77DC9"/>
    <w:rsid w:val="00B80ACD"/>
    <w:rsid w:val="00B8136F"/>
    <w:rsid w:val="00B82C44"/>
    <w:rsid w:val="00B8358E"/>
    <w:rsid w:val="00B84ABE"/>
    <w:rsid w:val="00B8558A"/>
    <w:rsid w:val="00B85DC4"/>
    <w:rsid w:val="00B90CEF"/>
    <w:rsid w:val="00B94206"/>
    <w:rsid w:val="00B97904"/>
    <w:rsid w:val="00B97DDD"/>
    <w:rsid w:val="00BA24AB"/>
    <w:rsid w:val="00BA3AED"/>
    <w:rsid w:val="00BA3EAE"/>
    <w:rsid w:val="00BA5676"/>
    <w:rsid w:val="00BB1A12"/>
    <w:rsid w:val="00BB2E8A"/>
    <w:rsid w:val="00BB4C4F"/>
    <w:rsid w:val="00BB4CF7"/>
    <w:rsid w:val="00BB4E8D"/>
    <w:rsid w:val="00BB63B0"/>
    <w:rsid w:val="00BB71FB"/>
    <w:rsid w:val="00BB7417"/>
    <w:rsid w:val="00BB7639"/>
    <w:rsid w:val="00BB7B59"/>
    <w:rsid w:val="00BC1AA6"/>
    <w:rsid w:val="00BC3BD8"/>
    <w:rsid w:val="00BC61D2"/>
    <w:rsid w:val="00BC67BB"/>
    <w:rsid w:val="00BC7504"/>
    <w:rsid w:val="00BC7F1E"/>
    <w:rsid w:val="00BD0BC6"/>
    <w:rsid w:val="00BD29BC"/>
    <w:rsid w:val="00BD502D"/>
    <w:rsid w:val="00BD5531"/>
    <w:rsid w:val="00BD6732"/>
    <w:rsid w:val="00BD7A5F"/>
    <w:rsid w:val="00BE29F4"/>
    <w:rsid w:val="00BE5812"/>
    <w:rsid w:val="00BF0486"/>
    <w:rsid w:val="00BF16BB"/>
    <w:rsid w:val="00BF20E5"/>
    <w:rsid w:val="00BF5C66"/>
    <w:rsid w:val="00BF6679"/>
    <w:rsid w:val="00C012DD"/>
    <w:rsid w:val="00C117BE"/>
    <w:rsid w:val="00C120DB"/>
    <w:rsid w:val="00C12CFF"/>
    <w:rsid w:val="00C13901"/>
    <w:rsid w:val="00C15ECC"/>
    <w:rsid w:val="00C1629E"/>
    <w:rsid w:val="00C16E27"/>
    <w:rsid w:val="00C17CD0"/>
    <w:rsid w:val="00C203FB"/>
    <w:rsid w:val="00C20D24"/>
    <w:rsid w:val="00C218ED"/>
    <w:rsid w:val="00C230F5"/>
    <w:rsid w:val="00C23D42"/>
    <w:rsid w:val="00C24B7C"/>
    <w:rsid w:val="00C254A4"/>
    <w:rsid w:val="00C30555"/>
    <w:rsid w:val="00C33866"/>
    <w:rsid w:val="00C33909"/>
    <w:rsid w:val="00C4040F"/>
    <w:rsid w:val="00C41DC1"/>
    <w:rsid w:val="00C4370E"/>
    <w:rsid w:val="00C439ED"/>
    <w:rsid w:val="00C45E58"/>
    <w:rsid w:val="00C50F8A"/>
    <w:rsid w:val="00C515B4"/>
    <w:rsid w:val="00C51EF5"/>
    <w:rsid w:val="00C52131"/>
    <w:rsid w:val="00C53548"/>
    <w:rsid w:val="00C55DD2"/>
    <w:rsid w:val="00C64108"/>
    <w:rsid w:val="00C67EF2"/>
    <w:rsid w:val="00C725D7"/>
    <w:rsid w:val="00C75987"/>
    <w:rsid w:val="00C75EDA"/>
    <w:rsid w:val="00C82C54"/>
    <w:rsid w:val="00C852CC"/>
    <w:rsid w:val="00C85BF2"/>
    <w:rsid w:val="00C90E89"/>
    <w:rsid w:val="00C92D85"/>
    <w:rsid w:val="00C96A94"/>
    <w:rsid w:val="00CA3836"/>
    <w:rsid w:val="00CA3A39"/>
    <w:rsid w:val="00CA48E4"/>
    <w:rsid w:val="00CA52F1"/>
    <w:rsid w:val="00CA5BCD"/>
    <w:rsid w:val="00CA6BE3"/>
    <w:rsid w:val="00CA7491"/>
    <w:rsid w:val="00CB15C7"/>
    <w:rsid w:val="00CB307D"/>
    <w:rsid w:val="00CB421E"/>
    <w:rsid w:val="00CB43B2"/>
    <w:rsid w:val="00CB5C41"/>
    <w:rsid w:val="00CB6592"/>
    <w:rsid w:val="00CC3DE6"/>
    <w:rsid w:val="00CC4246"/>
    <w:rsid w:val="00CC6733"/>
    <w:rsid w:val="00CC76C6"/>
    <w:rsid w:val="00CD37C3"/>
    <w:rsid w:val="00CD3E4A"/>
    <w:rsid w:val="00CD4F0C"/>
    <w:rsid w:val="00CD527D"/>
    <w:rsid w:val="00CD6CDB"/>
    <w:rsid w:val="00CD7ADE"/>
    <w:rsid w:val="00CE1999"/>
    <w:rsid w:val="00CE26D3"/>
    <w:rsid w:val="00CE2E9C"/>
    <w:rsid w:val="00CE413F"/>
    <w:rsid w:val="00CE773D"/>
    <w:rsid w:val="00CE78AC"/>
    <w:rsid w:val="00CF002E"/>
    <w:rsid w:val="00CF00D0"/>
    <w:rsid w:val="00CF060B"/>
    <w:rsid w:val="00CF087A"/>
    <w:rsid w:val="00CF0B15"/>
    <w:rsid w:val="00CF2AB0"/>
    <w:rsid w:val="00D01051"/>
    <w:rsid w:val="00D01623"/>
    <w:rsid w:val="00D01A10"/>
    <w:rsid w:val="00D021D1"/>
    <w:rsid w:val="00D03086"/>
    <w:rsid w:val="00D0629A"/>
    <w:rsid w:val="00D13FE6"/>
    <w:rsid w:val="00D14D91"/>
    <w:rsid w:val="00D16463"/>
    <w:rsid w:val="00D167B4"/>
    <w:rsid w:val="00D1768D"/>
    <w:rsid w:val="00D20BE6"/>
    <w:rsid w:val="00D22F07"/>
    <w:rsid w:val="00D24A87"/>
    <w:rsid w:val="00D32818"/>
    <w:rsid w:val="00D33C84"/>
    <w:rsid w:val="00D340D9"/>
    <w:rsid w:val="00D37351"/>
    <w:rsid w:val="00D40566"/>
    <w:rsid w:val="00D41045"/>
    <w:rsid w:val="00D43547"/>
    <w:rsid w:val="00D4428C"/>
    <w:rsid w:val="00D452B7"/>
    <w:rsid w:val="00D53EB2"/>
    <w:rsid w:val="00D54A1F"/>
    <w:rsid w:val="00D61B93"/>
    <w:rsid w:val="00D63732"/>
    <w:rsid w:val="00D63F7F"/>
    <w:rsid w:val="00D64D5C"/>
    <w:rsid w:val="00D654F5"/>
    <w:rsid w:val="00D659E8"/>
    <w:rsid w:val="00D67D8C"/>
    <w:rsid w:val="00D71388"/>
    <w:rsid w:val="00D71F70"/>
    <w:rsid w:val="00D759C3"/>
    <w:rsid w:val="00D75E28"/>
    <w:rsid w:val="00D77240"/>
    <w:rsid w:val="00D81FC2"/>
    <w:rsid w:val="00D82C42"/>
    <w:rsid w:val="00D84112"/>
    <w:rsid w:val="00D8443C"/>
    <w:rsid w:val="00D854B7"/>
    <w:rsid w:val="00D86122"/>
    <w:rsid w:val="00D8798D"/>
    <w:rsid w:val="00D90133"/>
    <w:rsid w:val="00DA0D09"/>
    <w:rsid w:val="00DA279D"/>
    <w:rsid w:val="00DA33F3"/>
    <w:rsid w:val="00DA5F07"/>
    <w:rsid w:val="00DA73F4"/>
    <w:rsid w:val="00DA7BB1"/>
    <w:rsid w:val="00DB1DBD"/>
    <w:rsid w:val="00DB3CE7"/>
    <w:rsid w:val="00DB5C6D"/>
    <w:rsid w:val="00DC12FF"/>
    <w:rsid w:val="00DC2A7E"/>
    <w:rsid w:val="00DC2CF0"/>
    <w:rsid w:val="00DC49AC"/>
    <w:rsid w:val="00DC50BF"/>
    <w:rsid w:val="00DC63CA"/>
    <w:rsid w:val="00DD0298"/>
    <w:rsid w:val="00DD155C"/>
    <w:rsid w:val="00DD2898"/>
    <w:rsid w:val="00DD3182"/>
    <w:rsid w:val="00DD53A4"/>
    <w:rsid w:val="00DE1990"/>
    <w:rsid w:val="00DE4147"/>
    <w:rsid w:val="00DE6087"/>
    <w:rsid w:val="00DF2785"/>
    <w:rsid w:val="00DF27D4"/>
    <w:rsid w:val="00DF44DD"/>
    <w:rsid w:val="00E0009E"/>
    <w:rsid w:val="00E01A25"/>
    <w:rsid w:val="00E112FA"/>
    <w:rsid w:val="00E119B8"/>
    <w:rsid w:val="00E1301A"/>
    <w:rsid w:val="00E1325C"/>
    <w:rsid w:val="00E135A9"/>
    <w:rsid w:val="00E152D2"/>
    <w:rsid w:val="00E20730"/>
    <w:rsid w:val="00E213DB"/>
    <w:rsid w:val="00E21949"/>
    <w:rsid w:val="00E228A9"/>
    <w:rsid w:val="00E23BAB"/>
    <w:rsid w:val="00E2505C"/>
    <w:rsid w:val="00E31454"/>
    <w:rsid w:val="00E32357"/>
    <w:rsid w:val="00E33CAB"/>
    <w:rsid w:val="00E34618"/>
    <w:rsid w:val="00E401B2"/>
    <w:rsid w:val="00E411CB"/>
    <w:rsid w:val="00E41974"/>
    <w:rsid w:val="00E46C19"/>
    <w:rsid w:val="00E46E0D"/>
    <w:rsid w:val="00E50AF0"/>
    <w:rsid w:val="00E51AAD"/>
    <w:rsid w:val="00E526BE"/>
    <w:rsid w:val="00E526E0"/>
    <w:rsid w:val="00E52A9F"/>
    <w:rsid w:val="00E55450"/>
    <w:rsid w:val="00E57483"/>
    <w:rsid w:val="00E6164A"/>
    <w:rsid w:val="00E63AB1"/>
    <w:rsid w:val="00E652B7"/>
    <w:rsid w:val="00E664B1"/>
    <w:rsid w:val="00E7082C"/>
    <w:rsid w:val="00E70CE1"/>
    <w:rsid w:val="00E72A6B"/>
    <w:rsid w:val="00E736EB"/>
    <w:rsid w:val="00E737D9"/>
    <w:rsid w:val="00E744BF"/>
    <w:rsid w:val="00E75037"/>
    <w:rsid w:val="00E75A15"/>
    <w:rsid w:val="00E81FDB"/>
    <w:rsid w:val="00E81FF4"/>
    <w:rsid w:val="00E82EC8"/>
    <w:rsid w:val="00E84C36"/>
    <w:rsid w:val="00E85F4D"/>
    <w:rsid w:val="00E90AB1"/>
    <w:rsid w:val="00E90E3F"/>
    <w:rsid w:val="00E9356E"/>
    <w:rsid w:val="00E96DBE"/>
    <w:rsid w:val="00E97FBB"/>
    <w:rsid w:val="00EA0D0D"/>
    <w:rsid w:val="00EA24AB"/>
    <w:rsid w:val="00EA4875"/>
    <w:rsid w:val="00EA4FC5"/>
    <w:rsid w:val="00EA5745"/>
    <w:rsid w:val="00EB0A9D"/>
    <w:rsid w:val="00EB2FC4"/>
    <w:rsid w:val="00EB30B0"/>
    <w:rsid w:val="00EB3414"/>
    <w:rsid w:val="00EB3606"/>
    <w:rsid w:val="00EB480C"/>
    <w:rsid w:val="00EB4DFA"/>
    <w:rsid w:val="00EB56D1"/>
    <w:rsid w:val="00EB67A9"/>
    <w:rsid w:val="00EB7654"/>
    <w:rsid w:val="00EC2937"/>
    <w:rsid w:val="00EC2CFD"/>
    <w:rsid w:val="00EC5638"/>
    <w:rsid w:val="00EC6307"/>
    <w:rsid w:val="00ED1C24"/>
    <w:rsid w:val="00ED3F6F"/>
    <w:rsid w:val="00EE05F0"/>
    <w:rsid w:val="00EE0F42"/>
    <w:rsid w:val="00EE2C53"/>
    <w:rsid w:val="00EE300B"/>
    <w:rsid w:val="00EE31B2"/>
    <w:rsid w:val="00EE3F16"/>
    <w:rsid w:val="00EE421C"/>
    <w:rsid w:val="00EE7ACC"/>
    <w:rsid w:val="00EF06BF"/>
    <w:rsid w:val="00EF1EB2"/>
    <w:rsid w:val="00EF3FBA"/>
    <w:rsid w:val="00EF69CC"/>
    <w:rsid w:val="00EF7B89"/>
    <w:rsid w:val="00F0045D"/>
    <w:rsid w:val="00F0174E"/>
    <w:rsid w:val="00F032D4"/>
    <w:rsid w:val="00F0552A"/>
    <w:rsid w:val="00F0707A"/>
    <w:rsid w:val="00F11A29"/>
    <w:rsid w:val="00F21254"/>
    <w:rsid w:val="00F21D40"/>
    <w:rsid w:val="00F226CE"/>
    <w:rsid w:val="00F22813"/>
    <w:rsid w:val="00F230F2"/>
    <w:rsid w:val="00F23ECF"/>
    <w:rsid w:val="00F278B1"/>
    <w:rsid w:val="00F3046D"/>
    <w:rsid w:val="00F3068F"/>
    <w:rsid w:val="00F3259F"/>
    <w:rsid w:val="00F34BD4"/>
    <w:rsid w:val="00F370C5"/>
    <w:rsid w:val="00F466EC"/>
    <w:rsid w:val="00F510FF"/>
    <w:rsid w:val="00F525F1"/>
    <w:rsid w:val="00F52C96"/>
    <w:rsid w:val="00F53EB3"/>
    <w:rsid w:val="00F573CA"/>
    <w:rsid w:val="00F600A1"/>
    <w:rsid w:val="00F655E5"/>
    <w:rsid w:val="00F65ED9"/>
    <w:rsid w:val="00F66C7E"/>
    <w:rsid w:val="00F67ADE"/>
    <w:rsid w:val="00F67C17"/>
    <w:rsid w:val="00F737E9"/>
    <w:rsid w:val="00F74C24"/>
    <w:rsid w:val="00F74D82"/>
    <w:rsid w:val="00F76457"/>
    <w:rsid w:val="00F80037"/>
    <w:rsid w:val="00F83F83"/>
    <w:rsid w:val="00F86DE3"/>
    <w:rsid w:val="00F87B24"/>
    <w:rsid w:val="00F92860"/>
    <w:rsid w:val="00FA1478"/>
    <w:rsid w:val="00FA1ACA"/>
    <w:rsid w:val="00FA2A88"/>
    <w:rsid w:val="00FA3699"/>
    <w:rsid w:val="00FB172F"/>
    <w:rsid w:val="00FB4D2B"/>
    <w:rsid w:val="00FB6B12"/>
    <w:rsid w:val="00FC00D3"/>
    <w:rsid w:val="00FC0B96"/>
    <w:rsid w:val="00FC1B82"/>
    <w:rsid w:val="00FC4845"/>
    <w:rsid w:val="00FC74C4"/>
    <w:rsid w:val="00FC7843"/>
    <w:rsid w:val="00FD0616"/>
    <w:rsid w:val="00FD0D07"/>
    <w:rsid w:val="00FD3DEF"/>
    <w:rsid w:val="00FE0B97"/>
    <w:rsid w:val="00FE333B"/>
    <w:rsid w:val="00FE4B46"/>
    <w:rsid w:val="00FE6738"/>
    <w:rsid w:val="00FF00F5"/>
    <w:rsid w:val="00FF112A"/>
    <w:rsid w:val="00FF366D"/>
    <w:rsid w:val="00FF4A81"/>
    <w:rsid w:val="00FF595A"/>
    <w:rsid w:val="012C00E5"/>
    <w:rsid w:val="02953EC2"/>
    <w:rsid w:val="04120C09"/>
    <w:rsid w:val="04B802A4"/>
    <w:rsid w:val="06636165"/>
    <w:rsid w:val="080A5070"/>
    <w:rsid w:val="087F6BF6"/>
    <w:rsid w:val="08BC75FB"/>
    <w:rsid w:val="0ADE7E4D"/>
    <w:rsid w:val="0B3E0F49"/>
    <w:rsid w:val="0C582651"/>
    <w:rsid w:val="0DEB14A0"/>
    <w:rsid w:val="0EA43128"/>
    <w:rsid w:val="0EC625F3"/>
    <w:rsid w:val="108404E1"/>
    <w:rsid w:val="10C13F41"/>
    <w:rsid w:val="110B76E0"/>
    <w:rsid w:val="111F4D2A"/>
    <w:rsid w:val="116B5E0B"/>
    <w:rsid w:val="12167D3D"/>
    <w:rsid w:val="162C30AB"/>
    <w:rsid w:val="16DA2D47"/>
    <w:rsid w:val="170D2A04"/>
    <w:rsid w:val="17812A49"/>
    <w:rsid w:val="19947F54"/>
    <w:rsid w:val="1A052AF4"/>
    <w:rsid w:val="1B6A5BC3"/>
    <w:rsid w:val="1BBA3BF3"/>
    <w:rsid w:val="1D37212D"/>
    <w:rsid w:val="1E6A115B"/>
    <w:rsid w:val="1E823B4E"/>
    <w:rsid w:val="21490D82"/>
    <w:rsid w:val="22A32EAC"/>
    <w:rsid w:val="267272FE"/>
    <w:rsid w:val="27D06295"/>
    <w:rsid w:val="28A81D82"/>
    <w:rsid w:val="290B0753"/>
    <w:rsid w:val="2A471A4C"/>
    <w:rsid w:val="2AFA22D3"/>
    <w:rsid w:val="2BA327E9"/>
    <w:rsid w:val="2BAB3FBC"/>
    <w:rsid w:val="2BFF5EC3"/>
    <w:rsid w:val="2C844B41"/>
    <w:rsid w:val="2CA323B2"/>
    <w:rsid w:val="2E5D389C"/>
    <w:rsid w:val="2EAB4607"/>
    <w:rsid w:val="2F240485"/>
    <w:rsid w:val="2F415D1E"/>
    <w:rsid w:val="2F8F1A89"/>
    <w:rsid w:val="30F2169A"/>
    <w:rsid w:val="314C331F"/>
    <w:rsid w:val="31535137"/>
    <w:rsid w:val="3239547E"/>
    <w:rsid w:val="33AD497E"/>
    <w:rsid w:val="34596C3F"/>
    <w:rsid w:val="345F6BAB"/>
    <w:rsid w:val="348F5F95"/>
    <w:rsid w:val="35F20D1A"/>
    <w:rsid w:val="373E36A6"/>
    <w:rsid w:val="375B47B4"/>
    <w:rsid w:val="37795861"/>
    <w:rsid w:val="378B5D2D"/>
    <w:rsid w:val="38865855"/>
    <w:rsid w:val="3A036308"/>
    <w:rsid w:val="3AB865D7"/>
    <w:rsid w:val="3AD4310F"/>
    <w:rsid w:val="3C5E592C"/>
    <w:rsid w:val="3C790759"/>
    <w:rsid w:val="3DA57495"/>
    <w:rsid w:val="3DCD69EE"/>
    <w:rsid w:val="3DE61E54"/>
    <w:rsid w:val="3F483639"/>
    <w:rsid w:val="3FDC76EB"/>
    <w:rsid w:val="40D35D1F"/>
    <w:rsid w:val="432664FB"/>
    <w:rsid w:val="4485526E"/>
    <w:rsid w:val="44A921C9"/>
    <w:rsid w:val="45D6551B"/>
    <w:rsid w:val="462166AD"/>
    <w:rsid w:val="464755A5"/>
    <w:rsid w:val="47C36F8E"/>
    <w:rsid w:val="4B72052F"/>
    <w:rsid w:val="4D0C6761"/>
    <w:rsid w:val="4D320F9D"/>
    <w:rsid w:val="4D3A43EE"/>
    <w:rsid w:val="4DE54850"/>
    <w:rsid w:val="4DE804BB"/>
    <w:rsid w:val="5056452B"/>
    <w:rsid w:val="506444A8"/>
    <w:rsid w:val="5118384E"/>
    <w:rsid w:val="53425726"/>
    <w:rsid w:val="5472092F"/>
    <w:rsid w:val="54F82388"/>
    <w:rsid w:val="56C449F3"/>
    <w:rsid w:val="56C47569"/>
    <w:rsid w:val="59A36F5E"/>
    <w:rsid w:val="5B9617F7"/>
    <w:rsid w:val="5D42635B"/>
    <w:rsid w:val="5D8302AA"/>
    <w:rsid w:val="5FB01B06"/>
    <w:rsid w:val="61D21562"/>
    <w:rsid w:val="64153AE4"/>
    <w:rsid w:val="688E2417"/>
    <w:rsid w:val="696B3753"/>
    <w:rsid w:val="6E382EA4"/>
    <w:rsid w:val="6E4478DC"/>
    <w:rsid w:val="6F895B72"/>
    <w:rsid w:val="6FBB4455"/>
    <w:rsid w:val="701224B1"/>
    <w:rsid w:val="71B27028"/>
    <w:rsid w:val="71FE260E"/>
    <w:rsid w:val="742E463B"/>
    <w:rsid w:val="77840DE1"/>
    <w:rsid w:val="77E034CF"/>
    <w:rsid w:val="78344444"/>
    <w:rsid w:val="79457DF2"/>
    <w:rsid w:val="7AC14204"/>
    <w:rsid w:val="7D300A89"/>
    <w:rsid w:val="7D9331D2"/>
    <w:rsid w:val="7F2760D4"/>
    <w:rsid w:val="7F3A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3">
    <w:name w:val="heading 2"/>
    <w:next w:val="1"/>
    <w:link w:val="58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</w:rPr>
  </w:style>
  <w:style w:type="paragraph" w:styleId="4">
    <w:name w:val="heading 3"/>
    <w:next w:val="1"/>
    <w:link w:val="57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39">
    <w:name w:val="Default Paragraph Font"/>
    <w:semiHidden/>
    <w:qFormat/>
    <w:uiPriority w:val="0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toc 7"/>
    <w:basedOn w:val="1"/>
    <w:next w:val="1"/>
    <w:uiPriority w:val="0"/>
    <w:pPr>
      <w:ind w:left="2520" w:leftChars="1200"/>
    </w:pPr>
  </w:style>
  <w:style w:type="paragraph" w:styleId="13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7">
    <w:name w:val="toc 5"/>
    <w:basedOn w:val="1"/>
    <w:next w:val="1"/>
    <w:qFormat/>
    <w:uiPriority w:val="0"/>
    <w:pPr>
      <w:ind w:left="1680" w:leftChars="800"/>
    </w:pPr>
  </w:style>
  <w:style w:type="paragraph" w:styleId="18">
    <w:name w:val="toc 3"/>
    <w:basedOn w:val="1"/>
    <w:next w:val="1"/>
    <w:qFormat/>
    <w:uiPriority w:val="0"/>
    <w:pPr>
      <w:ind w:left="840" w:leftChars="400"/>
    </w:pPr>
  </w:style>
  <w:style w:type="paragraph" w:styleId="19">
    <w:name w:val="toc 8"/>
    <w:basedOn w:val="1"/>
    <w:next w:val="1"/>
    <w:qFormat/>
    <w:uiPriority w:val="0"/>
    <w:pPr>
      <w:ind w:left="2940" w:leftChars="1400"/>
    </w:pPr>
  </w:style>
  <w:style w:type="paragraph" w:styleId="20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23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2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5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toc 1"/>
    <w:basedOn w:val="1"/>
    <w:next w:val="1"/>
    <w:uiPriority w:val="0"/>
  </w:style>
  <w:style w:type="paragraph" w:styleId="27">
    <w:name w:val="toc 4"/>
    <w:basedOn w:val="1"/>
    <w:next w:val="1"/>
    <w:qFormat/>
    <w:uiPriority w:val="0"/>
    <w:pPr>
      <w:ind w:left="1260" w:leftChars="600"/>
    </w:pPr>
  </w:style>
  <w:style w:type="paragraph" w:styleId="28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9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30">
    <w:name w:val="toc 6"/>
    <w:basedOn w:val="1"/>
    <w:next w:val="1"/>
    <w:uiPriority w:val="0"/>
    <w:pPr>
      <w:ind w:left="2100" w:leftChars="1000"/>
    </w:pPr>
  </w:style>
  <w:style w:type="paragraph" w:styleId="31">
    <w:name w:val="toc 2"/>
    <w:basedOn w:val="1"/>
    <w:next w:val="1"/>
    <w:qFormat/>
    <w:uiPriority w:val="0"/>
    <w:pPr>
      <w:ind w:left="420" w:leftChars="200"/>
    </w:pPr>
  </w:style>
  <w:style w:type="paragraph" w:styleId="32">
    <w:name w:val="toc 9"/>
    <w:basedOn w:val="1"/>
    <w:next w:val="1"/>
    <w:qFormat/>
    <w:uiPriority w:val="0"/>
    <w:pPr>
      <w:ind w:left="3360" w:leftChars="1600"/>
    </w:pPr>
  </w:style>
  <w:style w:type="paragraph" w:styleId="33">
    <w:name w:val="HTML Preformatted"/>
    <w:basedOn w:val="1"/>
    <w:link w:val="54"/>
    <w:qFormat/>
    <w:uiPriority w:val="0"/>
    <w:rPr>
      <w:rFonts w:ascii="Courier New" w:hAnsi="Courier New"/>
      <w:sz w:val="20"/>
    </w:rPr>
  </w:style>
  <w:style w:type="paragraph" w:styleId="34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35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36">
    <w:name w:val="annotation subject"/>
    <w:basedOn w:val="15"/>
    <w:next w:val="15"/>
    <w:qFormat/>
    <w:uiPriority w:val="0"/>
    <w:rPr>
      <w:b/>
      <w:bCs/>
    </w:rPr>
  </w:style>
  <w:style w:type="table" w:styleId="38">
    <w:name w:val="Table Grid"/>
    <w:basedOn w:val="3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0">
    <w:name w:val="Strong"/>
    <w:basedOn w:val="39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41">
    <w:name w:val="endnote reference"/>
    <w:basedOn w:val="39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2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3">
    <w:name w:val="FollowedHyperlink"/>
    <w:basedOn w:val="39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44">
    <w:name w:val="Emphasis"/>
    <w:basedOn w:val="39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45">
    <w:name w:val="Hyperlink"/>
    <w:basedOn w:val="39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46">
    <w:name w:val="annotation reference"/>
    <w:basedOn w:val="39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7">
    <w:name w:val="footnote reference"/>
    <w:basedOn w:val="39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8">
    <w:name w:val="样式 Arial 蓝色 行距: 多倍行距 1.15 字行"/>
    <w:basedOn w:val="1"/>
    <w:semiHidden/>
    <w:qFormat/>
    <w:uiPriority w:val="0"/>
    <w:pPr>
      <w:spacing w:line="276" w:lineRule="auto"/>
      <w:ind w:firstLine="200" w:firstLineChars="200"/>
    </w:pPr>
    <w:rPr>
      <w:rFonts w:ascii="Arial" w:hAnsi="Arial" w:cs="宋体"/>
      <w:color w:val="0000FF"/>
      <w:szCs w:val="20"/>
    </w:rPr>
  </w:style>
  <w:style w:type="paragraph" w:customStyle="1" w:styleId="49">
    <w:name w:val="！代码样式"/>
    <w:basedOn w:val="1"/>
    <w:qFormat/>
    <w:uiPriority w:val="0"/>
    <w:pPr>
      <w:overflowPunct w:val="0"/>
      <w:autoSpaceDE w:val="0"/>
      <w:autoSpaceDN w:val="0"/>
      <w:adjustRightInd w:val="0"/>
      <w:snapToGrid w:val="0"/>
      <w:spacing w:line="240" w:lineRule="atLeast"/>
      <w:ind w:left="400" w:leftChars="400"/>
      <w:jc w:val="left"/>
      <w:textAlignment w:val="baseline"/>
    </w:pPr>
    <w:rPr>
      <w:rFonts w:ascii="Courier New" w:hAnsi="Courier New"/>
      <w:kern w:val="0"/>
      <w:szCs w:val="21"/>
    </w:rPr>
  </w:style>
  <w:style w:type="paragraph" w:customStyle="1" w:styleId="50">
    <w:name w:val="正文内容"/>
    <w:basedOn w:val="48"/>
    <w:qFormat/>
    <w:uiPriority w:val="0"/>
    <w:pPr>
      <w:ind w:firstLine="420"/>
    </w:pPr>
    <w:rPr>
      <w:rFonts w:cs="Arial"/>
      <w:color w:val="auto"/>
      <w:szCs w:val="21"/>
    </w:rPr>
  </w:style>
  <w:style w:type="paragraph" w:styleId="51">
    <w:name w:val="List Paragraph"/>
    <w:basedOn w:val="1"/>
    <w:qFormat/>
    <w:uiPriority w:val="34"/>
    <w:pPr>
      <w:ind w:firstLine="420" w:firstLineChars="200"/>
    </w:pPr>
  </w:style>
  <w:style w:type="paragraph" w:customStyle="1" w:styleId="52">
    <w:name w:val="md-end-block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53">
    <w:name w:val="md-plain"/>
    <w:basedOn w:val="39"/>
    <w:qFormat/>
    <w:uiPriority w:val="0"/>
  </w:style>
  <w:style w:type="character" w:customStyle="1" w:styleId="54">
    <w:name w:val="HTML 预设格式 字符"/>
    <w:link w:val="33"/>
    <w:qFormat/>
    <w:uiPriority w:val="99"/>
    <w:rPr>
      <w:rFonts w:ascii="Courier New" w:hAnsi="Courier New"/>
      <w:sz w:val="20"/>
    </w:rPr>
  </w:style>
  <w:style w:type="character" w:styleId="55">
    <w:name w:val="Placeholder Text"/>
    <w:basedOn w:val="39"/>
    <w:semiHidden/>
    <w:qFormat/>
    <w:uiPriority w:val="99"/>
    <w:rPr>
      <w:color w:val="808080"/>
    </w:rPr>
  </w:style>
  <w:style w:type="paragraph" w:customStyle="1" w:styleId="56">
    <w:name w:val="！代码格式"/>
    <w:basedOn w:val="1"/>
    <w:qFormat/>
    <w:uiPriority w:val="0"/>
    <w:pPr>
      <w:shd w:val="clear" w:color="auto" w:fill="D9D9D9"/>
      <w:adjustRightInd w:val="0"/>
      <w:snapToGrid w:val="0"/>
      <w:spacing w:after="0" w:afterLines="0" w:line="240" w:lineRule="atLeast"/>
      <w:jc w:val="left"/>
    </w:pPr>
    <w:rPr>
      <w:rFonts w:ascii="Courier New" w:hAnsi="Courier New"/>
      <w:kern w:val="0"/>
      <w:szCs w:val="21"/>
    </w:rPr>
  </w:style>
  <w:style w:type="character" w:customStyle="1" w:styleId="57">
    <w:name w:val="标题 3 字符"/>
    <w:link w:val="4"/>
    <w:qFormat/>
    <w:uiPriority w:val="0"/>
    <w:rPr>
      <w:rFonts w:ascii="微软雅黑" w:hAnsi="微软雅黑" w:eastAsia="微软雅黑" w:cstheme="minorBidi"/>
      <w:b/>
      <w:kern w:val="2"/>
      <w:sz w:val="30"/>
      <w:szCs w:val="30"/>
    </w:rPr>
  </w:style>
  <w:style w:type="character" w:customStyle="1" w:styleId="58">
    <w:name w:val="标题 2 字符"/>
    <w:link w:val="3"/>
    <w:qFormat/>
    <w:uiPriority w:val="0"/>
    <w:rPr>
      <w:rFonts w:ascii="微软雅黑" w:hAnsi="微软雅黑" w:eastAsia="微软雅黑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numbering" Target="numbering.xml"/><Relationship Id="rId37" Type="http://schemas.openxmlformats.org/officeDocument/2006/relationships/image" Target="media/image23.png"/><Relationship Id="rId36" Type="http://schemas.openxmlformats.org/officeDocument/2006/relationships/image" Target="media/image22.png"/><Relationship Id="rId35" Type="http://schemas.openxmlformats.org/officeDocument/2006/relationships/image" Target="media/image21.png"/><Relationship Id="rId34" Type="http://schemas.openxmlformats.org/officeDocument/2006/relationships/image" Target="media/image20.png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footnotes" Target="footnotes.xml"/><Relationship Id="rId29" Type="http://schemas.openxmlformats.org/officeDocument/2006/relationships/image" Target="media/image15.png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C3CBC-3257-4558-88A6-7FDFAA0788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TP-LINK Technologies Co., Ltd.</Company>
  <Pages>18</Pages>
  <Words>5039</Words>
  <Characters>7878</Characters>
  <Lines>414</Lines>
  <Paragraphs>488</Paragraphs>
  <TotalTime>0</TotalTime>
  <ScaleCrop>false</ScaleCrop>
  <LinksUpToDate>false</LinksUpToDate>
  <CharactersWithSpaces>8201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2022-07-21T15:22:00Z</dcterms:created>
  <dc:creator>作者名称</dc:creator>
  <cp:lastModifiedBy>朝生暮死。</cp:lastModifiedBy>
  <cp:lastPrinted>2007-04-30T08:02:00Z</cp:lastPrinted>
  <dcterms:modified xsi:type="dcterms:W3CDTF">2026-01-06T08:17:46Z</dcterms:modified>
  <dc:title>软件概要设计</dc:title>
  <cp:revision>740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模块名称">
    <vt:lpwstr>Template模块</vt:lpwstr>
  </property>
  <property fmtid="{D5CDD505-2E9C-101B-9397-08002B2CF9AE}" pid="3" name="版本号">
    <vt:lpwstr>V1.4</vt:lpwstr>
  </property>
  <property fmtid="{D5CDD505-2E9C-101B-9397-08002B2CF9AE}" pid="4" name="KSOTemplateDocerSaveRecord">
    <vt:lpwstr>eyJoZGlkIjoiZjg5NTQwNWFjMGNkZWMxMjJhOGQxYzBiN2E5ODM0NTgiLCJ1c2VySWQiOiIzODU1NzI3MzgifQ==</vt:lpwstr>
  </property>
  <property fmtid="{D5CDD505-2E9C-101B-9397-08002B2CF9AE}" pid="5" name="KSOProductBuildVer">
    <vt:lpwstr>2052-12.1.0.24034</vt:lpwstr>
  </property>
  <property fmtid="{D5CDD505-2E9C-101B-9397-08002B2CF9AE}" pid="6" name="ICV">
    <vt:lpwstr>7BC759D7B6CC4C119954665C7DCBDC6C_12</vt:lpwstr>
  </property>
</Properties>
</file>