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6"/>
        <w:jc w:val="center"/>
      </w:pPr>
      <w:r>
        <w:t>“未来”的设计专业研究生教育发展需求调研</w:t>
      </w:r>
    </w:p>
    <w:p>
      <w:pPr>
        <w:pStyle w:val="1"/>
      </w:pPr>
      <w:r>
        <w:t>摘要</w:t>
      </w:r>
    </w:p>
    <w:p>
      <w:pPr>
        <w:pStyle w:val="a3"/>
        <w:ind w:firstLine="480"/>
      </w:pPr>
      <w:r>
        <w:t>随着生成式人工智能进入设计领域，设计专业研究生教育应当教授何种知识重新成为有争议的问题。本研究以“十五五”时期（2026—2030）为时间锚点，回答设计专业研究生教育应当为学生补充何种支持。需求侧分为学生自述与世界要求两条证据线，前者由三次问卷、两次访谈与桌面研究构成，后者由岗位说明书 103 条、2026 年国考职位表、国家与制度文本 9 件及世界经济论坛报告三期构成；供给侧以 16 所院校培养方案为观测对象。研究采用多来源需求评估</w:t>
      </w:r>
      <w:r>
        <w:rPr>
          <w:vertAlign w:val="superscript"/>
        </w:rPr>
        <w:t>[1]</w:t>
      </w:r>
      <w:r>
        <w:t>与收敛式混合方法</w:t>
      </w:r>
      <w:r>
        <w:rPr>
          <w:vertAlign w:val="superscript"/>
        </w:rPr>
        <w:t>[2]</w:t>
      </w:r>
      <w:r>
        <w:t>。研究发现：学生一侧方向有共识，也随着专业背景有分化，并把生成式人工智能定位为辅助；世界一侧要求的是跨岗位动作能力，其中系统化设计意识与市场研究在课程教育上缺乏对应；供给侧的回应集中于实践与项目类、技法与媒介类课程。据此提出三处教育支持方向，并按小组承担的五个研究问题逐条作答。</w:t>
      </w:r>
    </w:p>
    <w:p>
      <w:pPr>
        <w:pStyle w:val="1"/>
      </w:pPr>
      <w:r>
        <w:t>绪论</w:t>
      </w:r>
    </w:p>
    <w:p>
      <w:pPr>
        <w:pStyle w:val="a3"/>
        <w:ind w:firstLine="480"/>
      </w:pPr>
      <w:r>
        <w:t>「未来」的设计专业研究生教育需要什么？这是本报告要回答的问题。在做相关调研之前，我们首先对题目进行拆解和理解。</w:t>
      </w:r>
    </w:p>
    <w:p>
      <w:pPr>
        <w:pStyle w:val="a3"/>
        <w:ind w:firstLine="480"/>
      </w:pPr>
      <w:r>
        <w:t>一、什么时候：新时期与新变化。 「未来」需要一个锚点。报告取国家「十五五」时期（2026—2030）：我们这一届 2026 年入学、约 2029 年毕业，职业生涯的第一站正落在这段时期及其后。这五年里，我们相信世界的日新月异更将加速——当前工具与工作方式的变化以月计，而培养方案的修订以年计，两种节奏的错位，使得是「面向未来」这一提法在当下获得紧迫性。</w:t>
      </w:r>
    </w:p>
    <w:p>
      <w:pPr>
        <w:pStyle w:val="a3"/>
        <w:ind w:firstLine="480"/>
      </w:pPr>
      <w:r>
        <w:t>二、什么人：大家虽然处在相同的时间空间中，但是发展历程却各不相同。 研究对象是设计专业的研究生，具体到我们北京师范大学未来设计学院的同学们：来自工科、社科、文科、理科、艺术等不同背景，目前就读设计专业，有不同的特点、爱好、性格与痛点，对未来的期待也不相同。因此「设计专业研究生」在需求上先天地分化为若干方向；报告既要答共同的部分，也要呈现分化的部分。</w:t>
      </w:r>
    </w:p>
    <w:p>
      <w:pPr>
        <w:pStyle w:val="a3"/>
        <w:ind w:firstLine="480"/>
      </w:pPr>
      <w:r>
        <w:t>三、问什么：怎么培养、怎么发展。 我们会受到什么样的教育——课程、导师、项目，还是 AI介入一切？生成式人工智能进入设计领域之后，「设计教育该教什么」重新成为有争议的问题：一侧是技术替代的忧虑（造型与执行技能面临价值重估），另一侧是教育系统的惯性与滞后。本报告不问「该加哪一门课」这一具体形态问题，而问更前置的一件事：教育应当提供什么样的支持。</w:t>
      </w:r>
    </w:p>
    <w:p>
      <w:pPr>
        <w:pStyle w:val="a3"/>
        <w:ind w:firstLine="480"/>
      </w:pPr>
      <w:r>
        <w:t>四、怎么答：限于五人小组要回答零散的五个问题之后，再做有关“‘未来’的设计专业研究生教育发展需求”的大问，零零散散而难以聚合。 所以我们既做访谈与问卷，收集学生「想要什么」「认为什么是重要的」；也反向追问「世界在要什么」。两侧并集减去学校已有的内容，组成报告内容，通过如下方程，概括调研主题：</w:t>
      </w:r>
    </w:p>
    <w:p>
      <w:pPr>
        <w:pStyle w:val="a3"/>
        <w:jc w:val="center"/>
      </w:pPr>
      <w:r>
        <w:rPr>
          <w:sz w:val="24"/>
        </w:rPr>
        <w:t>学生需要 ∪ 世界需要 − 学校已教 ＝ 缺口</w:t>
      </w:r>
    </w:p>
    <w:p>
      <w:pPr>
        <w:pStyle w:val="a3"/>
        <w:ind w:firstLine="480"/>
      </w:pPr>
      <w:r>
        <w:t>之所以取并集而不是交集：只承认两边共识，会漏掉两类关键需求——制度与趋势先行、市场尚未反映的能力，以及市场已在要、学生尚未意识到的能力。</w:t>
      </w:r>
    </w:p>
    <w:p>
      <w:pPr>
        <w:pStyle w:val="a3"/>
        <w:ind w:firstLine="480"/>
      </w:pPr>
      <w:r>
        <w:t>在此框架下，报告依次回答：需求侧在要什么→ 供给侧在教什么 → 两者相减后剩下哪些缺口 → 这些缺口里哪些应当优先 → 并以何种形态与顺序进入培养体系。</w:t>
      </w:r>
    </w:p>
    <w:p>
      <w:pPr>
        <w:pStyle w:val="1"/>
      </w:pPr>
      <w:r>
        <w:t>研究设计</w:t>
      </w:r>
    </w:p>
    <w:p>
      <w:pPr>
        <w:pStyle w:val="2"/>
      </w:pPr>
      <w:r>
        <w:t>研究对象与研究问题</w:t>
      </w:r>
    </w:p>
    <w:p>
      <w:pPr>
        <w:pStyle w:val="a3"/>
        <w:ind w:firstLine="480"/>
      </w:pPr>
      <w:r>
        <w:t>本研究的对象是设计专业研究生教育中的需求与供给关系，包含三类对象：</w:t>
      </w:r>
    </w:p>
    <w:p>
      <w:pPr>
        <w:pStyle w:val="a3"/>
        <w:ind w:firstLine="480"/>
      </w:pPr>
      <w:r>
        <w:t>① 需求主体，设计专业的研究生——主要通过访谈、问卷的方法采集；</w:t>
      </w:r>
    </w:p>
    <w:p>
      <w:pPr>
        <w:pStyle w:val="a3"/>
        <w:ind w:firstLine="480"/>
      </w:pPr>
      <w:r>
        <w:t>② 需求信号来源，雇主与制度环境的公开文本——职位说明书、2026 年国考职位表、国家与政策文本、WEF2018、WEF2020、WEF2025 的报告；</w:t>
      </w:r>
    </w:p>
    <w:p>
      <w:pPr>
        <w:pStyle w:val="a3"/>
        <w:ind w:firstLine="480"/>
      </w:pPr>
      <w:r>
        <w:t>③ 供给主体，国内外 16 所院校的设计类研究生培养方案。</w:t>
      </w:r>
    </w:p>
    <w:p>
      <w:pPr>
        <w:pStyle w:val="a3"/>
        <w:ind w:firstLine="480"/>
      </w:pPr>
      <w:r>
        <w:t>研究问题拆解为四问：</w:t>
      </w:r>
    </w:p>
    <w:p>
      <w:pPr>
        <w:pStyle w:val="a3"/>
        <w:ind w:firstLine="480"/>
      </w:pPr>
      <w:r>
        <w:t>Q1：学生与世界分别需要什么，并呈现两者的一致与分化；</w:t>
      </w:r>
    </w:p>
    <w:p>
      <w:pPr>
        <w:pStyle w:val="a3"/>
        <w:ind w:firstLine="480"/>
      </w:pPr>
      <w:r>
        <w:t>Q2：各院校培养方案是怎样变化的，目前的方案有何一致与分化；</w:t>
      </w:r>
    </w:p>
    <w:p>
      <w:pPr>
        <w:pStyle w:val="a3"/>
        <w:ind w:firstLine="480"/>
      </w:pPr>
      <w:r>
        <w:t>Q3：供需侧对照之下有哪些缺口；</w:t>
      </w:r>
    </w:p>
    <w:p>
      <w:pPr>
        <w:pStyle w:val="a3"/>
        <w:ind w:firstLine="480"/>
      </w:pPr>
      <w:r>
        <w:t>Q4：这些缺口里哪些优先、以何形态与顺序进入培养体系。</w:t>
      </w:r>
    </w:p>
    <w:p>
      <w:pPr>
        <w:pStyle w:val="2"/>
      </w:pPr>
      <w:r>
        <w:t>研究方法</w:t>
      </w:r>
    </w:p>
    <w:p>
      <w:pPr>
        <w:pStyle w:val="a3"/>
        <w:ind w:firstLine="480"/>
      </w:pPr>
      <w:r>
        <w:t>本研究采用多来源需求评估的三阶段框架（Witkin &amp; Altschuld, 1995：预设—评估—后评估</w:t>
      </w:r>
      <w:r>
        <w:rPr>
          <w:vertAlign w:val="superscript"/>
        </w:rPr>
        <w:t>[1]</w:t>
      </w:r>
      <w:r>
        <w:t>）与收敛式混合方法</w:t>
      </w:r>
      <w:r>
        <w:rPr>
          <w:vertAlign w:val="superscript"/>
        </w:rPr>
        <w:t>[2]</w:t>
      </w:r>
      <w:r>
        <w:t>作为总体设计。由于小组五人分头就五个问题同时调研，三类材料的性质与尺度并不相同，任何单一方法均无法承接；本研究因而把所有来源的发现翻译到同一份需求项清单之上，依三档处理：多源收敛者进入结论，单源独有者进入讨论，相互矛盾者单独报告。具体方法包括文献研究、问卷调查、半结构访谈、桌面研究、定向内容分析</w:t>
      </w:r>
      <w:r>
        <w:rPr>
          <w:vertAlign w:val="superscript"/>
        </w:rPr>
        <w:t>[3]</w:t>
      </w:r>
      <w:r>
        <w:t>与跨源对照六种，编码程序见附录 D。</w:t>
      </w:r>
    </w:p>
    <w:p>
      <w:pPr>
        <w:pStyle w:val="2"/>
      </w:pPr>
      <w:r>
        <w:t>缺口判定与优先次序规则</w:t>
      </w:r>
    </w:p>
    <w:p>
      <w:pPr>
        <w:pStyle w:val="a3"/>
        <w:ind w:firstLine="480"/>
      </w:pPr>
      <w:r>
        <w:t>缺口判定的条件是：需求侧有证据表明该项被要求，且供给侧在公开的课程名义层查无对应，两端均须落到可指认的条目，同时排除只能由工作年限自然积累的要求。优先次序由三道筛选确定，依次考察证据强度、教育可及性与不可替代性：三道均通过者进入结论建议，通过两道者进入讨论，仅通过一道者列为观察项，各道含义与规则全文见附录 G。</w:t>
      </w:r>
    </w:p>
    <w:p>
      <w:pPr>
        <w:pStyle w:val="2"/>
      </w:pPr>
      <w:r>
        <w:t>资料处理与信度</w:t>
      </w:r>
    </w:p>
    <w:p>
      <w:pPr>
        <w:pStyle w:val="a3"/>
        <w:ind w:firstLine="480"/>
      </w:pPr>
      <w:r>
        <w:t>编码手册经历两次修订，最终版本包含 28 项能力与一个岗位经验小节，修订记录与信度检验见附录 E。在 21 条复核样本中，层级一致 57 处、族类一致 20 处、逐项命中一致 5 处；争议能力项的 κ 值在边界收紧后由 0.34 升至 0.88</w:t>
      </w:r>
      <w:r>
        <w:rPr>
          <w:vertAlign w:val="superscript"/>
        </w:rPr>
        <w:t>[4]</w:t>
      </w:r>
      <w:r>
        <w:t>。跨源比较的分母口径与说明见附录 H。本报告的完整资料分析置于附录 J，正文只保留论证与结论，读者可先把握判断依据，再按需查阅数据明细。</w:t>
      </w:r>
    </w:p>
    <w:p>
      <w:pPr>
        <w:pStyle w:val="1"/>
      </w:pPr>
      <w:r>
        <w:t>研究结论与讨论</w:t>
      </w:r>
    </w:p>
    <w:p>
      <w:pPr>
        <w:pStyle w:val="2"/>
      </w:pPr>
      <w:r>
        <w:t>研究结论</w:t>
      </w:r>
    </w:p>
    <w:p>
      <w:pPr>
        <w:pStyle w:val="a3"/>
        <w:ind w:firstLine="480"/>
      </w:pPr>
      <w:r>
        <w:t>本报告的结论可以按“学生要什么、世界要什么、学校教什么、本研究看到了什么”四个方面概括，四点分别对应学生一侧、世界一侧、学校一侧与本研究自身的证据限度。</w:t>
      </w:r>
    </w:p>
    <w:p>
      <w:pPr>
        <w:pStyle w:val="a3"/>
        <w:ind w:firstLine="480"/>
      </w:pPr>
      <w:r>
        <w:t>第一，学生对未来方向的判断高度一致，但具体要补什么能力，则因专业背景而异。问卷 A（n=72）中，跨学科融合被选择 46 人、人工智能 38 人、可持续 35 人、项目制 34 人，四项差别很小，五道需求强度题的均值极差仅 0.15，说明“往哪个方向走”已形成共识；但按专业方向交叉之后，数字媒体与工业设计偏向设计与人工智能，环境艺术偏向可持续，视觉传达偏向商业与品牌。这意味着，一份统一的加课清单只能满足共识部分，无法回应各方向不同的实现路径。</w:t>
      </w:r>
    </w:p>
    <w:p>
      <w:pPr>
        <w:pStyle w:val="a3"/>
        <w:ind w:firstLine="480"/>
      </w:pPr>
      <w:r>
        <w:t>第二，市场对设计岗位的要求是一组可以跨岗位迁移的工作能力，而不是“设计专业”这一身份标签。103 条岗位说明书中，被要求最多的是端到端负责 69 条（67.0%）、无权威影响力与跨职能协作 44 条（42.7%）、系统化设计意识 39 条（37.9%）与市场与竞品研究 39 条（37.9%）。同时，制度与趋势的要求比市场出现得更早：绿色设计在国家文本与趋势报告中均被提出，而 103 条招聘文本中无一条真正要求。出口端呈现相反的情形：2026 年国考设计相关可报岗位中，学历条件为“仅限本科”者占 39.7%，而市场岗位很少设置学历门槛，读研的回报因而需要在市场端兑现。</w:t>
      </w:r>
    </w:p>
    <w:p>
      <w:pPr>
        <w:pStyle w:val="a3"/>
        <w:ind w:firstLine="480"/>
      </w:pPr>
      <w:r>
        <w:t>第三，学校目前所教的内容与上述要求之间存在结构性偏差。16 所院校（14 所取得课程名）的课程集中于实践与项目类（14 所全部命中）和技法与媒介类（13 所命中）；而市场要求最多的工作方式类能力，例如系统化设计意识，在 14 所院校的课程名称中找不到对应课程，市场与竞品研究也只找到相关级别的泛载体。换言之，学校供给的是“做什么项目”与“用什么手艺”，相对欠缺的是“怎么推进工作”与“怎么作出判断”。</w:t>
      </w:r>
    </w:p>
    <w:p>
      <w:pPr>
        <w:pStyle w:val="a3"/>
        <w:ind w:firstLine="480"/>
      </w:pPr>
      <w:r>
        <w:t>第四，本研究的能力框架本身也留下了证据缺口。市场与竞品研究、可制造性与工艺知识这两项，是初始框架无法归类、后来才补入的能力项；需要补入，说明框架在起步时有遗漏，而遗漏的规模提示：本报告识别出的缺口，可能仍小于真实缺口。</w:t>
      </w:r>
    </w:p>
    <w:p>
      <w:pPr>
        <w:pStyle w:val="2"/>
      </w:pPr>
      <w:r>
        <w:t>五个研究问题的回答</w:t>
      </w:r>
    </w:p>
    <w:p>
      <w:pPr>
        <w:pStyle w:val="a3"/>
        <w:ind w:firstLine="480"/>
      </w:pPr>
      <w:r>
        <w:t>本报告由小组五人共同承担五个研究问题，五个问题分别落在缺口方程的不同位置：问题一与问题四回答“学生需要”一侧，问题二回答“缺口”本身，问题三处于“学生需要”与“世界需要”的交叉处，问题五给出方程解的顺序。回答要点与主要证据概见表 1，以下逐条作答。</w:t>
      </w:r>
    </w:p>
    <w:p>
      <w:pPr>
        <w:pStyle w:val="a3"/>
        <w:jc w:val="center"/>
      </w:pPr>
      <w:r>
        <w:rPr>
          <w:b/>
          <w:sz w:val="21"/>
        </w:rPr>
        <w:t>表 1　五个研究问题与主要回答</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680"/>
        <w:gridCol w:w="840"/>
        <w:gridCol w:w="3193"/>
        <w:gridCol w:w="2689"/>
      </w:tblGrid>
      <w:tr>
        <w:trPr>
          <w:tblHeader w:val="true"/>
        </w:trPr>
        <w:tc>
          <w:tcPr>
            <w:tcW w:type="dxa" w:w="2100"/>
            <w:tcBorders>
              <w:bottom w:val="single" w:sz="6" w:color="auto"/>
            </w:tcBorders>
          </w:tcPr>
          <w:p>
            <w:pPr>
              <w:spacing w:line="240" w:lineRule="auto"/>
              <w:jc w:val="center"/>
            </w:pPr>
            <w:r/>
            <w:r>
              <w:rPr>
                <w:b/>
                <w:sz w:val="21"/>
              </w:rPr>
              <w:t>研究问题</w:t>
            </w:r>
          </w:p>
        </w:tc>
        <w:tc>
          <w:tcPr>
            <w:tcW w:type="dxa" w:w="2100"/>
            <w:tcBorders>
              <w:bottom w:val="single" w:sz="6" w:color="auto"/>
            </w:tcBorders>
          </w:tcPr>
          <w:p>
            <w:pPr>
              <w:spacing w:line="240" w:lineRule="auto"/>
              <w:jc w:val="center"/>
            </w:pPr>
            <w:r/>
            <w:r>
              <w:rPr>
                <w:b/>
                <w:sz w:val="21"/>
              </w:rPr>
              <w:t>承担题目</w:t>
            </w:r>
          </w:p>
        </w:tc>
        <w:tc>
          <w:tcPr>
            <w:tcW w:type="dxa" w:w="2100"/>
            <w:tcBorders>
              <w:bottom w:val="single" w:sz="6" w:color="auto"/>
            </w:tcBorders>
          </w:tcPr>
          <w:p>
            <w:pPr>
              <w:spacing w:line="240" w:lineRule="auto"/>
              <w:jc w:val="center"/>
            </w:pPr>
            <w:r/>
            <w:r>
              <w:rPr>
                <w:b/>
                <w:sz w:val="21"/>
              </w:rPr>
              <w:t>主要回答</w:t>
            </w:r>
          </w:p>
        </w:tc>
        <w:tc>
          <w:tcPr>
            <w:tcW w:type="dxa" w:w="2100"/>
            <w:tcBorders>
              <w:bottom w:val="single" w:sz="6" w:color="auto"/>
            </w:tcBorders>
          </w:tcPr>
          <w:p>
            <w:pPr>
              <w:spacing w:line="240" w:lineRule="auto"/>
              <w:jc w:val="center"/>
            </w:pPr>
            <w:r/>
            <w:r>
              <w:rPr>
                <w:b/>
                <w:sz w:val="21"/>
              </w:rPr>
              <w:t>关键证据</w:t>
            </w:r>
          </w:p>
        </w:tc>
      </w:tr>
      <w:tr>
        <w:tc>
          <w:tcPr>
            <w:tcW w:type="dxa" w:w="2100"/>
          </w:tcPr>
          <w:p>
            <w:pPr>
              <w:spacing w:line="240" w:lineRule="auto"/>
              <w:jc w:val="left"/>
            </w:pPr>
            <w:r>
              <w:rPr>
                <w:sz w:val="21"/>
              </w:rPr>
              <w:t>问题一　学习与发展规划中的痛点</w:t>
            </w:r>
          </w:p>
        </w:tc>
        <w:tc>
          <w:tcPr>
            <w:tcW w:type="dxa" w:w="2100"/>
          </w:tcPr>
          <w:p>
            <w:pPr>
              <w:spacing w:line="240" w:lineRule="auto"/>
            </w:pPr>
            <w:r>
              <w:rPr>
                <w:sz w:val="21"/>
              </w:rPr>
              <w:t>题 1</w:t>
            </w:r>
          </w:p>
        </w:tc>
        <w:tc>
          <w:tcPr>
            <w:tcW w:type="dxa" w:w="2100"/>
          </w:tcPr>
          <w:p>
            <w:pPr>
              <w:spacing w:line="240" w:lineRule="auto"/>
            </w:pPr>
            <w:r>
              <w:rPr>
                <w:sz w:val="21"/>
              </w:rPr>
              <w:t>实践经验不足、能力转化困难与发展方向不明三处结构性悬空</w:t>
            </w:r>
          </w:p>
        </w:tc>
        <w:tc>
          <w:tcPr>
            <w:tcW w:type="dxa" w:w="2100"/>
          </w:tcPr>
          <w:p>
            <w:pPr>
              <w:spacing w:line="240" w:lineRule="auto"/>
            </w:pPr>
            <w:r>
              <w:rPr>
                <w:sz w:val="21"/>
              </w:rPr>
              <w:t>问卷 C：12/20、19/20；研二访谈</w:t>
            </w:r>
          </w:p>
        </w:tc>
      </w:tr>
      <w:tr>
        <w:tc>
          <w:tcPr>
            <w:tcW w:type="dxa" w:w="2100"/>
          </w:tcPr>
          <w:p>
            <w:pPr>
              <w:spacing w:line="240" w:lineRule="auto"/>
              <w:jc w:val="left"/>
            </w:pPr>
            <w:r>
              <w:rPr>
                <w:sz w:val="21"/>
              </w:rPr>
              <w:t>问题二　面向未来最需要的教育支持</w:t>
            </w:r>
          </w:p>
        </w:tc>
        <w:tc>
          <w:tcPr>
            <w:tcW w:type="dxa" w:w="2100"/>
          </w:tcPr>
          <w:p>
            <w:pPr>
              <w:spacing w:line="240" w:lineRule="auto"/>
            </w:pPr>
            <w:r>
              <w:rPr>
                <w:sz w:val="21"/>
              </w:rPr>
              <w:t>题 3</w:t>
            </w:r>
          </w:p>
        </w:tc>
        <w:tc>
          <w:tcPr>
            <w:tcW w:type="dxa" w:w="2100"/>
          </w:tcPr>
          <w:p>
            <w:pPr>
              <w:spacing w:line="240" w:lineRule="auto"/>
            </w:pPr>
            <w:r>
              <w:rPr>
                <w:sz w:val="21"/>
              </w:rPr>
              <w:t>系统化设计与市场研究课程化；判断型人工智能课程；项目制环节制度化</w:t>
            </w:r>
          </w:p>
        </w:tc>
        <w:tc>
          <w:tcPr>
            <w:tcW w:type="dxa" w:w="2100"/>
          </w:tcPr>
          <w:p>
            <w:pPr>
              <w:spacing w:line="240" w:lineRule="auto"/>
            </w:pPr>
            <w:r>
              <w:rPr>
                <w:sz w:val="21"/>
              </w:rPr>
              <w:t>要求侧 39/103 与职责侧 35 句、27 个岗位；课程名义层零对应</w:t>
            </w:r>
          </w:p>
        </w:tc>
      </w:tr>
      <w:tr>
        <w:tc>
          <w:tcPr>
            <w:tcW w:type="dxa" w:w="2100"/>
          </w:tcPr>
          <w:p>
            <w:pPr>
              <w:spacing w:line="240" w:lineRule="auto"/>
              <w:jc w:val="left"/>
            </w:pPr>
            <w:r>
              <w:rPr>
                <w:sz w:val="21"/>
              </w:rPr>
              <w:t>问题三　人工智能的角色与决定权</w:t>
            </w:r>
          </w:p>
        </w:tc>
        <w:tc>
          <w:tcPr>
            <w:tcW w:type="dxa" w:w="2100"/>
          </w:tcPr>
          <w:p>
            <w:pPr>
              <w:spacing w:line="240" w:lineRule="auto"/>
            </w:pPr>
            <w:r>
              <w:rPr>
                <w:sz w:val="21"/>
              </w:rPr>
              <w:t>题 4</w:t>
            </w:r>
          </w:p>
        </w:tc>
        <w:tc>
          <w:tcPr>
            <w:tcW w:type="dxa" w:w="2100"/>
          </w:tcPr>
          <w:p>
            <w:pPr>
              <w:spacing w:line="240" w:lineRule="auto"/>
            </w:pPr>
            <w:r>
              <w:rPr>
                <w:sz w:val="21"/>
              </w:rPr>
              <w:t>定位为辅助性手段；决定权归于本人与教师，形成三方分工</w:t>
            </w:r>
          </w:p>
        </w:tc>
        <w:tc>
          <w:tcPr>
            <w:tcW w:type="dxa" w:w="2100"/>
          </w:tcPr>
          <w:p>
            <w:pPr>
              <w:spacing w:line="240" w:lineRule="auto"/>
            </w:pPr>
            <w:r>
              <w:rPr>
                <w:sz w:val="21"/>
              </w:rPr>
              <w:t>问卷 B：39/55、35/55、30/55、4/55；本人 28/55、教师 24/55、人工智能 3/55</w:t>
            </w:r>
          </w:p>
        </w:tc>
      </w:tr>
      <w:tr>
        <w:tc>
          <w:tcPr>
            <w:tcW w:type="dxa" w:w="2100"/>
          </w:tcPr>
          <w:p>
            <w:pPr>
              <w:spacing w:line="240" w:lineRule="auto"/>
              <w:jc w:val="left"/>
            </w:pPr>
            <w:r>
              <w:rPr>
                <w:sz w:val="21"/>
              </w:rPr>
              <w:t>问题四　不同学科背景的学习需求差异</w:t>
            </w:r>
          </w:p>
        </w:tc>
        <w:tc>
          <w:tcPr>
            <w:tcW w:type="dxa" w:w="2100"/>
          </w:tcPr>
          <w:p>
            <w:pPr>
              <w:spacing w:line="240" w:lineRule="auto"/>
            </w:pPr>
            <w:r>
              <w:rPr>
                <w:sz w:val="21"/>
              </w:rPr>
              <w:t>题 5</w:t>
            </w:r>
          </w:p>
        </w:tc>
        <w:tc>
          <w:tcPr>
            <w:tcW w:type="dxa" w:w="2100"/>
          </w:tcPr>
          <w:p>
            <w:pPr>
              <w:spacing w:line="240" w:lineRule="auto"/>
            </w:pPr>
            <w:r>
              <w:rPr>
                <w:sz w:val="21"/>
              </w:rPr>
              <w:t>方向层面高度一致，实现层面明显分化</w:t>
            </w:r>
          </w:p>
        </w:tc>
        <w:tc>
          <w:tcPr>
            <w:tcW w:type="dxa" w:w="2100"/>
          </w:tcPr>
          <w:p>
            <w:pPr>
              <w:spacing w:line="240" w:lineRule="auto"/>
            </w:pPr>
            <w:r>
              <w:rPr>
                <w:sz w:val="21"/>
              </w:rPr>
              <w:t>问卷 A：46/72、38/72、35/72、34/72；均值极差 0.15</w:t>
            </w:r>
          </w:p>
        </w:tc>
      </w:tr>
      <w:tr>
        <w:tc>
          <w:tcPr>
            <w:tcW w:type="dxa" w:w="2100"/>
          </w:tcPr>
          <w:p>
            <w:pPr>
              <w:spacing w:line="240" w:lineRule="auto"/>
              <w:jc w:val="left"/>
            </w:pPr>
            <w:r>
              <w:rPr>
                <w:sz w:val="21"/>
              </w:rPr>
              <w:t>问题五　应优先进入学生教育系统的内容</w:t>
            </w:r>
          </w:p>
        </w:tc>
        <w:tc>
          <w:tcPr>
            <w:tcW w:type="dxa" w:w="2100"/>
          </w:tcPr>
          <w:p>
            <w:pPr>
              <w:spacing w:line="240" w:lineRule="auto"/>
            </w:pPr>
            <w:r>
              <w:rPr>
                <w:sz w:val="21"/>
              </w:rPr>
              <w:t>题 6</w:t>
            </w:r>
          </w:p>
        </w:tc>
        <w:tc>
          <w:tcPr>
            <w:tcW w:type="dxa" w:w="2100"/>
          </w:tcPr>
          <w:p>
            <w:pPr>
              <w:spacing w:line="240" w:lineRule="auto"/>
            </w:pPr>
            <w:r>
              <w:rPr>
                <w:sz w:val="21"/>
              </w:rPr>
              <w:t>判断型人工智能课程与项目制环节制度化可先行，可持续设计列为待观察</w:t>
            </w:r>
          </w:p>
        </w:tc>
        <w:tc>
          <w:tcPr>
            <w:tcW w:type="dxa" w:w="2100"/>
          </w:tcPr>
          <w:p>
            <w:pPr>
              <w:spacing w:line="240" w:lineRule="auto"/>
            </w:pPr>
            <w:r>
              <w:rPr>
                <w:sz w:val="21"/>
              </w:rPr>
              <w:t>桌面研究；经三道筛选复核</w:t>
            </w:r>
          </w:p>
        </w:tc>
      </w:tr>
    </w:tbl>
    <w:p>
      <w:pPr>
        <w:pStyle w:val="a3"/>
      </w:pPr>
      <w:r>
        <w:rPr>
          <w:sz w:val="18"/>
        </w:rPr>
        <w:t>注：问题编号沿用小组认领的题号；回答要点系综合本报告结论章与附录 J 的证据所得。资料来源：本研究。</w:t>
      </w:r>
    </w:p>
    <w:p>
      <w:pPr>
        <w:pStyle w:val="a3"/>
      </w:pPr>
    </w:p>
    <w:p>
      <w:pPr>
        <w:pStyle w:val="3"/>
      </w:pPr>
      <w:r>
        <w:t>问题一：学习与发展规划中的痛点</w:t>
      </w:r>
    </w:p>
    <w:p>
      <w:pPr>
        <w:pStyle w:val="a3"/>
        <w:ind w:firstLine="480"/>
      </w:pPr>
      <w:r>
        <w:t>这一问落在方程的“学生需要”一侧，回答的是学生此刻被什么卡住。问卷 C 显示，真实实践经验不足 12/20，选择“明确目标，有清晰发展方向”者仅 1/20，其余 19/20 处于方向探索或迷茫状态，最缺少的资源是真实项目实践 13/20。三项困难指向同一处结构：培养环节提供了方法与视野，却未稳定提供把外部要求转化为个人能力的通道。这一结果同时表明，学生一侧的需要并不是“想要更多课程”，而是“想要可验证的经历”，它与方程右侧学校已教的观测结果构成对照。</w:t>
      </w:r>
    </w:p>
    <w:p>
      <w:pPr>
        <w:pStyle w:val="3"/>
      </w:pPr>
      <w:r>
        <w:t>问题二：面向未来最需要的教育支持</w:t>
      </w:r>
    </w:p>
    <w:p>
      <w:pPr>
        <w:pStyle w:val="a3"/>
        <w:ind w:firstLine="480"/>
      </w:pPr>
      <w:r>
        <w:t>这一问落在方程的“缺口”一侧，是本报告的核心回答，共有三处。第一，把系统化设计与市场研究由隐含要求转为正式课程：系统化设计意识在招聘文本中被要求 39/103，在职责侧任务谱中有 35 句、27 个岗位的对应，而在 14 所院校的课程名义层查无对应；市场与竞品研究在供给方面只找到相关级别的泛载体。第二，开设以判断为目标的人工智能课程：市场对人工智能的要求多集中于工具使用与经验声明，要求判断产出质量者仅 6 个岗位，而供给侧的智能与技术类课程又非普遍配置。第三，把项目制环节制度化：该项在问卷 A 与问卷 C 中均获得最强支持，企业与学生两端的要求亦彼此一致。</w:t>
      </w:r>
    </w:p>
    <w:p>
      <w:pPr>
        <w:pStyle w:val="3"/>
      </w:pPr>
      <w:r>
        <w:t>问题三：人工智能的角色与决定权归属</w:t>
      </w:r>
    </w:p>
    <w:p>
      <w:pPr>
        <w:pStyle w:val="a3"/>
        <w:ind w:firstLine="480"/>
      </w:pPr>
      <w:r>
        <w:t>这一问落在“学生需要”与“世界需要”的交叉处，回答的是技术进入之后教学关系如何重排。问卷 B 显示，认为可以完全替代部分教师教学工作者仅 4/55；选择最终方案时由本人决定 28/55、教师 24/55、人工智能 3/55；即便人工智能能够快速评价方案，仍有 46/55 认为需要教师。据此可以形成一处分工形态：人工智能辅助探索与实现，教师负责专业指导与能力培养，学生保留自主判断与决策。这一回答也回扣了开篇的议题限定，即争议的关键不在工具是否可用，而在判断权与教学关系的归属。</w:t>
      </w:r>
    </w:p>
    <w:p>
      <w:pPr>
        <w:pStyle w:val="3"/>
      </w:pPr>
      <w:r>
        <w:t>问题四：不同学科背景学生的学习需求差异</w:t>
      </w:r>
    </w:p>
    <w:p>
      <w:pPr>
        <w:pStyle w:val="a3"/>
        <w:ind w:firstLine="480"/>
      </w:pPr>
      <w:r>
        <w:t>这一问检验“学生需要”一侧的内部一致性。在方向层面，问卷 A 中跨学科 46/72、人工智能 38/72、可持续 35/72、项目制 34/72，五道需求强度题的均值极差仅 0.15，方向判断高度接近；在实现层面，数字媒体与工业设计偏向设计与人工智能，环境艺术偏向可持续，视觉传达偏向商业与品牌，分化明确。因此，把“学生需要”当作同质整体会造成错配，统一的加课清单只能回应共识部分；这也回扣了开篇的对象限定，研究对象虽同为设计专业研究生，其内部路径并不相同。</w:t>
      </w:r>
    </w:p>
    <w:p>
      <w:pPr>
        <w:pStyle w:val="3"/>
      </w:pPr>
      <w:r>
        <w:t>问题五：应优先进入学生教育系统的内容</w:t>
      </w:r>
    </w:p>
    <w:p>
      <w:pPr>
        <w:pStyle w:val="a3"/>
        <w:ind w:firstLine="480"/>
      </w:pPr>
      <w:r>
        <w:t>这一问为方程的解提供顺序。桌面研究依据文献与平台内容提出四项候选，即人工智能协同设计课程、可持续设计融入项目、跨学科联合项目与媒介素养；经三道筛选复核，人工智能协同设计课程与项目制相关项分别与问题二回答中的判断型人工智能课程、项目制环节制度化相吻合，可持续设计融入项目因招聘文本零命中列为待观察，媒介素养宜作为既有课程的组成部分。就顺序而言，系统化设计与市场研究属于必须以正式课程承载的部分，宜先行推进，判断型人工智能课程与项目制制度化可同期展开。</w:t>
      </w:r>
    </w:p>
    <w:p>
      <w:pPr>
        <w:pStyle w:val="2"/>
      </w:pPr>
      <w:r>
        <w:t>教育支持方向与优先次序</w:t>
      </w:r>
    </w:p>
    <w:p>
      <w:pPr>
        <w:pStyle w:val="a3"/>
        <w:ind w:firstLine="480"/>
      </w:pPr>
      <w:r>
        <w:t>按三道筛选，系统化设计意识与市场研究通过全部三道且具备双端证据，列为第一优先；判断型人工智能课程列第二优先；项目制环节制度化列第三优先；绿色设计、批判性思维与持续学习虽有多源证据但在招聘文本中零命中，列待观察项，结果如表 2 所示。教育支持的方向有三：系统化设计与市场研究转为正式课程，形态以工作方式训练为主；开设以判断为目标的人工智能课程，重点在对产出的评估、选择与精炼；项目制环节制度化，使实习、毕业设计与企业课题成为稳定对接形态。</w:t>
      </w:r>
    </w:p>
    <w:p>
      <w:pPr>
        <w:pStyle w:val="a3"/>
        <w:jc w:val="center"/>
      </w:pPr>
      <w:r>
        <w:rPr>
          <w:b/>
          <w:sz w:val="21"/>
        </w:rPr>
        <w:t>表 2　缺口优先次序与三道筛选结果</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2521"/>
        <w:gridCol w:w="1680"/>
        <w:gridCol w:w="1176"/>
        <w:gridCol w:w="1176"/>
        <w:gridCol w:w="1848"/>
      </w:tblGrid>
      <w:tr>
        <w:trPr>
          <w:tblHeader w:val="true"/>
        </w:trPr>
        <w:tc>
          <w:tcPr>
            <w:tcW w:type="dxa" w:w="1680"/>
            <w:tcBorders>
              <w:bottom w:val="single" w:sz="6" w:color="auto"/>
            </w:tcBorders>
          </w:tcPr>
          <w:p>
            <w:pPr>
              <w:spacing w:line="240" w:lineRule="auto"/>
              <w:jc w:val="center"/>
            </w:pPr>
            <w:r/>
            <w:r>
              <w:rPr>
                <w:b/>
                <w:sz w:val="21"/>
              </w:rPr>
              <w:t>候选支持方向</w:t>
            </w:r>
          </w:p>
        </w:tc>
        <w:tc>
          <w:tcPr>
            <w:tcW w:type="dxa" w:w="1680"/>
            <w:tcBorders>
              <w:bottom w:val="single" w:sz="6" w:color="auto"/>
            </w:tcBorders>
          </w:tcPr>
          <w:p>
            <w:pPr>
              <w:spacing w:line="240" w:lineRule="auto"/>
              <w:jc w:val="center"/>
            </w:pPr>
            <w:r/>
            <w:r>
              <w:rPr>
                <w:b/>
                <w:sz w:val="21"/>
              </w:rPr>
              <w:t>证据强度</w:t>
            </w:r>
          </w:p>
        </w:tc>
        <w:tc>
          <w:tcPr>
            <w:tcW w:type="dxa" w:w="1680"/>
            <w:tcBorders>
              <w:bottom w:val="single" w:sz="6" w:color="auto"/>
            </w:tcBorders>
          </w:tcPr>
          <w:p>
            <w:pPr>
              <w:spacing w:line="240" w:lineRule="auto"/>
              <w:jc w:val="center"/>
            </w:pPr>
            <w:r/>
            <w:r>
              <w:rPr>
                <w:b/>
                <w:sz w:val="21"/>
              </w:rPr>
              <w:t>教育可及性</w:t>
            </w:r>
          </w:p>
        </w:tc>
        <w:tc>
          <w:tcPr>
            <w:tcW w:type="dxa" w:w="1680"/>
            <w:tcBorders>
              <w:bottom w:val="single" w:sz="6" w:color="auto"/>
            </w:tcBorders>
          </w:tcPr>
          <w:p>
            <w:pPr>
              <w:spacing w:line="240" w:lineRule="auto"/>
              <w:jc w:val="center"/>
            </w:pPr>
            <w:r/>
            <w:r>
              <w:rPr>
                <w:b/>
                <w:sz w:val="21"/>
              </w:rPr>
              <w:t>不可替代性</w:t>
            </w:r>
          </w:p>
        </w:tc>
        <w:tc>
          <w:tcPr>
            <w:tcW w:type="dxa" w:w="1680"/>
            <w:tcBorders>
              <w:bottom w:val="single" w:sz="6" w:color="auto"/>
            </w:tcBorders>
          </w:tcPr>
          <w:p>
            <w:pPr>
              <w:spacing w:line="240" w:lineRule="auto"/>
              <w:jc w:val="center"/>
            </w:pPr>
            <w:r/>
            <w:r>
              <w:rPr>
                <w:b/>
                <w:sz w:val="21"/>
              </w:rPr>
              <w:t>优先次序</w:t>
            </w:r>
          </w:p>
        </w:tc>
      </w:tr>
      <w:tr>
        <w:tc>
          <w:tcPr>
            <w:tcW w:type="dxa" w:w="1680"/>
          </w:tcPr>
          <w:p>
            <w:pPr>
              <w:spacing w:line="240" w:lineRule="auto"/>
              <w:jc w:val="left"/>
            </w:pPr>
            <w:r>
              <w:rPr>
                <w:sz w:val="21"/>
              </w:rPr>
              <w:t>系统化设计与市场研究课程化</w:t>
            </w:r>
          </w:p>
        </w:tc>
        <w:tc>
          <w:tcPr>
            <w:tcW w:type="dxa" w:w="1680"/>
          </w:tcPr>
          <w:p>
            <w:pPr>
              <w:spacing w:line="240" w:lineRule="auto"/>
            </w:pPr>
            <w:r>
              <w:rPr>
                <w:sz w:val="21"/>
              </w:rPr>
              <w:t>通过（要求侧与职责侧双端证据）</w:t>
            </w:r>
          </w:p>
        </w:tc>
        <w:tc>
          <w:tcPr>
            <w:tcW w:type="dxa" w:w="1680"/>
          </w:tcPr>
          <w:p>
            <w:pPr>
              <w:spacing w:line="240" w:lineRule="auto"/>
            </w:pPr>
            <w:r>
              <w:rPr>
                <w:sz w:val="21"/>
              </w:rPr>
              <w:t>通过</w:t>
            </w:r>
          </w:p>
        </w:tc>
        <w:tc>
          <w:tcPr>
            <w:tcW w:type="dxa" w:w="1680"/>
          </w:tcPr>
          <w:p>
            <w:pPr>
              <w:spacing w:line="240" w:lineRule="auto"/>
            </w:pPr>
            <w:r>
              <w:rPr>
                <w:sz w:val="21"/>
              </w:rPr>
              <w:t>通过</w:t>
            </w:r>
          </w:p>
        </w:tc>
        <w:tc>
          <w:tcPr>
            <w:tcW w:type="dxa" w:w="1680"/>
          </w:tcPr>
          <w:p>
            <w:pPr>
              <w:spacing w:line="240" w:lineRule="auto"/>
            </w:pPr>
            <w:r>
              <w:rPr>
                <w:sz w:val="21"/>
              </w:rPr>
              <w:t>第一优先</w:t>
            </w:r>
          </w:p>
        </w:tc>
      </w:tr>
      <w:tr>
        <w:tc>
          <w:tcPr>
            <w:tcW w:type="dxa" w:w="1680"/>
          </w:tcPr>
          <w:p>
            <w:pPr>
              <w:spacing w:line="240" w:lineRule="auto"/>
              <w:jc w:val="left"/>
            </w:pPr>
            <w:r>
              <w:rPr>
                <w:sz w:val="21"/>
              </w:rPr>
              <w:t>以判断为目标的人工智能课程</w:t>
            </w:r>
          </w:p>
        </w:tc>
        <w:tc>
          <w:tcPr>
            <w:tcW w:type="dxa" w:w="1680"/>
          </w:tcPr>
          <w:p>
            <w:pPr>
              <w:spacing w:line="240" w:lineRule="auto"/>
            </w:pPr>
            <w:r>
              <w:rPr>
                <w:sz w:val="21"/>
              </w:rPr>
              <w:t>通过</w:t>
            </w:r>
          </w:p>
        </w:tc>
        <w:tc>
          <w:tcPr>
            <w:tcW w:type="dxa" w:w="1680"/>
          </w:tcPr>
          <w:p>
            <w:pPr>
              <w:spacing w:line="240" w:lineRule="auto"/>
            </w:pPr>
            <w:r>
              <w:rPr>
                <w:sz w:val="21"/>
              </w:rPr>
              <w:t>通过</w:t>
            </w:r>
          </w:p>
        </w:tc>
        <w:tc>
          <w:tcPr>
            <w:tcW w:type="dxa" w:w="1680"/>
          </w:tcPr>
          <w:p>
            <w:pPr>
              <w:spacing w:line="240" w:lineRule="auto"/>
            </w:pPr>
            <w:r>
              <w:rPr>
                <w:sz w:val="21"/>
              </w:rPr>
              <w:t>部分通过</w:t>
            </w:r>
          </w:p>
        </w:tc>
        <w:tc>
          <w:tcPr>
            <w:tcW w:type="dxa" w:w="1680"/>
          </w:tcPr>
          <w:p>
            <w:pPr>
              <w:spacing w:line="240" w:lineRule="auto"/>
            </w:pPr>
            <w:r>
              <w:rPr>
                <w:sz w:val="21"/>
              </w:rPr>
              <w:t>第二优先</w:t>
            </w:r>
          </w:p>
        </w:tc>
      </w:tr>
      <w:tr>
        <w:tc>
          <w:tcPr>
            <w:tcW w:type="dxa" w:w="1680"/>
          </w:tcPr>
          <w:p>
            <w:pPr>
              <w:spacing w:line="240" w:lineRule="auto"/>
              <w:jc w:val="left"/>
            </w:pPr>
            <w:r>
              <w:rPr>
                <w:sz w:val="21"/>
              </w:rPr>
              <w:t>项目制环节制度化</w:t>
            </w:r>
          </w:p>
        </w:tc>
        <w:tc>
          <w:tcPr>
            <w:tcW w:type="dxa" w:w="1680"/>
          </w:tcPr>
          <w:p>
            <w:pPr>
              <w:spacing w:line="240" w:lineRule="auto"/>
            </w:pPr>
            <w:r>
              <w:rPr>
                <w:sz w:val="21"/>
              </w:rPr>
              <w:t>部分通过（依赖经验型要求的整体规模）</w:t>
            </w:r>
          </w:p>
        </w:tc>
        <w:tc>
          <w:tcPr>
            <w:tcW w:type="dxa" w:w="1680"/>
          </w:tcPr>
          <w:p>
            <w:pPr>
              <w:spacing w:line="240" w:lineRule="auto"/>
            </w:pPr>
            <w:r>
              <w:rPr>
                <w:sz w:val="21"/>
              </w:rPr>
              <w:t>通过</w:t>
            </w:r>
          </w:p>
        </w:tc>
        <w:tc>
          <w:tcPr>
            <w:tcW w:type="dxa" w:w="1680"/>
          </w:tcPr>
          <w:p>
            <w:pPr>
              <w:spacing w:line="240" w:lineRule="auto"/>
            </w:pPr>
            <w:r>
              <w:rPr>
                <w:sz w:val="21"/>
              </w:rPr>
              <w:t>通过</w:t>
            </w:r>
          </w:p>
        </w:tc>
        <w:tc>
          <w:tcPr>
            <w:tcW w:type="dxa" w:w="1680"/>
          </w:tcPr>
          <w:p>
            <w:pPr>
              <w:spacing w:line="240" w:lineRule="auto"/>
            </w:pPr>
            <w:r>
              <w:rPr>
                <w:sz w:val="21"/>
              </w:rPr>
              <w:t>第三优先</w:t>
            </w:r>
          </w:p>
        </w:tc>
      </w:tr>
      <w:tr>
        <w:tc>
          <w:tcPr>
            <w:tcW w:type="dxa" w:w="1680"/>
          </w:tcPr>
          <w:p>
            <w:pPr>
              <w:spacing w:line="240" w:lineRule="auto"/>
              <w:jc w:val="left"/>
            </w:pPr>
            <w:r>
              <w:rPr>
                <w:sz w:val="21"/>
              </w:rPr>
              <w:t>绿色设计、批判性思维与持续学习</w:t>
            </w:r>
          </w:p>
        </w:tc>
        <w:tc>
          <w:tcPr>
            <w:tcW w:type="dxa" w:w="1680"/>
          </w:tcPr>
          <w:p>
            <w:pPr>
              <w:spacing w:line="240" w:lineRule="auto"/>
            </w:pPr>
            <w:r>
              <w:rPr>
                <w:sz w:val="21"/>
              </w:rPr>
              <w:t>通过（多源收敛）</w:t>
            </w:r>
          </w:p>
        </w:tc>
        <w:tc>
          <w:tcPr>
            <w:tcW w:type="dxa" w:w="1680"/>
          </w:tcPr>
          <w:p>
            <w:pPr>
              <w:spacing w:line="240" w:lineRule="auto"/>
            </w:pPr>
            <w:r>
              <w:rPr>
                <w:sz w:val="21"/>
              </w:rPr>
              <w:t>通过</w:t>
            </w:r>
          </w:p>
        </w:tc>
        <w:tc>
          <w:tcPr>
            <w:tcW w:type="dxa" w:w="1680"/>
          </w:tcPr>
          <w:p>
            <w:pPr>
              <w:spacing w:line="240" w:lineRule="auto"/>
            </w:pPr>
            <w:r>
              <w:rPr>
                <w:sz w:val="21"/>
              </w:rPr>
              <w:t>通过</w:t>
            </w:r>
          </w:p>
        </w:tc>
        <w:tc>
          <w:tcPr>
            <w:tcW w:type="dxa" w:w="1680"/>
          </w:tcPr>
          <w:p>
            <w:pPr>
              <w:spacing w:line="240" w:lineRule="auto"/>
            </w:pPr>
            <w:r>
              <w:rPr>
                <w:sz w:val="21"/>
              </w:rPr>
              <w:t>待观察（招聘文本零命中）</w:t>
            </w:r>
          </w:p>
        </w:tc>
      </w:tr>
    </w:tbl>
    <w:p>
      <w:pPr>
        <w:pStyle w:val="a3"/>
      </w:pPr>
      <w:r>
        <w:rPr>
          <w:sz w:val="18"/>
        </w:rPr>
        <w:t>注：三道筛选依次考察证据强度、教育可及性与不可替代性，规则全文见附录 G。资料来源：本研究缺口判定与优先次序规则。</w:t>
      </w:r>
    </w:p>
    <w:p>
      <w:pPr>
        <w:pStyle w:val="a3"/>
      </w:pPr>
    </w:p>
    <w:p>
      <w:pPr>
        <w:pStyle w:val="2"/>
      </w:pPr>
      <w:r>
        <w:t>理论意涵</w:t>
      </w:r>
    </w:p>
    <w:p>
      <w:pPr>
        <w:pStyle w:val="a3"/>
        <w:ind w:firstLine="480"/>
      </w:pPr>
      <w:r>
        <w:t>本研究的理论意图在于把设计教育还原为具有社会属性的中介环节。课程设置既是知识分类的结果，也是资本分配与惯习塑造的机制</w:t>
      </w:r>
      <w:r>
        <w:rPr>
          <w:vertAlign w:val="superscript"/>
        </w:rPr>
        <w:t>[5][6]</w:t>
      </w:r>
      <w:r>
        <w:t>；招聘文本、政策文本与趋势报告代表劳动力市场、国家治理与全球议程三类行动者的话语，它们通过学科目录、学分规定与评价指标等中介环节作用于院校决策</w:t>
      </w:r>
      <w:r>
        <w:rPr>
          <w:vertAlign w:val="superscript"/>
        </w:rPr>
        <w:t>[7]</w:t>
      </w:r>
      <w:r>
        <w:t>；设计物与设计实践则成为社会关系与文化意义的物质化形式</w:t>
      </w:r>
      <w:r>
        <w:rPr>
          <w:vertAlign w:val="superscript"/>
        </w:rPr>
        <w:t>[8]</w:t>
      </w:r>
      <w:r>
        <w:t>。因此，设计教育的改革问题不应简化为课程门类的增减，而应追问何种能力被制度承认、何种能力被推给市场。</w:t>
      </w:r>
    </w:p>
    <w:p>
      <w:pPr>
        <w:pStyle w:val="2"/>
      </w:pPr>
      <w:r>
        <w:t>研究不足与未来展望</w:t>
      </w:r>
    </w:p>
    <w:p>
      <w:pPr>
        <w:pStyle w:val="a3"/>
        <w:ind w:firstLine="480"/>
      </w:pPr>
      <w:r>
        <w:t>本研究存在若干不足：供给面止于课程名义层；跨源对照为单编码，未做第二编码者复核；人工盲编仅 3 条；国内样本为定向采集；出口路径面只有一个数据源与一个年度。后续研究可以教学大纲与课堂观察补充供给面的内容层，对矩阵实施第二编码者复核，并对系统化设计意识与市场研究开展雇主侧访谈，检验招聘要求与实际在岗使用之间的差距。至于这些支持应以何种课程形态、按什么顺序进入培养体系，属于教育专业判断，须由研究者以教师立场另行讨论。</w:t>
      </w:r>
    </w:p>
    <w:p>
      <w:pPr>
        <w:pStyle w:val="1"/>
      </w:pPr>
      <w:r>
        <w:t>参考文献</w:t>
      </w:r>
    </w:p>
    <w:p>
      <w:pPr>
        <w:pStyle w:val="a3"/>
      </w:pPr>
      <w:r>
        <w:rPr>
          <w:sz w:val="21"/>
        </w:rPr>
        <w:t>[1] Witkin B R, Altschuld J W. Planning and conducting needs assessments: A practical guide[M]. Thousand Oaks: SAGE, 1995.</w:t>
      </w:r>
    </w:p>
    <w:p>
      <w:pPr>
        <w:pStyle w:val="a3"/>
      </w:pPr>
      <w:r>
        <w:rPr>
          <w:sz w:val="21"/>
        </w:rPr>
        <w:t>[2] Creswell J W, Plano Clark V L. Designing and conducting mixed methods research[M]. 3rd ed. Thousand Oaks: SAGE, 2018.</w:t>
      </w:r>
    </w:p>
    <w:p>
      <w:pPr>
        <w:pStyle w:val="a3"/>
      </w:pPr>
      <w:r>
        <w:rPr>
          <w:sz w:val="21"/>
        </w:rPr>
        <w:t>[3] Hsieh H F, Shannon S E. Three approaches to qualitative content analysis[J]. Qualitative Health Research, 2005, 15(9): 1277-1288.</w:t>
      </w:r>
    </w:p>
    <w:p>
      <w:pPr>
        <w:pStyle w:val="a3"/>
      </w:pPr>
      <w:r>
        <w:rPr>
          <w:sz w:val="21"/>
        </w:rPr>
        <w:t>[4] Krippendorff K. Content analysis: An introduction to its methodology[M]. 4th ed. Thousand Oaks: SAGE, 2018.</w:t>
      </w:r>
    </w:p>
    <w:p>
      <w:pPr>
        <w:pStyle w:val="a3"/>
      </w:pPr>
      <w:r>
        <w:rPr>
          <w:sz w:val="21"/>
        </w:rPr>
        <w:t>[5] 布迪厄. 区分：判断力的社会批判[M]. 刘晖, 译. 北京: 商务印书馆, 2015.</w:t>
      </w:r>
    </w:p>
    <w:p>
      <w:pPr>
        <w:pStyle w:val="a3"/>
      </w:pPr>
      <w:r>
        <w:rPr>
          <w:sz w:val="21"/>
        </w:rPr>
        <w:t>[6] 布迪厄, 华康德. 实践与反思：反思社会学导引[M]. 李猛, 李康, 译. 北京: 中央编译出版社, 1998.</w:t>
      </w:r>
    </w:p>
    <w:p>
      <w:pPr>
        <w:pStyle w:val="a3"/>
      </w:pPr>
      <w:r>
        <w:rPr>
          <w:sz w:val="21"/>
        </w:rPr>
        <w:t>[7] 拉图尔. 重组社会：行动者网络理论导论[M]. 刘鹏, 安涅思, 译. 北京: 商务印书馆, 2022.</w:t>
      </w:r>
    </w:p>
    <w:p>
      <w:pPr>
        <w:pStyle w:val="a3"/>
      </w:pPr>
      <w:r>
        <w:rPr>
          <w:sz w:val="21"/>
        </w:rPr>
        <w:t>[8] 列斐伏尔. 空间的生产[M]. 刘怀玉, 等译. 北京: 商务印书馆, 2021.</w:t>
      </w:r>
    </w:p>
    <w:p>
      <w:pPr>
        <w:pStyle w:val="a3"/>
      </w:pPr>
      <w:r>
        <w:rPr>
          <w:sz w:val="21"/>
        </w:rPr>
        <w:t>[9] World Economic Forum. The future of jobs report[R]. Geneva: WEF, 2018, 2020, 2025.</w:t>
      </w:r>
    </w:p>
    <w:p>
      <w:pPr>
        <w:pStyle w:val="a3"/>
      </w:pPr>
      <w:r>
        <w:rPr>
          <w:sz w:val="21"/>
        </w:rPr>
        <w:t>[10] 中华人民共和国工业和信息化部. 制造业设计能力提升专项行动计划[Z]. 2019.</w:t>
      </w:r>
    </w:p>
    <w:p>
      <w:pPr>
        <w:pStyle w:val="a3"/>
      </w:pPr>
      <w:r>
        <w:rPr>
          <w:sz w:val="21"/>
        </w:rPr>
        <w:t>[11] 中共中央办公厅, 国务院办公厅. 关于全面加强和改进新时代学校美育工作的意见[Z]. 2020.</w:t>
      </w:r>
    </w:p>
    <w:p>
      <w:pPr>
        <w:pStyle w:val="a3"/>
      </w:pPr>
      <w:r>
        <w:rPr>
          <w:sz w:val="21"/>
        </w:rPr>
        <w:t>[12] 中华人民共和国教育部. 普通高等学校本科专业目录[Z]. 2025.</w:t>
      </w:r>
    </w:p>
    <w:p>
      <w:pPr>
        <w:pStyle w:val="1"/>
      </w:pPr>
      <w:r>
        <w:t>附录</w:t>
      </w:r>
    </w:p>
    <w:p>
      <w:pPr>
        <w:pStyle w:val="2"/>
      </w:pPr>
      <w:r>
        <w:t>附录 A　调查工具与样本</w:t>
      </w:r>
    </w:p>
    <w:p>
      <w:pPr>
        <w:pStyle w:val="a3"/>
        <w:ind w:firstLine="480"/>
      </w:pPr>
      <w:r>
        <w:t>本研究的学生需求侧由三次问卷与两次访谈构成，三次问卷均通过问卷星平台发放并以微信为主要渠道回收，题目数量、调查对象与回收情况如表 A1 所示。三次问卷的题目与选项互不相同，分母亦不一致，因此本研究不对其作合并统计，只作同向或反向的定性收敛；凡引用比例，一律标注其所属问卷与分母。研究资料的整体来源、采集方式与规模如表 A2 所示。</w:t>
      </w:r>
    </w:p>
    <w:p>
      <w:pPr>
        <w:pStyle w:val="a3"/>
        <w:jc w:val="center"/>
      </w:pPr>
      <w:r>
        <w:rPr>
          <w:b/>
          <w:sz w:val="21"/>
        </w:rPr>
        <w:t>表 A1　三次问卷的样本构成与回收情况</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344"/>
        <w:gridCol w:w="2353"/>
        <w:gridCol w:w="2353"/>
        <w:gridCol w:w="2353"/>
      </w:tblGrid>
      <w:tr>
        <w:trPr>
          <w:tblHeader w:val="true"/>
        </w:trPr>
        <w:tc>
          <w:tcPr>
            <w:tcW w:type="dxa" w:w="2100"/>
            <w:tcBorders>
              <w:bottom w:val="single" w:sz="6" w:color="auto"/>
            </w:tcBorders>
          </w:tcPr>
          <w:p>
            <w:pPr>
              <w:spacing w:line="240" w:lineRule="auto"/>
              <w:jc w:val="center"/>
            </w:pPr>
            <w:r/>
            <w:r>
              <w:rPr>
                <w:b/>
                <w:sz w:val="21"/>
              </w:rPr>
              <w:t>项目</w:t>
            </w:r>
          </w:p>
        </w:tc>
        <w:tc>
          <w:tcPr>
            <w:tcW w:type="dxa" w:w="2100"/>
            <w:tcBorders>
              <w:bottom w:val="single" w:sz="6" w:color="auto"/>
            </w:tcBorders>
          </w:tcPr>
          <w:p>
            <w:pPr>
              <w:spacing w:line="240" w:lineRule="auto"/>
              <w:jc w:val="center"/>
            </w:pPr>
            <w:r/>
            <w:r>
              <w:rPr>
                <w:b/>
                <w:sz w:val="21"/>
              </w:rPr>
              <w:t>问卷 A（题 5）</w:t>
            </w:r>
          </w:p>
        </w:tc>
        <w:tc>
          <w:tcPr>
            <w:tcW w:type="dxa" w:w="2100"/>
            <w:tcBorders>
              <w:bottom w:val="single" w:sz="6" w:color="auto"/>
            </w:tcBorders>
          </w:tcPr>
          <w:p>
            <w:pPr>
              <w:spacing w:line="240" w:lineRule="auto"/>
              <w:jc w:val="center"/>
            </w:pPr>
            <w:r/>
            <w:r>
              <w:rPr>
                <w:b/>
                <w:sz w:val="21"/>
              </w:rPr>
              <w:t>问卷 B（题 4）</w:t>
            </w:r>
          </w:p>
        </w:tc>
        <w:tc>
          <w:tcPr>
            <w:tcW w:type="dxa" w:w="2100"/>
            <w:tcBorders>
              <w:bottom w:val="single" w:sz="6" w:color="auto"/>
            </w:tcBorders>
          </w:tcPr>
          <w:p>
            <w:pPr>
              <w:spacing w:line="240" w:lineRule="auto"/>
              <w:jc w:val="center"/>
            </w:pPr>
            <w:r/>
            <w:r>
              <w:rPr>
                <w:b/>
                <w:sz w:val="21"/>
              </w:rPr>
              <w:t>问卷 C（题 1）</w:t>
            </w:r>
          </w:p>
        </w:tc>
      </w:tr>
      <w:tr>
        <w:tc>
          <w:tcPr>
            <w:tcW w:type="dxa" w:w="2100"/>
          </w:tcPr>
          <w:p>
            <w:pPr>
              <w:spacing w:line="240" w:lineRule="auto"/>
              <w:jc w:val="left"/>
            </w:pPr>
            <w:r>
              <w:rPr>
                <w:sz w:val="21"/>
              </w:rPr>
              <w:t>有效样本</w:t>
            </w:r>
          </w:p>
        </w:tc>
        <w:tc>
          <w:tcPr>
            <w:tcW w:type="dxa" w:w="2100"/>
          </w:tcPr>
          <w:p>
            <w:pPr>
              <w:spacing w:line="240" w:lineRule="auto"/>
            </w:pPr>
            <w:r>
              <w:rPr>
                <w:sz w:val="21"/>
              </w:rPr>
              <w:t>72（研究生 52、本科生 20）</w:t>
            </w:r>
          </w:p>
        </w:tc>
        <w:tc>
          <w:tcPr>
            <w:tcW w:type="dxa" w:w="2100"/>
          </w:tcPr>
          <w:p>
            <w:pPr>
              <w:spacing w:line="240" w:lineRule="auto"/>
            </w:pPr>
            <w:r>
              <w:rPr>
                <w:sz w:val="21"/>
              </w:rPr>
              <w:t>55（研究生 39、本科生 16）</w:t>
            </w:r>
          </w:p>
        </w:tc>
        <w:tc>
          <w:tcPr>
            <w:tcW w:type="dxa" w:w="2100"/>
          </w:tcPr>
          <w:p>
            <w:pPr>
              <w:spacing w:line="240" w:lineRule="auto"/>
            </w:pPr>
            <w:r>
              <w:rPr>
                <w:sz w:val="21"/>
              </w:rPr>
              <w:t>回收 21，多数题有效 20</w:t>
            </w:r>
          </w:p>
        </w:tc>
      </w:tr>
      <w:tr>
        <w:tc>
          <w:tcPr>
            <w:tcW w:type="dxa" w:w="2100"/>
          </w:tcPr>
          <w:p>
            <w:pPr>
              <w:spacing w:line="240" w:lineRule="auto"/>
              <w:jc w:val="left"/>
            </w:pPr>
            <w:r>
              <w:rPr>
                <w:sz w:val="21"/>
              </w:rPr>
              <w:t>题目数</w:t>
            </w:r>
          </w:p>
        </w:tc>
        <w:tc>
          <w:tcPr>
            <w:tcW w:type="dxa" w:w="2100"/>
          </w:tcPr>
          <w:p>
            <w:pPr>
              <w:spacing w:line="240" w:lineRule="auto"/>
            </w:pPr>
            <w:r>
              <w:rPr>
                <w:sz w:val="21"/>
              </w:rPr>
              <w:t>17 题</w:t>
            </w:r>
          </w:p>
        </w:tc>
        <w:tc>
          <w:tcPr>
            <w:tcW w:type="dxa" w:w="2100"/>
          </w:tcPr>
          <w:p>
            <w:pPr>
              <w:spacing w:line="240" w:lineRule="auto"/>
            </w:pPr>
            <w:r>
              <w:rPr>
                <w:sz w:val="21"/>
              </w:rPr>
              <w:t>10 题</w:t>
            </w:r>
          </w:p>
        </w:tc>
        <w:tc>
          <w:tcPr>
            <w:tcW w:type="dxa" w:w="2100"/>
          </w:tcPr>
          <w:p>
            <w:pPr>
              <w:spacing w:line="240" w:lineRule="auto"/>
            </w:pPr>
            <w:r>
              <w:rPr>
                <w:sz w:val="21"/>
              </w:rPr>
              <w:t>16 题（含研三及毕业生分支）</w:t>
            </w:r>
          </w:p>
        </w:tc>
      </w:tr>
      <w:tr>
        <w:tc>
          <w:tcPr>
            <w:tcW w:type="dxa" w:w="2100"/>
          </w:tcPr>
          <w:p>
            <w:pPr>
              <w:spacing w:line="240" w:lineRule="auto"/>
              <w:jc w:val="left"/>
            </w:pPr>
            <w:r>
              <w:rPr>
                <w:sz w:val="21"/>
              </w:rPr>
              <w:t>回收渠道</w:t>
            </w:r>
          </w:p>
        </w:tc>
        <w:tc>
          <w:tcPr>
            <w:tcW w:type="dxa" w:w="2100"/>
          </w:tcPr>
          <w:p>
            <w:pPr>
              <w:spacing w:line="240" w:lineRule="auto"/>
            </w:pPr>
            <w:r>
              <w:rPr>
                <w:sz w:val="21"/>
              </w:rPr>
              <w:t>微信 57、链接 9、手机提交 6</w:t>
            </w:r>
          </w:p>
        </w:tc>
        <w:tc>
          <w:tcPr>
            <w:tcW w:type="dxa" w:w="2100"/>
          </w:tcPr>
          <w:p>
            <w:pPr>
              <w:spacing w:line="240" w:lineRule="auto"/>
            </w:pPr>
            <w:r>
              <w:rPr>
                <w:sz w:val="21"/>
              </w:rPr>
              <w:t>微信 55</w:t>
            </w:r>
          </w:p>
        </w:tc>
        <w:tc>
          <w:tcPr>
            <w:tcW w:type="dxa" w:w="2100"/>
          </w:tcPr>
          <w:p>
            <w:pPr>
              <w:spacing w:line="240" w:lineRule="auto"/>
            </w:pPr>
            <w:r>
              <w:rPr>
                <w:sz w:val="21"/>
              </w:rPr>
              <w:t>微信 21</w:t>
            </w:r>
          </w:p>
        </w:tc>
      </w:tr>
      <w:tr>
        <w:tc>
          <w:tcPr>
            <w:tcW w:type="dxa" w:w="2100"/>
          </w:tcPr>
          <w:p>
            <w:pPr>
              <w:spacing w:line="240" w:lineRule="auto"/>
              <w:jc w:val="left"/>
            </w:pPr>
            <w:r>
              <w:rPr>
                <w:sz w:val="21"/>
              </w:rPr>
              <w:t>回收时间</w:t>
            </w:r>
          </w:p>
        </w:tc>
        <w:tc>
          <w:tcPr>
            <w:tcW w:type="dxa" w:w="2100"/>
          </w:tcPr>
          <w:p>
            <w:pPr>
              <w:spacing w:line="240" w:lineRule="auto"/>
            </w:pPr>
            <w:r>
              <w:rPr>
                <w:sz w:val="21"/>
              </w:rPr>
              <w:t>2026-10-02 至 10-05</w:t>
            </w:r>
          </w:p>
        </w:tc>
        <w:tc>
          <w:tcPr>
            <w:tcW w:type="dxa" w:w="2100"/>
          </w:tcPr>
          <w:p>
            <w:pPr>
              <w:spacing w:line="240" w:lineRule="auto"/>
            </w:pPr>
            <w:r>
              <w:rPr>
                <w:sz w:val="21"/>
              </w:rPr>
              <w:t>2026-10-01 至 10-02</w:t>
            </w:r>
          </w:p>
        </w:tc>
        <w:tc>
          <w:tcPr>
            <w:tcW w:type="dxa" w:w="2100"/>
          </w:tcPr>
          <w:p>
            <w:pPr>
              <w:spacing w:line="240" w:lineRule="auto"/>
            </w:pPr>
            <w:r>
              <w:rPr>
                <w:sz w:val="21"/>
              </w:rPr>
              <w:t>2026-10-03 至 10-05</w:t>
            </w:r>
          </w:p>
        </w:tc>
      </w:tr>
      <w:tr>
        <w:tc>
          <w:tcPr>
            <w:tcW w:type="dxa" w:w="2100"/>
          </w:tcPr>
          <w:p>
            <w:pPr>
              <w:spacing w:line="240" w:lineRule="auto"/>
              <w:jc w:val="left"/>
            </w:pPr>
            <w:r>
              <w:rPr>
                <w:sz w:val="21"/>
              </w:rPr>
              <w:t>答题用时中位数</w:t>
            </w:r>
          </w:p>
        </w:tc>
        <w:tc>
          <w:tcPr>
            <w:tcW w:type="dxa" w:w="2100"/>
          </w:tcPr>
          <w:p>
            <w:pPr>
              <w:spacing w:line="240" w:lineRule="auto"/>
            </w:pPr>
            <w:r>
              <w:rPr>
                <w:sz w:val="21"/>
              </w:rPr>
              <w:t>133 秒</w:t>
            </w:r>
          </w:p>
        </w:tc>
        <w:tc>
          <w:tcPr>
            <w:tcW w:type="dxa" w:w="2100"/>
          </w:tcPr>
          <w:p>
            <w:pPr>
              <w:spacing w:line="240" w:lineRule="auto"/>
            </w:pPr>
            <w:r>
              <w:rPr>
                <w:sz w:val="21"/>
              </w:rPr>
              <w:t>84 秒</w:t>
            </w:r>
          </w:p>
        </w:tc>
        <w:tc>
          <w:tcPr>
            <w:tcW w:type="dxa" w:w="2100"/>
          </w:tcPr>
          <w:p>
            <w:pPr>
              <w:spacing w:line="240" w:lineRule="auto"/>
            </w:pPr>
            <w:r>
              <w:rPr>
                <w:sz w:val="21"/>
              </w:rPr>
              <w:t>84 秒</w:t>
            </w:r>
          </w:p>
        </w:tc>
      </w:tr>
      <w:tr>
        <w:tc>
          <w:tcPr>
            <w:tcW w:type="dxa" w:w="2100"/>
          </w:tcPr>
          <w:p>
            <w:pPr>
              <w:spacing w:line="240" w:lineRule="auto"/>
              <w:jc w:val="left"/>
            </w:pPr>
            <w:r>
              <w:rPr>
                <w:sz w:val="21"/>
              </w:rPr>
              <w:t>附带访谈</w:t>
            </w:r>
          </w:p>
        </w:tc>
        <w:tc>
          <w:tcPr>
            <w:tcW w:type="dxa" w:w="2100"/>
          </w:tcPr>
          <w:p>
            <w:pPr>
              <w:spacing w:line="240" w:lineRule="auto"/>
            </w:pPr>
            <w:r>
              <w:rPr>
                <w:sz w:val="21"/>
              </w:rPr>
              <w:t>无</w:t>
            </w:r>
          </w:p>
        </w:tc>
        <w:tc>
          <w:tcPr>
            <w:tcW w:type="dxa" w:w="2100"/>
          </w:tcPr>
          <w:p>
            <w:pPr>
              <w:spacing w:line="240" w:lineRule="auto"/>
            </w:pPr>
            <w:r>
              <w:rPr>
                <w:sz w:val="21"/>
              </w:rPr>
              <w:t>4 人（提纲 6 问）</w:t>
            </w:r>
          </w:p>
        </w:tc>
        <w:tc>
          <w:tcPr>
            <w:tcW w:type="dxa" w:w="2100"/>
          </w:tcPr>
          <w:p>
            <w:pPr>
              <w:spacing w:line="240" w:lineRule="auto"/>
            </w:pPr>
            <w:r>
              <w:rPr>
                <w:sz w:val="21"/>
              </w:rPr>
              <w:t>研二学生（提纲 12 问）</w:t>
            </w:r>
          </w:p>
        </w:tc>
      </w:tr>
    </w:tbl>
    <w:p>
      <w:pPr>
        <w:pStyle w:val="a3"/>
      </w:pPr>
      <w:r>
        <w:rPr>
          <w:sz w:val="18"/>
        </w:rPr>
        <w:t>注：三次问卷的题目与选项互不相同，分母亦不一致，故不作合并统计。资料来源：问卷星导出记录。</w:t>
      </w:r>
    </w:p>
    <w:p>
      <w:pPr>
        <w:pStyle w:val="a3"/>
      </w:pPr>
    </w:p>
    <w:p>
      <w:pPr>
        <w:pStyle w:val="a3"/>
        <w:jc w:val="center"/>
      </w:pPr>
      <w:r>
        <w:rPr>
          <w:b/>
          <w:sz w:val="21"/>
        </w:rPr>
        <w:t>表 A2　资料来源、获取方式与规模</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344"/>
        <w:gridCol w:w="2016"/>
        <w:gridCol w:w="1344"/>
        <w:gridCol w:w="2185"/>
        <w:gridCol w:w="1512"/>
      </w:tblGrid>
      <w:tr>
        <w:trPr>
          <w:tblHeader w:val="true"/>
        </w:trPr>
        <w:tc>
          <w:tcPr>
            <w:tcW w:type="dxa" w:w="1680"/>
            <w:tcBorders>
              <w:bottom w:val="single" w:sz="6" w:color="auto"/>
            </w:tcBorders>
          </w:tcPr>
          <w:p>
            <w:pPr>
              <w:spacing w:line="240" w:lineRule="auto"/>
              <w:jc w:val="center"/>
            </w:pPr>
            <w:r/>
            <w:r>
              <w:rPr>
                <w:b/>
                <w:sz w:val="21"/>
              </w:rPr>
              <w:t>资料来源</w:t>
            </w:r>
          </w:p>
        </w:tc>
        <w:tc>
          <w:tcPr>
            <w:tcW w:type="dxa" w:w="1680"/>
            <w:tcBorders>
              <w:bottom w:val="single" w:sz="6" w:color="auto"/>
            </w:tcBorders>
          </w:tcPr>
          <w:p>
            <w:pPr>
              <w:spacing w:line="240" w:lineRule="auto"/>
              <w:jc w:val="center"/>
            </w:pPr>
            <w:r/>
            <w:r>
              <w:rPr>
                <w:b/>
                <w:sz w:val="21"/>
              </w:rPr>
              <w:t>类型与获取方式</w:t>
            </w:r>
          </w:p>
        </w:tc>
        <w:tc>
          <w:tcPr>
            <w:tcW w:type="dxa" w:w="1680"/>
            <w:tcBorders>
              <w:bottom w:val="single" w:sz="6" w:color="auto"/>
            </w:tcBorders>
          </w:tcPr>
          <w:p>
            <w:pPr>
              <w:spacing w:line="240" w:lineRule="auto"/>
              <w:jc w:val="center"/>
            </w:pPr>
            <w:r/>
            <w:r>
              <w:rPr>
                <w:b/>
                <w:sz w:val="21"/>
              </w:rPr>
              <w:t>时间范围</w:t>
            </w:r>
          </w:p>
        </w:tc>
        <w:tc>
          <w:tcPr>
            <w:tcW w:type="dxa" w:w="1680"/>
            <w:tcBorders>
              <w:bottom w:val="single" w:sz="6" w:color="auto"/>
            </w:tcBorders>
          </w:tcPr>
          <w:p>
            <w:pPr>
              <w:spacing w:line="240" w:lineRule="auto"/>
              <w:jc w:val="center"/>
            </w:pPr>
            <w:r/>
            <w:r>
              <w:rPr>
                <w:b/>
                <w:sz w:val="21"/>
              </w:rPr>
              <w:t>规模与口径</w:t>
            </w:r>
          </w:p>
        </w:tc>
        <w:tc>
          <w:tcPr>
            <w:tcW w:type="dxa" w:w="1680"/>
            <w:tcBorders>
              <w:bottom w:val="single" w:sz="6" w:color="auto"/>
            </w:tcBorders>
          </w:tcPr>
          <w:p>
            <w:pPr>
              <w:spacing w:line="240" w:lineRule="auto"/>
              <w:jc w:val="center"/>
            </w:pPr>
            <w:r/>
            <w:r>
              <w:rPr>
                <w:b/>
                <w:sz w:val="21"/>
              </w:rPr>
              <w:t>对应问题</w:t>
            </w:r>
          </w:p>
        </w:tc>
      </w:tr>
      <w:tr>
        <w:tc>
          <w:tcPr>
            <w:tcW w:type="dxa" w:w="1680"/>
          </w:tcPr>
          <w:p>
            <w:pPr>
              <w:spacing w:line="240" w:lineRule="auto"/>
              <w:jc w:val="left"/>
            </w:pPr>
            <w:r>
              <w:rPr>
                <w:sz w:val="21"/>
              </w:rPr>
              <w:t>问卷 A</w:t>
            </w:r>
          </w:p>
        </w:tc>
        <w:tc>
          <w:tcPr>
            <w:tcW w:type="dxa" w:w="1680"/>
          </w:tcPr>
          <w:p>
            <w:pPr>
              <w:spacing w:line="240" w:lineRule="auto"/>
            </w:pPr>
            <w:r>
              <w:rPr>
                <w:sz w:val="21"/>
              </w:rPr>
              <w:t>问卷星线上问卷，微信、链接与手机提交回收</w:t>
            </w:r>
          </w:p>
        </w:tc>
        <w:tc>
          <w:tcPr>
            <w:tcW w:type="dxa" w:w="1680"/>
          </w:tcPr>
          <w:p>
            <w:pPr>
              <w:spacing w:line="240" w:lineRule="auto"/>
            </w:pPr>
            <w:r>
              <w:rPr>
                <w:sz w:val="21"/>
              </w:rPr>
              <w:t>2026-10-02 至 10-05</w:t>
            </w:r>
          </w:p>
        </w:tc>
        <w:tc>
          <w:tcPr>
            <w:tcW w:type="dxa" w:w="1680"/>
          </w:tcPr>
          <w:p>
            <w:pPr>
              <w:spacing w:line="240" w:lineRule="auto"/>
            </w:pPr>
            <w:r>
              <w:rPr>
                <w:sz w:val="21"/>
              </w:rPr>
              <w:t>有效样本 72 份</w:t>
            </w:r>
          </w:p>
        </w:tc>
        <w:tc>
          <w:tcPr>
            <w:tcW w:type="dxa" w:w="1680"/>
          </w:tcPr>
          <w:p>
            <w:pPr>
              <w:spacing w:line="240" w:lineRule="auto"/>
            </w:pPr>
            <w:r>
              <w:rPr>
                <w:sz w:val="21"/>
              </w:rPr>
              <w:t>题 5</w:t>
            </w:r>
          </w:p>
        </w:tc>
      </w:tr>
      <w:tr>
        <w:tc>
          <w:tcPr>
            <w:tcW w:type="dxa" w:w="1680"/>
          </w:tcPr>
          <w:p>
            <w:pPr>
              <w:spacing w:line="240" w:lineRule="auto"/>
              <w:jc w:val="left"/>
            </w:pPr>
            <w:r>
              <w:rPr>
                <w:sz w:val="21"/>
              </w:rPr>
              <w:t>问卷 B</w:t>
            </w:r>
          </w:p>
        </w:tc>
        <w:tc>
          <w:tcPr>
            <w:tcW w:type="dxa" w:w="1680"/>
          </w:tcPr>
          <w:p>
            <w:pPr>
              <w:spacing w:line="240" w:lineRule="auto"/>
            </w:pPr>
            <w:r>
              <w:rPr>
                <w:sz w:val="21"/>
              </w:rPr>
              <w:t>问卷星线上问卷，微信渠道回收</w:t>
            </w:r>
          </w:p>
        </w:tc>
        <w:tc>
          <w:tcPr>
            <w:tcW w:type="dxa" w:w="1680"/>
          </w:tcPr>
          <w:p>
            <w:pPr>
              <w:spacing w:line="240" w:lineRule="auto"/>
            </w:pPr>
            <w:r>
              <w:rPr>
                <w:sz w:val="21"/>
              </w:rPr>
              <w:t>2026-10-01 至 10-02</w:t>
            </w:r>
          </w:p>
        </w:tc>
        <w:tc>
          <w:tcPr>
            <w:tcW w:type="dxa" w:w="1680"/>
          </w:tcPr>
          <w:p>
            <w:pPr>
              <w:spacing w:line="240" w:lineRule="auto"/>
            </w:pPr>
            <w:r>
              <w:rPr>
                <w:sz w:val="21"/>
              </w:rPr>
              <w:t>有效样本 55 份</w:t>
            </w:r>
          </w:p>
        </w:tc>
        <w:tc>
          <w:tcPr>
            <w:tcW w:type="dxa" w:w="1680"/>
          </w:tcPr>
          <w:p>
            <w:pPr>
              <w:spacing w:line="240" w:lineRule="auto"/>
            </w:pPr>
            <w:r>
              <w:rPr>
                <w:sz w:val="21"/>
              </w:rPr>
              <w:t>题 4</w:t>
            </w:r>
          </w:p>
        </w:tc>
      </w:tr>
      <w:tr>
        <w:tc>
          <w:tcPr>
            <w:tcW w:type="dxa" w:w="1680"/>
          </w:tcPr>
          <w:p>
            <w:pPr>
              <w:spacing w:line="240" w:lineRule="auto"/>
              <w:jc w:val="left"/>
            </w:pPr>
            <w:r>
              <w:rPr>
                <w:sz w:val="21"/>
              </w:rPr>
              <w:t>问卷 C</w:t>
            </w:r>
          </w:p>
        </w:tc>
        <w:tc>
          <w:tcPr>
            <w:tcW w:type="dxa" w:w="1680"/>
          </w:tcPr>
          <w:p>
            <w:pPr>
              <w:spacing w:line="240" w:lineRule="auto"/>
            </w:pPr>
            <w:r>
              <w:rPr>
                <w:sz w:val="21"/>
              </w:rPr>
              <w:t>问卷星线上问卷，微信渠道回收</w:t>
            </w:r>
          </w:p>
        </w:tc>
        <w:tc>
          <w:tcPr>
            <w:tcW w:type="dxa" w:w="1680"/>
          </w:tcPr>
          <w:p>
            <w:pPr>
              <w:spacing w:line="240" w:lineRule="auto"/>
            </w:pPr>
            <w:r>
              <w:rPr>
                <w:sz w:val="21"/>
              </w:rPr>
              <w:t>2026-10-03 至 10-05</w:t>
            </w:r>
          </w:p>
        </w:tc>
        <w:tc>
          <w:tcPr>
            <w:tcW w:type="dxa" w:w="1680"/>
          </w:tcPr>
          <w:p>
            <w:pPr>
              <w:spacing w:line="240" w:lineRule="auto"/>
            </w:pPr>
            <w:r>
              <w:rPr>
                <w:sz w:val="21"/>
              </w:rPr>
              <w:t>发放 30 份、回收 21 份</w:t>
            </w:r>
          </w:p>
        </w:tc>
        <w:tc>
          <w:tcPr>
            <w:tcW w:type="dxa" w:w="1680"/>
          </w:tcPr>
          <w:p>
            <w:pPr>
              <w:spacing w:line="240" w:lineRule="auto"/>
            </w:pPr>
            <w:r>
              <w:rPr>
                <w:sz w:val="21"/>
              </w:rPr>
              <w:t>题 1</w:t>
            </w:r>
          </w:p>
        </w:tc>
      </w:tr>
      <w:tr>
        <w:tc>
          <w:tcPr>
            <w:tcW w:type="dxa" w:w="1680"/>
          </w:tcPr>
          <w:p>
            <w:pPr>
              <w:spacing w:line="240" w:lineRule="auto"/>
              <w:jc w:val="left"/>
            </w:pPr>
            <w:r>
              <w:rPr>
                <w:sz w:val="21"/>
              </w:rPr>
              <w:t>研二访谈</w:t>
            </w:r>
          </w:p>
        </w:tc>
        <w:tc>
          <w:tcPr>
            <w:tcW w:type="dxa" w:w="1680"/>
          </w:tcPr>
          <w:p>
            <w:pPr>
              <w:spacing w:line="240" w:lineRule="auto"/>
            </w:pPr>
            <w:r>
              <w:rPr>
                <w:sz w:val="21"/>
              </w:rPr>
              <w:t>半结构访谈，记录稿留存</w:t>
            </w:r>
          </w:p>
        </w:tc>
        <w:tc>
          <w:tcPr>
            <w:tcW w:type="dxa" w:w="1680"/>
          </w:tcPr>
          <w:p>
            <w:pPr>
              <w:spacing w:line="240" w:lineRule="auto"/>
            </w:pPr>
            <w:r>
              <w:rPr>
                <w:sz w:val="21"/>
              </w:rPr>
              <w:t>2026 年 10 月</w:t>
            </w:r>
          </w:p>
        </w:tc>
        <w:tc>
          <w:tcPr>
            <w:tcW w:type="dxa" w:w="1680"/>
          </w:tcPr>
          <w:p>
            <w:pPr>
              <w:spacing w:line="240" w:lineRule="auto"/>
            </w:pPr>
            <w:r>
              <w:rPr>
                <w:sz w:val="21"/>
              </w:rPr>
              <w:t>提纲 12 问，记录稿 1 份</w:t>
            </w:r>
          </w:p>
        </w:tc>
        <w:tc>
          <w:tcPr>
            <w:tcW w:type="dxa" w:w="1680"/>
          </w:tcPr>
          <w:p>
            <w:pPr>
              <w:spacing w:line="240" w:lineRule="auto"/>
            </w:pPr>
            <w:r>
              <w:rPr>
                <w:sz w:val="21"/>
              </w:rPr>
              <w:t>题 1</w:t>
            </w:r>
          </w:p>
        </w:tc>
      </w:tr>
      <w:tr>
        <w:tc>
          <w:tcPr>
            <w:tcW w:type="dxa" w:w="1680"/>
          </w:tcPr>
          <w:p>
            <w:pPr>
              <w:spacing w:line="240" w:lineRule="auto"/>
              <w:jc w:val="left"/>
            </w:pPr>
            <w:r>
              <w:rPr>
                <w:sz w:val="21"/>
              </w:rPr>
              <w:t>四人访谈</w:t>
            </w:r>
          </w:p>
        </w:tc>
        <w:tc>
          <w:tcPr>
            <w:tcW w:type="dxa" w:w="1680"/>
          </w:tcPr>
          <w:p>
            <w:pPr>
              <w:spacing w:line="240" w:lineRule="auto"/>
            </w:pPr>
            <w:r>
              <w:rPr>
                <w:sz w:val="21"/>
              </w:rPr>
              <w:t>半结构访谈，记录稿留存</w:t>
            </w:r>
          </w:p>
        </w:tc>
        <w:tc>
          <w:tcPr>
            <w:tcW w:type="dxa" w:w="1680"/>
          </w:tcPr>
          <w:p>
            <w:pPr>
              <w:spacing w:line="240" w:lineRule="auto"/>
            </w:pPr>
            <w:r>
              <w:rPr>
                <w:sz w:val="21"/>
              </w:rPr>
              <w:t>2026 年 10 月</w:t>
            </w:r>
          </w:p>
        </w:tc>
        <w:tc>
          <w:tcPr>
            <w:tcW w:type="dxa" w:w="1680"/>
          </w:tcPr>
          <w:p>
            <w:pPr>
              <w:spacing w:line="240" w:lineRule="auto"/>
            </w:pPr>
            <w:r>
              <w:rPr>
                <w:sz w:val="21"/>
              </w:rPr>
              <w:t>提纲 6 问，受访者 4 人</w:t>
            </w:r>
          </w:p>
        </w:tc>
        <w:tc>
          <w:tcPr>
            <w:tcW w:type="dxa" w:w="1680"/>
          </w:tcPr>
          <w:p>
            <w:pPr>
              <w:spacing w:line="240" w:lineRule="auto"/>
            </w:pPr>
            <w:r>
              <w:rPr>
                <w:sz w:val="21"/>
              </w:rPr>
              <w:t>题 4</w:t>
            </w:r>
          </w:p>
        </w:tc>
      </w:tr>
      <w:tr>
        <w:tc>
          <w:tcPr>
            <w:tcW w:type="dxa" w:w="1680"/>
          </w:tcPr>
          <w:p>
            <w:pPr>
              <w:spacing w:line="240" w:lineRule="auto"/>
              <w:jc w:val="left"/>
            </w:pPr>
            <w:r>
              <w:rPr>
                <w:sz w:val="21"/>
              </w:rPr>
              <w:t>桌面研究</w:t>
            </w:r>
          </w:p>
        </w:tc>
        <w:tc>
          <w:tcPr>
            <w:tcW w:type="dxa" w:w="1680"/>
          </w:tcPr>
          <w:p>
            <w:pPr>
              <w:spacing w:line="240" w:lineRule="auto"/>
            </w:pPr>
            <w:r>
              <w:rPr>
                <w:sz w:val="21"/>
              </w:rPr>
              <w:t>知网与社交平台检索</w:t>
            </w:r>
          </w:p>
        </w:tc>
        <w:tc>
          <w:tcPr>
            <w:tcW w:type="dxa" w:w="1680"/>
          </w:tcPr>
          <w:p>
            <w:pPr>
              <w:spacing w:line="240" w:lineRule="auto"/>
            </w:pPr>
            <w:r>
              <w:rPr>
                <w:sz w:val="21"/>
              </w:rPr>
              <w:t>2026 年 10 月</w:t>
            </w:r>
          </w:p>
        </w:tc>
        <w:tc>
          <w:tcPr>
            <w:tcW w:type="dxa" w:w="1680"/>
          </w:tcPr>
          <w:p>
            <w:pPr>
              <w:spacing w:line="240" w:lineRule="auto"/>
            </w:pPr>
            <w:r>
              <w:rPr>
                <w:sz w:val="21"/>
              </w:rPr>
              <w:t>学术文献与平台高赞内容若干</w:t>
            </w:r>
          </w:p>
        </w:tc>
        <w:tc>
          <w:tcPr>
            <w:tcW w:type="dxa" w:w="1680"/>
          </w:tcPr>
          <w:p>
            <w:pPr>
              <w:spacing w:line="240" w:lineRule="auto"/>
            </w:pPr>
            <w:r>
              <w:rPr>
                <w:sz w:val="21"/>
              </w:rPr>
              <w:t>题 6</w:t>
            </w:r>
          </w:p>
        </w:tc>
      </w:tr>
      <w:tr>
        <w:tc>
          <w:tcPr>
            <w:tcW w:type="dxa" w:w="1680"/>
          </w:tcPr>
          <w:p>
            <w:pPr>
              <w:spacing w:line="240" w:lineRule="auto"/>
              <w:jc w:val="left"/>
            </w:pPr>
            <w:r>
              <w:rPr>
                <w:sz w:val="21"/>
              </w:rPr>
              <w:t>职位说明书</w:t>
            </w:r>
          </w:p>
        </w:tc>
        <w:tc>
          <w:tcPr>
            <w:tcW w:type="dxa" w:w="1680"/>
          </w:tcPr>
          <w:p>
            <w:pPr>
              <w:spacing w:line="240" w:lineRule="auto"/>
            </w:pPr>
            <w:r>
              <w:rPr>
                <w:sz w:val="21"/>
              </w:rPr>
              <w:t>申请者追踪系统公开页与公司招聘站，人工浏览补充</w:t>
            </w:r>
          </w:p>
        </w:tc>
        <w:tc>
          <w:tcPr>
            <w:tcW w:type="dxa" w:w="1680"/>
          </w:tcPr>
          <w:p>
            <w:pPr>
              <w:spacing w:line="240" w:lineRule="auto"/>
            </w:pPr>
            <w:r>
              <w:rPr>
                <w:sz w:val="21"/>
              </w:rPr>
              <w:t>截至 2026-10-07</w:t>
            </w:r>
          </w:p>
        </w:tc>
        <w:tc>
          <w:tcPr>
            <w:tcW w:type="dxa" w:w="1680"/>
          </w:tcPr>
          <w:p>
            <w:pPr>
              <w:spacing w:line="240" w:lineRule="auto"/>
            </w:pPr>
            <w:r>
              <w:rPr>
                <w:sz w:val="21"/>
              </w:rPr>
              <w:t>103 条独立招聘需求</w:t>
            </w:r>
          </w:p>
        </w:tc>
        <w:tc>
          <w:tcPr>
            <w:tcW w:type="dxa" w:w="1680"/>
          </w:tcPr>
          <w:p>
            <w:pPr>
              <w:spacing w:line="240" w:lineRule="auto"/>
            </w:pPr>
            <w:r>
              <w:rPr>
                <w:sz w:val="21"/>
              </w:rPr>
              <w:t>题 3</w:t>
            </w:r>
          </w:p>
        </w:tc>
      </w:tr>
      <w:tr>
        <w:tc>
          <w:tcPr>
            <w:tcW w:type="dxa" w:w="1680"/>
          </w:tcPr>
          <w:p>
            <w:pPr>
              <w:spacing w:line="240" w:lineRule="auto"/>
              <w:jc w:val="left"/>
            </w:pPr>
            <w:r>
              <w:rPr>
                <w:sz w:val="21"/>
              </w:rPr>
              <w:t>国考职位表</w:t>
            </w:r>
          </w:p>
        </w:tc>
        <w:tc>
          <w:tcPr>
            <w:tcW w:type="dxa" w:w="1680"/>
          </w:tcPr>
          <w:p>
            <w:pPr>
              <w:spacing w:line="240" w:lineRule="auto"/>
            </w:pPr>
            <w:r>
              <w:rPr>
                <w:sz w:val="21"/>
              </w:rPr>
              <w:t>官方全量表结构化筛选</w:t>
            </w:r>
          </w:p>
        </w:tc>
        <w:tc>
          <w:tcPr>
            <w:tcW w:type="dxa" w:w="1680"/>
          </w:tcPr>
          <w:p>
            <w:pPr>
              <w:spacing w:line="240" w:lineRule="auto"/>
            </w:pPr>
            <w:r>
              <w:rPr>
                <w:sz w:val="21"/>
              </w:rPr>
              <w:t>截至 2026 年 10 月</w:t>
            </w:r>
          </w:p>
        </w:tc>
        <w:tc>
          <w:tcPr>
            <w:tcW w:type="dxa" w:w="1680"/>
          </w:tcPr>
          <w:p>
            <w:pPr>
              <w:spacing w:line="240" w:lineRule="auto"/>
            </w:pPr>
            <w:r>
              <w:rPr>
                <w:sz w:val="21"/>
              </w:rPr>
              <w:t>设计相关可报岗位 380 个</w:t>
            </w:r>
          </w:p>
        </w:tc>
        <w:tc>
          <w:tcPr>
            <w:tcW w:type="dxa" w:w="1680"/>
          </w:tcPr>
          <w:p>
            <w:pPr>
              <w:spacing w:line="240" w:lineRule="auto"/>
            </w:pPr>
            <w:r>
              <w:rPr>
                <w:sz w:val="21"/>
              </w:rPr>
              <w:t>题 3</w:t>
            </w:r>
          </w:p>
        </w:tc>
      </w:tr>
      <w:tr>
        <w:tc>
          <w:tcPr>
            <w:tcW w:type="dxa" w:w="1680"/>
          </w:tcPr>
          <w:p>
            <w:pPr>
              <w:spacing w:line="240" w:lineRule="auto"/>
              <w:jc w:val="left"/>
            </w:pPr>
            <w:r>
              <w:rPr>
                <w:sz w:val="21"/>
              </w:rPr>
              <w:t>国家与制度文本</w:t>
            </w:r>
          </w:p>
        </w:tc>
        <w:tc>
          <w:tcPr>
            <w:tcW w:type="dxa" w:w="1680"/>
          </w:tcPr>
          <w:p>
            <w:pPr>
              <w:spacing w:line="240" w:lineRule="auto"/>
            </w:pPr>
            <w:r>
              <w:rPr>
                <w:sz w:val="21"/>
              </w:rPr>
              <w:t>官方发布渠道收集</w:t>
            </w:r>
          </w:p>
        </w:tc>
        <w:tc>
          <w:tcPr>
            <w:tcW w:type="dxa" w:w="1680"/>
          </w:tcPr>
          <w:p>
            <w:pPr>
              <w:spacing w:line="240" w:lineRule="auto"/>
            </w:pPr>
            <w:r>
              <w:rPr>
                <w:sz w:val="21"/>
              </w:rPr>
              <w:t>截至 2026 年 10 月</w:t>
            </w:r>
          </w:p>
        </w:tc>
        <w:tc>
          <w:tcPr>
            <w:tcW w:type="dxa" w:w="1680"/>
          </w:tcPr>
          <w:p>
            <w:pPr>
              <w:spacing w:line="240" w:lineRule="auto"/>
            </w:pPr>
            <w:r>
              <w:rPr>
                <w:sz w:val="21"/>
              </w:rPr>
              <w:t>政策与制度文本 9 件</w:t>
            </w:r>
          </w:p>
        </w:tc>
        <w:tc>
          <w:tcPr>
            <w:tcW w:type="dxa" w:w="1680"/>
          </w:tcPr>
          <w:p>
            <w:pPr>
              <w:spacing w:line="240" w:lineRule="auto"/>
            </w:pPr>
            <w:r>
              <w:rPr>
                <w:sz w:val="21"/>
              </w:rPr>
              <w:t>题 3</w:t>
            </w:r>
          </w:p>
        </w:tc>
      </w:tr>
      <w:tr>
        <w:tc>
          <w:tcPr>
            <w:tcW w:type="dxa" w:w="1680"/>
          </w:tcPr>
          <w:p>
            <w:pPr>
              <w:spacing w:line="240" w:lineRule="auto"/>
              <w:jc w:val="left"/>
            </w:pPr>
            <w:r>
              <w:rPr>
                <w:sz w:val="21"/>
              </w:rPr>
              <w:t>趋势报告与文献</w:t>
            </w:r>
          </w:p>
        </w:tc>
        <w:tc>
          <w:tcPr>
            <w:tcW w:type="dxa" w:w="1680"/>
          </w:tcPr>
          <w:p>
            <w:pPr>
              <w:spacing w:line="240" w:lineRule="auto"/>
            </w:pPr>
            <w:r>
              <w:rPr>
                <w:sz w:val="21"/>
              </w:rPr>
              <w:t>国际组织官网与期刊数据库</w:t>
            </w:r>
          </w:p>
        </w:tc>
        <w:tc>
          <w:tcPr>
            <w:tcW w:type="dxa" w:w="1680"/>
          </w:tcPr>
          <w:p>
            <w:pPr>
              <w:spacing w:line="240" w:lineRule="auto"/>
            </w:pPr>
            <w:r>
              <w:rPr>
                <w:sz w:val="21"/>
              </w:rPr>
              <w:t>2018、2020、2025 三期</w:t>
            </w:r>
          </w:p>
        </w:tc>
        <w:tc>
          <w:tcPr>
            <w:tcW w:type="dxa" w:w="1680"/>
          </w:tcPr>
          <w:p>
            <w:pPr>
              <w:spacing w:line="240" w:lineRule="auto"/>
            </w:pPr>
            <w:r>
              <w:rPr>
                <w:sz w:val="21"/>
              </w:rPr>
              <w:t>报告 3 期及趋势文献若干</w:t>
            </w:r>
          </w:p>
        </w:tc>
        <w:tc>
          <w:tcPr>
            <w:tcW w:type="dxa" w:w="1680"/>
          </w:tcPr>
          <w:p>
            <w:pPr>
              <w:spacing w:line="240" w:lineRule="auto"/>
            </w:pPr>
            <w:r>
              <w:rPr>
                <w:sz w:val="21"/>
              </w:rPr>
              <w:t>题 3</w:t>
            </w:r>
          </w:p>
        </w:tc>
      </w:tr>
      <w:tr>
        <w:tc>
          <w:tcPr>
            <w:tcW w:type="dxa" w:w="1680"/>
          </w:tcPr>
          <w:p>
            <w:pPr>
              <w:spacing w:line="240" w:lineRule="auto"/>
              <w:jc w:val="left"/>
            </w:pPr>
            <w:r>
              <w:rPr>
                <w:sz w:val="21"/>
              </w:rPr>
              <w:t>培养方案</w:t>
            </w:r>
          </w:p>
        </w:tc>
        <w:tc>
          <w:tcPr>
            <w:tcW w:type="dxa" w:w="1680"/>
          </w:tcPr>
          <w:p>
            <w:pPr>
              <w:spacing w:line="240" w:lineRule="auto"/>
            </w:pPr>
            <w:r>
              <w:rPr>
                <w:sz w:val="21"/>
              </w:rPr>
              <w:t>院校官网、互联网档案馆快照与第三方转载</w:t>
            </w:r>
          </w:p>
        </w:tc>
        <w:tc>
          <w:tcPr>
            <w:tcW w:type="dxa" w:w="1680"/>
          </w:tcPr>
          <w:p>
            <w:pPr>
              <w:spacing w:line="240" w:lineRule="auto"/>
            </w:pPr>
            <w:r>
              <w:rPr>
                <w:sz w:val="21"/>
              </w:rPr>
              <w:t>2019 至 2026 各年份</w:t>
            </w:r>
          </w:p>
        </w:tc>
        <w:tc>
          <w:tcPr>
            <w:tcW w:type="dxa" w:w="1680"/>
          </w:tcPr>
          <w:p>
            <w:pPr>
              <w:spacing w:line="240" w:lineRule="auto"/>
            </w:pPr>
            <w:r>
              <w:rPr>
                <w:sz w:val="21"/>
              </w:rPr>
              <w:t>16 所院校，其中 14 所取得课名层</w:t>
            </w:r>
          </w:p>
        </w:tc>
        <w:tc>
          <w:tcPr>
            <w:tcW w:type="dxa" w:w="1680"/>
          </w:tcPr>
          <w:p>
            <w:pPr>
              <w:spacing w:line="240" w:lineRule="auto"/>
            </w:pPr>
            <w:r>
              <w:rPr>
                <w:sz w:val="21"/>
              </w:rPr>
              <w:t>题 3</w:t>
            </w:r>
          </w:p>
        </w:tc>
      </w:tr>
    </w:tbl>
    <w:p>
      <w:pPr>
        <w:pStyle w:val="a3"/>
      </w:pPr>
      <w:r>
        <w:rPr>
          <w:sz w:val="18"/>
        </w:rPr>
        <w:t>注：第三方转载件仅作方向结构参考，不用于判断某门课程首次出现的年份。资料来源：本研究资料清单与采集记录。</w:t>
      </w:r>
    </w:p>
    <w:p>
      <w:pPr>
        <w:pStyle w:val="a3"/>
      </w:pPr>
    </w:p>
    <w:p>
      <w:pPr>
        <w:pStyle w:val="2"/>
      </w:pPr>
      <w:r>
        <w:t>附录 B　问卷统计结果</w:t>
      </w:r>
    </w:p>
    <w:p>
      <w:pPr>
        <w:pStyle w:val="a3"/>
        <w:ind w:firstLine="480"/>
      </w:pPr>
      <w:r>
        <w:t>问卷 A 共 17 题，主要测量学生对未来趋势的判断、资源短缺的感知以及若干量表题项，其主要结果如表 B1 所示。问卷 B 共 10 题，测量学生对生成式人工智能的使用状况与角色期待，其逐题统计如表 B2 所示。问卷 C 共 16 题，测量研究生阶段的成长状态、困难、能力缺口与职业预期，其逐题统计如表 B3 所示。三份问卷的完整统计导出表与原始答卷按问卷星口径留存，可备查核。</w:t>
      </w:r>
    </w:p>
    <w:p>
      <w:pPr>
        <w:pStyle w:val="a3"/>
        <w:jc w:val="center"/>
      </w:pPr>
      <w:r>
        <w:rPr>
          <w:b/>
          <w:sz w:val="21"/>
        </w:rPr>
        <w:t>表 B1　问卷 A 主要题项结果</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2185"/>
        <w:gridCol w:w="1176"/>
        <w:gridCol w:w="5041"/>
      </w:tblGrid>
      <w:tr>
        <w:trPr>
          <w:tblHeader w:val="true"/>
        </w:trPr>
        <w:tc>
          <w:tcPr>
            <w:tcW w:type="dxa" w:w="2801"/>
            <w:tcBorders>
              <w:bottom w:val="single" w:sz="6" w:color="auto"/>
            </w:tcBorders>
          </w:tcPr>
          <w:p>
            <w:pPr>
              <w:spacing w:line="240" w:lineRule="auto"/>
              <w:jc w:val="center"/>
            </w:pPr>
            <w:r/>
            <w:r>
              <w:rPr>
                <w:b/>
                <w:sz w:val="21"/>
              </w:rPr>
              <w:t>题项</w:t>
            </w:r>
          </w:p>
        </w:tc>
        <w:tc>
          <w:tcPr>
            <w:tcW w:type="dxa" w:w="2801"/>
            <w:tcBorders>
              <w:bottom w:val="single" w:sz="6" w:color="auto"/>
            </w:tcBorders>
          </w:tcPr>
          <w:p>
            <w:pPr>
              <w:spacing w:line="240" w:lineRule="auto"/>
              <w:jc w:val="center"/>
            </w:pPr>
            <w:r/>
            <w:r>
              <w:rPr>
                <w:b/>
                <w:sz w:val="21"/>
              </w:rPr>
              <w:t>测量方式</w:t>
            </w:r>
          </w:p>
        </w:tc>
        <w:tc>
          <w:tcPr>
            <w:tcW w:type="dxa" w:w="2801"/>
            <w:tcBorders>
              <w:bottom w:val="single" w:sz="6" w:color="auto"/>
            </w:tcBorders>
          </w:tcPr>
          <w:p>
            <w:pPr>
              <w:spacing w:line="240" w:lineRule="auto"/>
              <w:jc w:val="center"/>
            </w:pPr>
            <w:r/>
            <w:r>
              <w:rPr>
                <w:b/>
                <w:sz w:val="21"/>
              </w:rPr>
              <w:t>统计结果</w:t>
            </w:r>
          </w:p>
        </w:tc>
      </w:tr>
      <w:tr>
        <w:tc>
          <w:tcPr>
            <w:tcW w:type="dxa" w:w="2801"/>
          </w:tcPr>
          <w:p>
            <w:pPr>
              <w:spacing w:line="240" w:lineRule="auto"/>
              <w:jc w:val="left"/>
            </w:pPr>
            <w:r>
              <w:rPr>
                <w:sz w:val="21"/>
              </w:rPr>
              <w:t>未来趋势判断</w:t>
            </w:r>
          </w:p>
        </w:tc>
        <w:tc>
          <w:tcPr>
            <w:tcW w:type="dxa" w:w="2801"/>
          </w:tcPr>
          <w:p>
            <w:pPr>
              <w:spacing w:line="240" w:lineRule="auto"/>
            </w:pPr>
            <w:r>
              <w:rPr>
                <w:sz w:val="21"/>
              </w:rPr>
              <w:t>多选</w:t>
            </w:r>
          </w:p>
        </w:tc>
        <w:tc>
          <w:tcPr>
            <w:tcW w:type="dxa" w:w="2801"/>
          </w:tcPr>
          <w:p>
            <w:pPr>
              <w:spacing w:line="240" w:lineRule="auto"/>
            </w:pPr>
            <w:r>
              <w:rPr>
                <w:sz w:val="21"/>
              </w:rPr>
              <w:t>跨学科融合 46（63.9%）；人工智能与智能设计 38（52.8%）；可持续设计与社会创新 35（48.6%）；项目制与真实课题 34（47.2%）</w:t>
            </w:r>
          </w:p>
        </w:tc>
      </w:tr>
      <w:tr>
        <w:tc>
          <w:tcPr>
            <w:tcW w:type="dxa" w:w="2801"/>
          </w:tcPr>
          <w:p>
            <w:pPr>
              <w:spacing w:line="240" w:lineRule="auto"/>
              <w:jc w:val="left"/>
            </w:pPr>
            <w:r>
              <w:rPr>
                <w:sz w:val="21"/>
              </w:rPr>
              <w:t>最缺乏的资源</w:t>
            </w:r>
          </w:p>
        </w:tc>
        <w:tc>
          <w:tcPr>
            <w:tcW w:type="dxa" w:w="2801"/>
          </w:tcPr>
          <w:p>
            <w:pPr>
              <w:spacing w:line="240" w:lineRule="auto"/>
            </w:pPr>
            <w:r>
              <w:rPr>
                <w:sz w:val="21"/>
              </w:rPr>
              <w:t>多选</w:t>
            </w:r>
          </w:p>
        </w:tc>
        <w:tc>
          <w:tcPr>
            <w:tcW w:type="dxa" w:w="2801"/>
          </w:tcPr>
          <w:p>
            <w:pPr>
              <w:spacing w:line="240" w:lineRule="auto"/>
            </w:pPr>
            <w:r>
              <w:rPr>
                <w:sz w:val="21"/>
              </w:rPr>
              <w:t>可持续设计 46（63.9%）；跨学科师资 42（58.3%）；人工智能工具 37（51.4%）；企业项目 37（51.4%）</w:t>
            </w:r>
          </w:p>
        </w:tc>
      </w:tr>
      <w:tr>
        <w:tc>
          <w:tcPr>
            <w:tcW w:type="dxa" w:w="2801"/>
          </w:tcPr>
          <w:p>
            <w:pPr>
              <w:spacing w:line="240" w:lineRule="auto"/>
              <w:jc w:val="left"/>
            </w:pPr>
            <w:r>
              <w:rPr>
                <w:sz w:val="21"/>
              </w:rPr>
              <w:t>需求强度</w:t>
            </w:r>
          </w:p>
        </w:tc>
        <w:tc>
          <w:tcPr>
            <w:tcW w:type="dxa" w:w="2801"/>
          </w:tcPr>
          <w:p>
            <w:pPr>
              <w:spacing w:line="240" w:lineRule="auto"/>
            </w:pPr>
            <w:r>
              <w:rPr>
                <w:sz w:val="21"/>
              </w:rPr>
              <w:t>五点量表</w:t>
            </w:r>
          </w:p>
        </w:tc>
        <w:tc>
          <w:tcPr>
            <w:tcW w:type="dxa" w:w="2801"/>
          </w:tcPr>
          <w:p>
            <w:pPr>
              <w:spacing w:line="240" w:lineRule="auto"/>
            </w:pPr>
            <w:r>
              <w:rPr>
                <w:sz w:val="21"/>
              </w:rPr>
              <w:t>草图与原型 4.18；可持续设计 4.17；人工智能训练 4.14；企业学分 4.10；跨学科学习 4.03</w:t>
            </w:r>
          </w:p>
        </w:tc>
      </w:tr>
      <w:tr>
        <w:tc>
          <w:tcPr>
            <w:tcW w:type="dxa" w:w="2801"/>
          </w:tcPr>
          <w:p>
            <w:pPr>
              <w:spacing w:line="240" w:lineRule="auto"/>
              <w:jc w:val="left"/>
            </w:pPr>
            <w:r>
              <w:rPr>
                <w:sz w:val="21"/>
              </w:rPr>
              <w:t>课程与行业需求脱节</w:t>
            </w:r>
          </w:p>
        </w:tc>
        <w:tc>
          <w:tcPr>
            <w:tcW w:type="dxa" w:w="2801"/>
          </w:tcPr>
          <w:p>
            <w:pPr>
              <w:spacing w:line="240" w:lineRule="auto"/>
            </w:pPr>
            <w:r>
              <w:rPr>
                <w:sz w:val="21"/>
              </w:rPr>
              <w:t>五点量表</w:t>
            </w:r>
          </w:p>
        </w:tc>
        <w:tc>
          <w:tcPr>
            <w:tcW w:type="dxa" w:w="2801"/>
          </w:tcPr>
          <w:p>
            <w:pPr>
              <w:spacing w:line="240" w:lineRule="auto"/>
            </w:pPr>
            <w:r>
              <w:rPr>
                <w:sz w:val="21"/>
              </w:rPr>
              <w:t>M = 3.89；同意与非常同意 50（69.4%）；不同意 0</w:t>
            </w:r>
          </w:p>
        </w:tc>
      </w:tr>
      <w:tr>
        <w:tc>
          <w:tcPr>
            <w:tcW w:type="dxa" w:w="2801"/>
          </w:tcPr>
          <w:p>
            <w:pPr>
              <w:spacing w:line="240" w:lineRule="auto"/>
              <w:jc w:val="left"/>
            </w:pPr>
            <w:r>
              <w:rPr>
                <w:sz w:val="21"/>
              </w:rPr>
              <w:t>人工智能对就业的影响</w:t>
            </w:r>
          </w:p>
        </w:tc>
        <w:tc>
          <w:tcPr>
            <w:tcW w:type="dxa" w:w="2801"/>
          </w:tcPr>
          <w:p>
            <w:pPr>
              <w:spacing w:line="240" w:lineRule="auto"/>
            </w:pPr>
            <w:r>
              <w:rPr>
                <w:sz w:val="21"/>
              </w:rPr>
              <w:t>五点量表</w:t>
            </w:r>
          </w:p>
        </w:tc>
        <w:tc>
          <w:tcPr>
            <w:tcW w:type="dxa" w:w="2801"/>
          </w:tcPr>
          <w:p>
            <w:pPr>
              <w:spacing w:line="240" w:lineRule="auto"/>
            </w:pPr>
            <w:r>
              <w:rPr>
                <w:sz w:val="21"/>
              </w:rPr>
              <w:t>M = 3.83；影响较大与非常大 57（79.2%）</w:t>
            </w:r>
          </w:p>
        </w:tc>
      </w:tr>
      <w:tr>
        <w:tc>
          <w:tcPr>
            <w:tcW w:type="dxa" w:w="2801"/>
          </w:tcPr>
          <w:p>
            <w:pPr>
              <w:spacing w:line="240" w:lineRule="auto"/>
              <w:jc w:val="left"/>
            </w:pPr>
            <w:r>
              <w:rPr>
                <w:sz w:val="21"/>
              </w:rPr>
              <w:t>专业方向</w:t>
            </w:r>
          </w:p>
        </w:tc>
        <w:tc>
          <w:tcPr>
            <w:tcW w:type="dxa" w:w="2801"/>
          </w:tcPr>
          <w:p>
            <w:pPr>
              <w:spacing w:line="240" w:lineRule="auto"/>
            </w:pPr>
            <w:r>
              <w:rPr>
                <w:sz w:val="21"/>
              </w:rPr>
              <w:t>单选</w:t>
            </w:r>
          </w:p>
        </w:tc>
        <w:tc>
          <w:tcPr>
            <w:tcW w:type="dxa" w:w="2801"/>
          </w:tcPr>
          <w:p>
            <w:pPr>
              <w:spacing w:line="240" w:lineRule="auto"/>
            </w:pPr>
            <w:r>
              <w:rPr>
                <w:sz w:val="21"/>
              </w:rPr>
              <w:t>环境艺术 23；数字传媒 15；工业设计 13；视觉传达 11；产品设计 8；其他 2</w:t>
            </w:r>
          </w:p>
        </w:tc>
      </w:tr>
      <w:tr>
        <w:tc>
          <w:tcPr>
            <w:tcW w:type="dxa" w:w="2801"/>
          </w:tcPr>
          <w:p>
            <w:pPr>
              <w:spacing w:line="240" w:lineRule="auto"/>
              <w:jc w:val="left"/>
            </w:pPr>
            <w:r>
              <w:rPr>
                <w:sz w:val="21"/>
              </w:rPr>
              <w:t>所在年级</w:t>
            </w:r>
          </w:p>
        </w:tc>
        <w:tc>
          <w:tcPr>
            <w:tcW w:type="dxa" w:w="2801"/>
          </w:tcPr>
          <w:p>
            <w:pPr>
              <w:spacing w:line="240" w:lineRule="auto"/>
            </w:pPr>
            <w:r>
              <w:rPr>
                <w:sz w:val="21"/>
              </w:rPr>
              <w:t>单选</w:t>
            </w:r>
          </w:p>
        </w:tc>
        <w:tc>
          <w:tcPr>
            <w:tcW w:type="dxa" w:w="2801"/>
          </w:tcPr>
          <w:p>
            <w:pPr>
              <w:spacing w:line="240" w:lineRule="auto"/>
            </w:pPr>
            <w:r>
              <w:rPr>
                <w:sz w:val="21"/>
              </w:rPr>
              <w:t>研究生 52；本科生 20</w:t>
            </w:r>
          </w:p>
        </w:tc>
      </w:tr>
    </w:tbl>
    <w:p>
      <w:pPr>
        <w:pStyle w:val="a3"/>
      </w:pPr>
      <w:r>
        <w:rPr>
          <w:sz w:val="18"/>
        </w:rPr>
        <w:t>注：多选题各项比例之和大于百分之百；各题比例以其有效人次为分母。资料来源：问卷 A 问卷星统计导出。</w:t>
      </w:r>
    </w:p>
    <w:p>
      <w:pPr>
        <w:pStyle w:val="a3"/>
      </w:pPr>
    </w:p>
    <w:p>
      <w:pPr>
        <w:pStyle w:val="a3"/>
        <w:jc w:val="center"/>
      </w:pPr>
      <w:r>
        <w:rPr>
          <w:b/>
          <w:sz w:val="21"/>
        </w:rPr>
        <w:t>表 B2　问卷 B 逐题统计</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2016"/>
        <w:gridCol w:w="1176"/>
        <w:gridCol w:w="5209"/>
      </w:tblGrid>
      <w:tr>
        <w:trPr>
          <w:tblHeader w:val="true"/>
        </w:trPr>
        <w:tc>
          <w:tcPr>
            <w:tcW w:type="dxa" w:w="2801"/>
            <w:tcBorders>
              <w:bottom w:val="single" w:sz="6" w:color="auto"/>
            </w:tcBorders>
          </w:tcPr>
          <w:p>
            <w:pPr>
              <w:spacing w:line="240" w:lineRule="auto"/>
              <w:jc w:val="center"/>
            </w:pPr>
            <w:r/>
            <w:r>
              <w:rPr>
                <w:b/>
                <w:sz w:val="21"/>
              </w:rPr>
              <w:t>题项</w:t>
            </w:r>
          </w:p>
        </w:tc>
        <w:tc>
          <w:tcPr>
            <w:tcW w:type="dxa" w:w="2801"/>
            <w:tcBorders>
              <w:bottom w:val="single" w:sz="6" w:color="auto"/>
            </w:tcBorders>
          </w:tcPr>
          <w:p>
            <w:pPr>
              <w:spacing w:line="240" w:lineRule="auto"/>
              <w:jc w:val="center"/>
            </w:pPr>
            <w:r/>
            <w:r>
              <w:rPr>
                <w:b/>
                <w:sz w:val="21"/>
              </w:rPr>
              <w:t>测量方式</w:t>
            </w:r>
          </w:p>
        </w:tc>
        <w:tc>
          <w:tcPr>
            <w:tcW w:type="dxa" w:w="2801"/>
            <w:tcBorders>
              <w:bottom w:val="single" w:sz="6" w:color="auto"/>
            </w:tcBorders>
          </w:tcPr>
          <w:p>
            <w:pPr>
              <w:spacing w:line="240" w:lineRule="auto"/>
              <w:jc w:val="center"/>
            </w:pPr>
            <w:r/>
            <w:r>
              <w:rPr>
                <w:b/>
                <w:sz w:val="21"/>
              </w:rPr>
              <w:t>统计结果</w:t>
            </w:r>
          </w:p>
        </w:tc>
      </w:tr>
      <w:tr>
        <w:tc>
          <w:tcPr>
            <w:tcW w:type="dxa" w:w="2801"/>
          </w:tcPr>
          <w:p>
            <w:pPr>
              <w:spacing w:line="240" w:lineRule="auto"/>
              <w:jc w:val="left"/>
            </w:pPr>
            <w:r>
              <w:rPr>
                <w:sz w:val="21"/>
              </w:rPr>
              <w:t>所在年级</w:t>
            </w:r>
          </w:p>
        </w:tc>
        <w:tc>
          <w:tcPr>
            <w:tcW w:type="dxa" w:w="2801"/>
          </w:tcPr>
          <w:p>
            <w:pPr>
              <w:spacing w:line="240" w:lineRule="auto"/>
            </w:pPr>
            <w:r>
              <w:rPr>
                <w:sz w:val="21"/>
              </w:rPr>
              <w:t>单选</w:t>
            </w:r>
          </w:p>
        </w:tc>
        <w:tc>
          <w:tcPr>
            <w:tcW w:type="dxa" w:w="2801"/>
          </w:tcPr>
          <w:p>
            <w:pPr>
              <w:spacing w:line="240" w:lineRule="auto"/>
            </w:pPr>
            <w:r>
              <w:rPr>
                <w:sz w:val="21"/>
              </w:rPr>
              <w:t>研究生 39；本科生 16；博士生 0</w:t>
            </w:r>
          </w:p>
        </w:tc>
      </w:tr>
      <w:tr>
        <w:tc>
          <w:tcPr>
            <w:tcW w:type="dxa" w:w="2801"/>
          </w:tcPr>
          <w:p>
            <w:pPr>
              <w:spacing w:line="240" w:lineRule="auto"/>
              <w:jc w:val="left"/>
            </w:pPr>
            <w:r>
              <w:rPr>
                <w:sz w:val="21"/>
              </w:rPr>
              <w:t>专业方向</w:t>
            </w:r>
          </w:p>
        </w:tc>
        <w:tc>
          <w:tcPr>
            <w:tcW w:type="dxa" w:w="2801"/>
          </w:tcPr>
          <w:p>
            <w:pPr>
              <w:spacing w:line="240" w:lineRule="auto"/>
            </w:pPr>
            <w:r>
              <w:rPr>
                <w:sz w:val="21"/>
              </w:rPr>
              <w:t>单选</w:t>
            </w:r>
          </w:p>
        </w:tc>
        <w:tc>
          <w:tcPr>
            <w:tcW w:type="dxa" w:w="2801"/>
          </w:tcPr>
          <w:p>
            <w:pPr>
              <w:spacing w:line="240" w:lineRule="auto"/>
            </w:pPr>
            <w:r>
              <w:rPr>
                <w:sz w:val="21"/>
              </w:rPr>
              <w:t>环境设计 11；工业设计 10；视觉传达设计 9；数字媒体设计 9；其它 9；产品设计 7</w:t>
            </w:r>
          </w:p>
        </w:tc>
      </w:tr>
      <w:tr>
        <w:tc>
          <w:tcPr>
            <w:tcW w:type="dxa" w:w="2801"/>
          </w:tcPr>
          <w:p>
            <w:pPr>
              <w:spacing w:line="240" w:lineRule="auto"/>
              <w:jc w:val="left"/>
            </w:pPr>
            <w:r>
              <w:rPr>
                <w:sz w:val="21"/>
              </w:rPr>
              <w:t>人工智能工具使用情况</w:t>
            </w:r>
          </w:p>
        </w:tc>
        <w:tc>
          <w:tcPr>
            <w:tcW w:type="dxa" w:w="2801"/>
          </w:tcPr>
          <w:p>
            <w:pPr>
              <w:spacing w:line="240" w:lineRule="auto"/>
            </w:pPr>
            <w:r>
              <w:rPr>
                <w:sz w:val="21"/>
              </w:rPr>
              <w:t>单选</w:t>
            </w:r>
          </w:p>
        </w:tc>
        <w:tc>
          <w:tcPr>
            <w:tcW w:type="dxa" w:w="2801"/>
          </w:tcPr>
          <w:p>
            <w:pPr>
              <w:spacing w:line="240" w:lineRule="auto"/>
            </w:pPr>
            <w:r>
              <w:rPr>
                <w:sz w:val="21"/>
              </w:rPr>
              <w:t>经常使用 40（72.7%）；偶尔使用 15（27.3%）；听说过但未使用 0；完全不了解 0</w:t>
            </w:r>
          </w:p>
        </w:tc>
      </w:tr>
      <w:tr>
        <w:tc>
          <w:tcPr>
            <w:tcW w:type="dxa" w:w="2801"/>
          </w:tcPr>
          <w:p>
            <w:pPr>
              <w:spacing w:line="240" w:lineRule="auto"/>
              <w:jc w:val="left"/>
            </w:pPr>
            <w:r>
              <w:rPr>
                <w:sz w:val="21"/>
              </w:rPr>
              <w:t>主要使用环节</w:t>
            </w:r>
          </w:p>
        </w:tc>
        <w:tc>
          <w:tcPr>
            <w:tcW w:type="dxa" w:w="2801"/>
          </w:tcPr>
          <w:p>
            <w:pPr>
              <w:spacing w:line="240" w:lineRule="auto"/>
            </w:pPr>
            <w:r>
              <w:rPr>
                <w:sz w:val="21"/>
              </w:rPr>
              <w:t>多选</w:t>
            </w:r>
          </w:p>
        </w:tc>
        <w:tc>
          <w:tcPr>
            <w:tcW w:type="dxa" w:w="2801"/>
          </w:tcPr>
          <w:p>
            <w:pPr>
              <w:spacing w:line="240" w:lineRule="auto"/>
            </w:pPr>
            <w:r>
              <w:rPr>
                <w:sz w:val="21"/>
              </w:rPr>
              <w:t>图片生成与视觉表现 44（80.0%）；灵感收集与创意发散 39（70.9%）；设计方案优化 34（61.8%）；用户调研与资料整理 30（54.5%）；文案撰写与设计说明 29（52.7%）；软件学习与操作辅助 17（30.9%）</w:t>
            </w:r>
          </w:p>
        </w:tc>
      </w:tr>
      <w:tr>
        <w:tc>
          <w:tcPr>
            <w:tcW w:type="dxa" w:w="2801"/>
          </w:tcPr>
          <w:p>
            <w:pPr>
              <w:spacing w:line="240" w:lineRule="auto"/>
              <w:jc w:val="left"/>
            </w:pPr>
            <w:r>
              <w:rPr>
                <w:sz w:val="21"/>
              </w:rPr>
              <w:t>人工智能最大的帮助</w:t>
            </w:r>
          </w:p>
        </w:tc>
        <w:tc>
          <w:tcPr>
            <w:tcW w:type="dxa" w:w="2801"/>
          </w:tcPr>
          <w:p>
            <w:pPr>
              <w:spacing w:line="240" w:lineRule="auto"/>
            </w:pPr>
            <w:r>
              <w:rPr>
                <w:sz w:val="21"/>
              </w:rPr>
              <w:t>单选</w:t>
            </w:r>
          </w:p>
        </w:tc>
        <w:tc>
          <w:tcPr>
            <w:tcW w:type="dxa" w:w="2801"/>
          </w:tcPr>
          <w:p>
            <w:pPr>
              <w:spacing w:line="240" w:lineRule="auto"/>
            </w:pPr>
            <w:r>
              <w:rPr>
                <w:sz w:val="21"/>
              </w:rPr>
              <w:t>提高设计效率 34（61.8%）；快速制作视觉效果 9（16.4%）；提供更多创意方向 7（12.7%）；帮助学习设计知识 3（5.5%）；辅助发现设计问题 2（3.6%）</w:t>
            </w:r>
          </w:p>
        </w:tc>
      </w:tr>
      <w:tr>
        <w:tc>
          <w:tcPr>
            <w:tcW w:type="dxa" w:w="2801"/>
          </w:tcPr>
          <w:p>
            <w:pPr>
              <w:spacing w:line="240" w:lineRule="auto"/>
              <w:jc w:val="left"/>
            </w:pPr>
            <w:r>
              <w:rPr>
                <w:sz w:val="21"/>
              </w:rPr>
              <w:t>适合承担的角色</w:t>
            </w:r>
          </w:p>
        </w:tc>
        <w:tc>
          <w:tcPr>
            <w:tcW w:type="dxa" w:w="2801"/>
          </w:tcPr>
          <w:p>
            <w:pPr>
              <w:spacing w:line="240" w:lineRule="auto"/>
            </w:pPr>
            <w:r>
              <w:rPr>
                <w:sz w:val="21"/>
              </w:rPr>
              <w:t>多选</w:t>
            </w:r>
          </w:p>
        </w:tc>
        <w:tc>
          <w:tcPr>
            <w:tcW w:type="dxa" w:w="2801"/>
          </w:tcPr>
          <w:p>
            <w:pPr>
              <w:spacing w:line="240" w:lineRule="auto"/>
            </w:pPr>
            <w:r>
              <w:rPr>
                <w:sz w:val="21"/>
              </w:rPr>
              <w:t>创意启发工具 39（70.9%）；资料整理与研究助手 35（63.6%）；设计技能教学助手 30（54.5%）；方案评价与反馈工具 14（25.5%）；个性化学习导师 12（21.8%）；完全替代部分教师教学工作 4（7.3%）</w:t>
            </w:r>
          </w:p>
        </w:tc>
      </w:tr>
      <w:tr>
        <w:tc>
          <w:tcPr>
            <w:tcW w:type="dxa" w:w="2801"/>
          </w:tcPr>
          <w:p>
            <w:pPr>
              <w:spacing w:line="240" w:lineRule="auto"/>
              <w:jc w:val="left"/>
            </w:pPr>
            <w:r>
              <w:rPr>
                <w:sz w:val="21"/>
              </w:rPr>
              <w:t>逐任务比较</w:t>
            </w:r>
          </w:p>
        </w:tc>
        <w:tc>
          <w:tcPr>
            <w:tcW w:type="dxa" w:w="2801"/>
          </w:tcPr>
          <w:p>
            <w:pPr>
              <w:spacing w:line="240" w:lineRule="auto"/>
            </w:pPr>
            <w:r>
              <w:rPr>
                <w:sz w:val="21"/>
              </w:rPr>
              <w:t>单选（逐项）</w:t>
            </w:r>
          </w:p>
        </w:tc>
        <w:tc>
          <w:tcPr>
            <w:tcW w:type="dxa" w:w="2801"/>
          </w:tcPr>
          <w:p>
            <w:pPr>
              <w:spacing w:line="240" w:lineRule="auto"/>
            </w:pPr>
            <w:r>
              <w:rPr>
                <w:sz w:val="21"/>
              </w:rPr>
              <w:t>分析用户需求：人工智能 31；学习设计软件：人工智能 27；评价方案美观程度：教师 30；确定设计主题：教师 19；选择最终方案：本人 28、教师 24、人工智能 3；建立设计理念：本人 30、教师 13、人工智能 12</w:t>
            </w:r>
          </w:p>
        </w:tc>
      </w:tr>
      <w:tr>
        <w:tc>
          <w:tcPr>
            <w:tcW w:type="dxa" w:w="2801"/>
          </w:tcPr>
          <w:p>
            <w:pPr>
              <w:spacing w:line="240" w:lineRule="auto"/>
              <w:jc w:val="left"/>
            </w:pPr>
            <w:r>
              <w:rPr>
                <w:sz w:val="21"/>
              </w:rPr>
              <w:t>人工智能能够评价方案后是否需要教师</w:t>
            </w:r>
          </w:p>
        </w:tc>
        <w:tc>
          <w:tcPr>
            <w:tcW w:type="dxa" w:w="2801"/>
          </w:tcPr>
          <w:p>
            <w:pPr>
              <w:spacing w:line="240" w:lineRule="auto"/>
            </w:pPr>
            <w:r>
              <w:rPr>
                <w:sz w:val="21"/>
              </w:rPr>
              <w:t>单选</w:t>
            </w:r>
          </w:p>
        </w:tc>
        <w:tc>
          <w:tcPr>
            <w:tcW w:type="dxa" w:w="2801"/>
          </w:tcPr>
          <w:p>
            <w:pPr>
              <w:spacing w:line="240" w:lineRule="auto"/>
            </w:pPr>
            <w:r>
              <w:rPr>
                <w:sz w:val="21"/>
              </w:rPr>
              <w:t>非常需要 18（32.7%）；比较需要 28（50.9%）；一般 9（16.4%）；不太需要与完全不需要 0</w:t>
            </w:r>
          </w:p>
        </w:tc>
      </w:tr>
      <w:tr>
        <w:tc>
          <w:tcPr>
            <w:tcW w:type="dxa" w:w="2801"/>
          </w:tcPr>
          <w:p>
            <w:pPr>
              <w:spacing w:line="240" w:lineRule="auto"/>
              <w:jc w:val="left"/>
            </w:pPr>
            <w:r>
              <w:rPr>
                <w:sz w:val="21"/>
              </w:rPr>
              <w:t>教师相比人工智能的优势</w:t>
            </w:r>
          </w:p>
        </w:tc>
        <w:tc>
          <w:tcPr>
            <w:tcW w:type="dxa" w:w="2801"/>
          </w:tcPr>
          <w:p>
            <w:pPr>
              <w:spacing w:line="240" w:lineRule="auto"/>
            </w:pPr>
            <w:r>
              <w:rPr>
                <w:sz w:val="21"/>
              </w:rPr>
              <w:t>多选</w:t>
            </w:r>
          </w:p>
        </w:tc>
        <w:tc>
          <w:tcPr>
            <w:tcW w:type="dxa" w:w="2801"/>
          </w:tcPr>
          <w:p>
            <w:pPr>
              <w:spacing w:line="240" w:lineRule="auto"/>
            </w:pPr>
            <w:r>
              <w:rPr>
                <w:sz w:val="21"/>
              </w:rPr>
              <w:t>发现隐藏问题 39（70.9%）；设计经验 37（67.3%）；理解设计背景与文化 36（65.5%）；情感支持 29（52.7%）；培养设计思维 20（36.4%）</w:t>
            </w:r>
          </w:p>
        </w:tc>
      </w:tr>
      <w:tr>
        <w:tc>
          <w:tcPr>
            <w:tcW w:type="dxa" w:w="2801"/>
          </w:tcPr>
          <w:p>
            <w:pPr>
              <w:spacing w:line="240" w:lineRule="auto"/>
              <w:jc w:val="left"/>
            </w:pPr>
            <w:r>
              <w:rPr>
                <w:sz w:val="21"/>
              </w:rPr>
              <w:t>最担心的问题</w:t>
            </w:r>
          </w:p>
        </w:tc>
        <w:tc>
          <w:tcPr>
            <w:tcW w:type="dxa" w:w="2801"/>
          </w:tcPr>
          <w:p>
            <w:pPr>
              <w:spacing w:line="240" w:lineRule="auto"/>
            </w:pPr>
            <w:r>
              <w:rPr>
                <w:sz w:val="21"/>
              </w:rPr>
              <w:t>单选</w:t>
            </w:r>
          </w:p>
        </w:tc>
        <w:tc>
          <w:tcPr>
            <w:tcW w:type="dxa" w:w="2801"/>
          </w:tcPr>
          <w:p>
            <w:pPr>
              <w:spacing w:line="240" w:lineRule="auto"/>
            </w:pPr>
            <w:r>
              <w:rPr>
                <w:sz w:val="21"/>
              </w:rPr>
              <w:t>过度依赖降低创造能力 28（50.9%）；作品趋于同质化 15（27.3%）；无法理解真实用户需求 8（14.5%）；版权与原创性 3（5.5%）；教师作用降低 1（1.8%）</w:t>
            </w:r>
          </w:p>
        </w:tc>
      </w:tr>
    </w:tbl>
    <w:p>
      <w:pPr>
        <w:pStyle w:val="a3"/>
      </w:pPr>
      <w:r>
        <w:rPr>
          <w:sz w:val="18"/>
        </w:rPr>
        <w:t>注：多选题各项比例之和大于百分之百；样本含本科生 16 人（29.1%），与研究对象的界定不完全一致。资料来源：问卷 B 问卷星统计导出。</w:t>
      </w:r>
    </w:p>
    <w:p>
      <w:pPr>
        <w:pStyle w:val="a3"/>
      </w:pPr>
    </w:p>
    <w:p>
      <w:pPr>
        <w:pStyle w:val="a3"/>
        <w:jc w:val="center"/>
      </w:pPr>
      <w:r>
        <w:rPr>
          <w:b/>
          <w:sz w:val="21"/>
        </w:rPr>
        <w:t>表 B3　问卷 C 逐题统计</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2016"/>
        <w:gridCol w:w="1176"/>
        <w:gridCol w:w="5209"/>
      </w:tblGrid>
      <w:tr>
        <w:trPr>
          <w:tblHeader w:val="true"/>
        </w:trPr>
        <w:tc>
          <w:tcPr>
            <w:tcW w:type="dxa" w:w="2801"/>
            <w:tcBorders>
              <w:bottom w:val="single" w:sz="6" w:color="auto"/>
            </w:tcBorders>
          </w:tcPr>
          <w:p>
            <w:pPr>
              <w:spacing w:line="240" w:lineRule="auto"/>
              <w:jc w:val="center"/>
            </w:pPr>
            <w:r/>
            <w:r>
              <w:rPr>
                <w:b/>
                <w:sz w:val="21"/>
              </w:rPr>
              <w:t>题项</w:t>
            </w:r>
          </w:p>
        </w:tc>
        <w:tc>
          <w:tcPr>
            <w:tcW w:type="dxa" w:w="2801"/>
            <w:tcBorders>
              <w:bottom w:val="single" w:sz="6" w:color="auto"/>
            </w:tcBorders>
          </w:tcPr>
          <w:p>
            <w:pPr>
              <w:spacing w:line="240" w:lineRule="auto"/>
              <w:jc w:val="center"/>
            </w:pPr>
            <w:r/>
            <w:r>
              <w:rPr>
                <w:b/>
                <w:sz w:val="21"/>
              </w:rPr>
              <w:t>测量方式</w:t>
            </w:r>
          </w:p>
        </w:tc>
        <w:tc>
          <w:tcPr>
            <w:tcW w:type="dxa" w:w="2801"/>
            <w:tcBorders>
              <w:bottom w:val="single" w:sz="6" w:color="auto"/>
            </w:tcBorders>
          </w:tcPr>
          <w:p>
            <w:pPr>
              <w:spacing w:line="240" w:lineRule="auto"/>
              <w:jc w:val="center"/>
            </w:pPr>
            <w:r/>
            <w:r>
              <w:rPr>
                <w:b/>
                <w:sz w:val="21"/>
              </w:rPr>
              <w:t>统计结果</w:t>
            </w:r>
          </w:p>
        </w:tc>
      </w:tr>
      <w:tr>
        <w:tc>
          <w:tcPr>
            <w:tcW w:type="dxa" w:w="2801"/>
          </w:tcPr>
          <w:p>
            <w:pPr>
              <w:spacing w:line="240" w:lineRule="auto"/>
              <w:jc w:val="left"/>
            </w:pPr>
            <w:r>
              <w:rPr>
                <w:sz w:val="21"/>
              </w:rPr>
              <w:t>身份</w:t>
            </w:r>
          </w:p>
        </w:tc>
        <w:tc>
          <w:tcPr>
            <w:tcW w:type="dxa" w:w="2801"/>
          </w:tcPr>
          <w:p>
            <w:pPr>
              <w:spacing w:line="240" w:lineRule="auto"/>
            </w:pPr>
            <w:r>
              <w:rPr>
                <w:sz w:val="21"/>
              </w:rPr>
              <w:t>单选</w:t>
            </w:r>
          </w:p>
        </w:tc>
        <w:tc>
          <w:tcPr>
            <w:tcW w:type="dxa" w:w="2801"/>
          </w:tcPr>
          <w:p>
            <w:pPr>
              <w:spacing w:line="240" w:lineRule="auto"/>
            </w:pPr>
            <w:r>
              <w:rPr>
                <w:sz w:val="21"/>
              </w:rPr>
              <w:t>研究生一年级及二年级 20（95.2%）；研究生三年级及毕业生 1（4.8%）</w:t>
            </w:r>
          </w:p>
        </w:tc>
      </w:tr>
      <w:tr>
        <w:tc>
          <w:tcPr>
            <w:tcW w:type="dxa" w:w="2801"/>
          </w:tcPr>
          <w:p>
            <w:pPr>
              <w:spacing w:line="240" w:lineRule="auto"/>
              <w:jc w:val="left"/>
            </w:pPr>
            <w:r>
              <w:rPr>
                <w:sz w:val="21"/>
              </w:rPr>
              <w:t>研究生阶段状态</w:t>
            </w:r>
          </w:p>
        </w:tc>
        <w:tc>
          <w:tcPr>
            <w:tcW w:type="dxa" w:w="2801"/>
          </w:tcPr>
          <w:p>
            <w:pPr>
              <w:spacing w:line="240" w:lineRule="auto"/>
            </w:pPr>
            <w:r>
              <w:rPr>
                <w:sz w:val="21"/>
              </w:rPr>
              <w:t>单选</w:t>
            </w:r>
          </w:p>
        </w:tc>
        <w:tc>
          <w:tcPr>
            <w:tcW w:type="dxa" w:w="2801"/>
          </w:tcPr>
          <w:p>
            <w:pPr>
              <w:spacing w:line="240" w:lineRule="auto"/>
            </w:pPr>
            <w:r>
              <w:rPr>
                <w:sz w:val="21"/>
              </w:rPr>
              <w:t>明确目标 1（5.0%）；有目标但不知道如何实现 8（40.0%）；正在探索方向 8（40.0%）；感到迷茫 2（10.0%）；主要关注完成当前任务 1（5.0%）</w:t>
            </w:r>
          </w:p>
        </w:tc>
      </w:tr>
      <w:tr>
        <w:tc>
          <w:tcPr>
            <w:tcW w:type="dxa" w:w="2801"/>
          </w:tcPr>
          <w:p>
            <w:pPr>
              <w:spacing w:line="240" w:lineRule="auto"/>
              <w:jc w:val="left"/>
            </w:pPr>
            <w:r>
              <w:rPr>
                <w:sz w:val="21"/>
              </w:rPr>
              <w:t>常见困难</w:t>
            </w:r>
          </w:p>
        </w:tc>
        <w:tc>
          <w:tcPr>
            <w:tcW w:type="dxa" w:w="2801"/>
          </w:tcPr>
          <w:p>
            <w:pPr>
              <w:spacing w:line="240" w:lineRule="auto"/>
            </w:pPr>
            <w:r>
              <w:rPr>
                <w:sz w:val="21"/>
              </w:rPr>
              <w:t>多选</w:t>
            </w:r>
          </w:p>
        </w:tc>
        <w:tc>
          <w:tcPr>
            <w:tcW w:type="dxa" w:w="2801"/>
          </w:tcPr>
          <w:p>
            <w:pPr>
              <w:spacing w:line="240" w:lineRule="auto"/>
            </w:pPr>
            <w:r>
              <w:rPr>
                <w:sz w:val="21"/>
              </w:rPr>
              <w:t>真实实践经验不足 12（60.0%）；不知道如何找到适合自己的研究方向 9（45.0%）；理论学习与设计实践难结合 8（40.0%）；缺少高质量的项目机会 8（40.0%）；如何培养系统的设计方法 4（20.0%）；学习任务繁重而成长感不足 4（20.0%）；不知道如何开展设计研究 2（10.0%）；缺少针对性指导 2（10.0%）</w:t>
            </w:r>
          </w:p>
        </w:tc>
      </w:tr>
      <w:tr>
        <w:tc>
          <w:tcPr>
            <w:tcW w:type="dxa" w:w="2801"/>
          </w:tcPr>
          <w:p>
            <w:pPr>
              <w:spacing w:line="240" w:lineRule="auto"/>
              <w:jc w:val="left"/>
            </w:pPr>
            <w:r>
              <w:rPr>
                <w:sz w:val="21"/>
              </w:rPr>
              <w:t>问题影响程度</w:t>
            </w:r>
          </w:p>
        </w:tc>
        <w:tc>
          <w:tcPr>
            <w:tcW w:type="dxa" w:w="2801"/>
          </w:tcPr>
          <w:p>
            <w:pPr>
              <w:spacing w:line="240" w:lineRule="auto"/>
            </w:pPr>
            <w:r>
              <w:rPr>
                <w:sz w:val="21"/>
              </w:rPr>
              <w:t>五点量表</w:t>
            </w:r>
          </w:p>
        </w:tc>
        <w:tc>
          <w:tcPr>
            <w:tcW w:type="dxa" w:w="2801"/>
          </w:tcPr>
          <w:p>
            <w:pPr>
              <w:spacing w:line="240" w:lineRule="auto"/>
            </w:pPr>
            <w:r>
              <w:rPr>
                <w:sz w:val="21"/>
              </w:rPr>
              <w:t>M = 3.68</w:t>
            </w:r>
          </w:p>
        </w:tc>
      </w:tr>
      <w:tr>
        <w:tc>
          <w:tcPr>
            <w:tcW w:type="dxa" w:w="2801"/>
          </w:tcPr>
          <w:p>
            <w:pPr>
              <w:spacing w:line="240" w:lineRule="auto"/>
              <w:jc w:val="left"/>
            </w:pPr>
            <w:r>
              <w:rPr>
                <w:sz w:val="21"/>
              </w:rPr>
              <w:t>能力缺口</w:t>
            </w:r>
          </w:p>
        </w:tc>
        <w:tc>
          <w:tcPr>
            <w:tcW w:type="dxa" w:w="2801"/>
          </w:tcPr>
          <w:p>
            <w:pPr>
              <w:spacing w:line="240" w:lineRule="auto"/>
            </w:pPr>
            <w:r>
              <w:rPr>
                <w:sz w:val="21"/>
              </w:rPr>
              <w:t>多选</w:t>
            </w:r>
          </w:p>
        </w:tc>
        <w:tc>
          <w:tcPr>
            <w:tcW w:type="dxa" w:w="2801"/>
          </w:tcPr>
          <w:p>
            <w:pPr>
              <w:spacing w:line="240" w:lineRule="auto"/>
            </w:pPr>
            <w:r>
              <w:rPr>
                <w:sz w:val="21"/>
              </w:rPr>
              <w:t>商业转化能力 13（65.0%）；创新思考能力 9（45.0%）；个人品牌建设能力 8（40.0%）；用户研究能力、技术应用能力、项目管理能力各 6（30.0%）；设计策略能力、学术研究能力各 5（25.0%）；视觉表达能力、跨领域合作能力、沟通表达能力各 4（20.0%）；发现问题能力 3（15.0%）</w:t>
            </w:r>
          </w:p>
        </w:tc>
      </w:tr>
      <w:tr>
        <w:tc>
          <w:tcPr>
            <w:tcW w:type="dxa" w:w="2801"/>
          </w:tcPr>
          <w:p>
            <w:pPr>
              <w:spacing w:line="240" w:lineRule="auto"/>
              <w:jc w:val="left"/>
            </w:pPr>
            <w:r>
              <w:rPr>
                <w:sz w:val="21"/>
              </w:rPr>
              <w:t>最缺少的资源</w:t>
            </w:r>
          </w:p>
        </w:tc>
        <w:tc>
          <w:tcPr>
            <w:tcW w:type="dxa" w:w="2801"/>
          </w:tcPr>
          <w:p>
            <w:pPr>
              <w:spacing w:line="240" w:lineRule="auto"/>
            </w:pPr>
            <w:r>
              <w:rPr>
                <w:sz w:val="21"/>
              </w:rPr>
              <w:t>单选</w:t>
            </w:r>
          </w:p>
        </w:tc>
        <w:tc>
          <w:tcPr>
            <w:tcW w:type="dxa" w:w="2801"/>
          </w:tcPr>
          <w:p>
            <w:pPr>
              <w:spacing w:line="240" w:lineRule="auto"/>
            </w:pPr>
            <w:r>
              <w:rPr>
                <w:sz w:val="21"/>
              </w:rPr>
              <w:t>真实项目实践 13（65.0%）；更好的学习资源 2（10.0%）；系统的方法指导 2（10.0%）；行业交流机会 2（10.0%）；明确的发展方向 1（5.0%）</w:t>
            </w:r>
          </w:p>
        </w:tc>
      </w:tr>
      <w:tr>
        <w:tc>
          <w:tcPr>
            <w:tcW w:type="dxa" w:w="2801"/>
          </w:tcPr>
          <w:p>
            <w:pPr>
              <w:spacing w:line="240" w:lineRule="auto"/>
              <w:jc w:val="left"/>
            </w:pPr>
            <w:r>
              <w:rPr>
                <w:sz w:val="21"/>
              </w:rPr>
              <w:t>生活与学习中的问题</w:t>
            </w:r>
          </w:p>
        </w:tc>
        <w:tc>
          <w:tcPr>
            <w:tcW w:type="dxa" w:w="2801"/>
          </w:tcPr>
          <w:p>
            <w:pPr>
              <w:spacing w:line="240" w:lineRule="auto"/>
            </w:pPr>
            <w:r>
              <w:rPr>
                <w:sz w:val="21"/>
              </w:rPr>
              <w:t>多选</w:t>
            </w:r>
          </w:p>
        </w:tc>
        <w:tc>
          <w:tcPr>
            <w:tcW w:type="dxa" w:w="2801"/>
          </w:tcPr>
          <w:p>
            <w:pPr>
              <w:spacing w:line="240" w:lineRule="auto"/>
            </w:pPr>
            <w:r>
              <w:rPr>
                <w:sz w:val="21"/>
              </w:rPr>
              <w:t>学习压力 13（65.0%）；长期保持创作状态困难 9（45.0%）；时间管理困难 6（30.0%）；生活与学习难平衡 6（30.0%）；缺少个人成长规划 6（30.0%）；学校支持资源不足 4（20.0%）；情绪压力 3（15.0%）；经济压力 3（15.0%）</w:t>
            </w:r>
          </w:p>
        </w:tc>
      </w:tr>
      <w:tr>
        <w:tc>
          <w:tcPr>
            <w:tcW w:type="dxa" w:w="2801"/>
          </w:tcPr>
          <w:p>
            <w:pPr>
              <w:spacing w:line="240" w:lineRule="auto"/>
              <w:jc w:val="left"/>
            </w:pPr>
            <w:r>
              <w:rPr>
                <w:sz w:val="21"/>
              </w:rPr>
              <w:t>影响学习状态的因素</w:t>
            </w:r>
          </w:p>
        </w:tc>
        <w:tc>
          <w:tcPr>
            <w:tcW w:type="dxa" w:w="2801"/>
          </w:tcPr>
          <w:p>
            <w:pPr>
              <w:spacing w:line="240" w:lineRule="auto"/>
            </w:pPr>
            <w:r>
              <w:rPr>
                <w:sz w:val="21"/>
              </w:rPr>
              <w:t>多选</w:t>
            </w:r>
          </w:p>
        </w:tc>
        <w:tc>
          <w:tcPr>
            <w:tcW w:type="dxa" w:w="2801"/>
          </w:tcPr>
          <w:p>
            <w:pPr>
              <w:spacing w:line="240" w:lineRule="auto"/>
            </w:pPr>
            <w:r>
              <w:rPr>
                <w:sz w:val="21"/>
              </w:rPr>
              <w:t>未来方向不明确 13（65.0%）；竞争压力 10（50.0%）；成长路径不清晰 8（40.0%）；自我反馈不足 7（35.0%）；任务压力 6（30.0%）；项目要求提高 4（20.0%）；时间不足 4（20.0%）</w:t>
            </w:r>
          </w:p>
        </w:tc>
      </w:tr>
      <w:tr>
        <w:tc>
          <w:tcPr>
            <w:tcW w:type="dxa" w:w="2801"/>
          </w:tcPr>
          <w:p>
            <w:pPr>
              <w:spacing w:line="240" w:lineRule="auto"/>
              <w:jc w:val="left"/>
            </w:pPr>
            <w:r>
              <w:rPr>
                <w:sz w:val="21"/>
              </w:rPr>
              <w:t>职业发展清晰程度</w:t>
            </w:r>
          </w:p>
        </w:tc>
        <w:tc>
          <w:tcPr>
            <w:tcW w:type="dxa" w:w="2801"/>
          </w:tcPr>
          <w:p>
            <w:pPr>
              <w:spacing w:line="240" w:lineRule="auto"/>
            </w:pPr>
            <w:r>
              <w:rPr>
                <w:sz w:val="21"/>
              </w:rPr>
              <w:t>五点量表</w:t>
            </w:r>
          </w:p>
        </w:tc>
        <w:tc>
          <w:tcPr>
            <w:tcW w:type="dxa" w:w="2801"/>
          </w:tcPr>
          <w:p>
            <w:pPr>
              <w:spacing w:line="240" w:lineRule="auto"/>
            </w:pPr>
            <w:r>
              <w:rPr>
                <w:sz w:val="21"/>
              </w:rPr>
              <w:t>比较模糊 5（25.0%）；一般 10（50.0%）；比较明确 5（25.0%）；最低与最高两档均为 0</w:t>
            </w:r>
          </w:p>
        </w:tc>
      </w:tr>
      <w:tr>
        <w:tc>
          <w:tcPr>
            <w:tcW w:type="dxa" w:w="2801"/>
          </w:tcPr>
          <w:p>
            <w:pPr>
              <w:spacing w:line="240" w:lineRule="auto"/>
              <w:jc w:val="left"/>
            </w:pPr>
            <w:r>
              <w:rPr>
                <w:sz w:val="21"/>
              </w:rPr>
              <w:t>未来发展最大困难</w:t>
            </w:r>
          </w:p>
        </w:tc>
        <w:tc>
          <w:tcPr>
            <w:tcW w:type="dxa" w:w="2801"/>
          </w:tcPr>
          <w:p>
            <w:pPr>
              <w:spacing w:line="240" w:lineRule="auto"/>
            </w:pPr>
            <w:r>
              <w:rPr>
                <w:sz w:val="21"/>
              </w:rPr>
              <w:t>单选</w:t>
            </w:r>
          </w:p>
        </w:tc>
        <w:tc>
          <w:tcPr>
            <w:tcW w:type="dxa" w:w="2801"/>
          </w:tcPr>
          <w:p>
            <w:pPr>
              <w:spacing w:line="240" w:lineRule="auto"/>
            </w:pPr>
            <w:r>
              <w:rPr>
                <w:sz w:val="21"/>
              </w:rPr>
              <w:t>缺少行业经验 7（35.0%）；不了解行业趋势 4（20.0%）；不知道适合的职业路径 4（20.0%）；缺少职业指导 3（15.0%）；不知道如何建立竞争力 1（5.0%）</w:t>
            </w:r>
          </w:p>
        </w:tc>
      </w:tr>
      <w:tr>
        <w:tc>
          <w:tcPr>
            <w:tcW w:type="dxa" w:w="2801"/>
          </w:tcPr>
          <w:p>
            <w:pPr>
              <w:spacing w:line="240" w:lineRule="auto"/>
              <w:jc w:val="left"/>
            </w:pPr>
            <w:r>
              <w:rPr>
                <w:sz w:val="21"/>
              </w:rPr>
              <w:t>毕业最担心的问题</w:t>
            </w:r>
          </w:p>
        </w:tc>
        <w:tc>
          <w:tcPr>
            <w:tcW w:type="dxa" w:w="2801"/>
          </w:tcPr>
          <w:p>
            <w:pPr>
              <w:spacing w:line="240" w:lineRule="auto"/>
            </w:pPr>
            <w:r>
              <w:rPr>
                <w:sz w:val="21"/>
              </w:rPr>
              <w:t>单选</w:t>
            </w:r>
          </w:p>
        </w:tc>
        <w:tc>
          <w:tcPr>
            <w:tcW w:type="dxa" w:w="2801"/>
          </w:tcPr>
          <w:p>
            <w:pPr>
              <w:spacing w:line="240" w:lineRule="auto"/>
            </w:pPr>
            <w:r>
              <w:rPr>
                <w:sz w:val="21"/>
              </w:rPr>
              <w:t>行业变化 5（25.0%）；专业能力 3（15.0%）；项目经验 3（15.0%）；薪资发展 3（15.0%）；人工智能技术影响 3（15.0%）；方向选择 2（10.0%）；设计价值体现 1（5.0%）</w:t>
            </w:r>
          </w:p>
        </w:tc>
      </w:tr>
      <w:tr>
        <w:tc>
          <w:tcPr>
            <w:tcW w:type="dxa" w:w="2801"/>
          </w:tcPr>
          <w:p>
            <w:pPr>
              <w:spacing w:line="240" w:lineRule="auto"/>
              <w:jc w:val="left"/>
            </w:pPr>
            <w:r>
              <w:rPr>
                <w:sz w:val="21"/>
              </w:rPr>
              <w:t>重新设计培养体系最希望增加的内容</w:t>
            </w:r>
          </w:p>
        </w:tc>
        <w:tc>
          <w:tcPr>
            <w:tcW w:type="dxa" w:w="2801"/>
          </w:tcPr>
          <w:p>
            <w:pPr>
              <w:spacing w:line="240" w:lineRule="auto"/>
            </w:pPr>
            <w:r>
              <w:rPr>
                <w:sz w:val="21"/>
              </w:rPr>
              <w:t>单选</w:t>
            </w:r>
          </w:p>
        </w:tc>
        <w:tc>
          <w:tcPr>
            <w:tcW w:type="dxa" w:w="2801"/>
          </w:tcPr>
          <w:p>
            <w:pPr>
              <w:spacing w:line="240" w:lineRule="auto"/>
            </w:pPr>
            <w:r>
              <w:rPr>
                <w:sz w:val="21"/>
              </w:rPr>
              <w:t>行业真实项目 8（40.0%）；职业规划课程 3（15.0%）；企业导师 2（10.0%）；作品集与个人品牌指导 2（10.0%）；人工智能与新技术训练 1（5.0%）；其余各项各 1（5.0%）</w:t>
            </w:r>
          </w:p>
        </w:tc>
      </w:tr>
    </w:tbl>
    <w:p>
      <w:pPr>
        <w:pStyle w:val="a3"/>
      </w:pPr>
      <w:r>
        <w:rPr>
          <w:sz w:val="18"/>
        </w:rPr>
        <w:t>注：各题比例以其有效人次为分母（身份题以 21 为分母，其余题以 20 为分母）；问卷设研三及毕业生分支，该分支仅 1 人次作答，涉及该分支的题目不作分布解读。资料来源：问卷 C 问卷星统计导出。</w:t>
      </w:r>
    </w:p>
    <w:p>
      <w:pPr>
        <w:pStyle w:val="a3"/>
      </w:pPr>
    </w:p>
    <w:p>
      <w:pPr>
        <w:pStyle w:val="2"/>
      </w:pPr>
      <w:r>
        <w:t>附录 C　访谈材料</w:t>
      </w:r>
    </w:p>
    <w:p>
      <w:pPr>
        <w:pStyle w:val="a3"/>
        <w:ind w:firstLine="480"/>
      </w:pPr>
      <w:r>
        <w:t>研二学生访谈采用半结构方式，提纲共 12 问，依次为专业方向与所处阶段、读研动机、课程与培养方式同入学期待的差距（含追问）、研究生阶段最重要的能力与学校培养最多的能力、设计与研究中最大的困难、学校项目与行业项目的差别、对人工智能影响的看法与能力焦虑、希望学校提供的支持、阻碍未来规划的最大因素、用一句话描述最大的困惑，以及两次追问。访谈显示，受访者把从繁杂的场地信息与调研资料中提炼核心研究问题、以及真实项目落地经验不足列为最大困难；其需求呈现三个层次，显性层面是真实行业项目、设计研究方法、人工智能与设计研究的融合以及未来发展指导，隐性层面是研究问题聚焦、逻辑思维培养与理论向实践转化，底层动机则是对自身专业价值与未来方向的探索。</w:t>
      </w:r>
    </w:p>
    <w:p>
      <w:pPr>
        <w:pStyle w:val="a3"/>
        <w:ind w:firstLine="480"/>
      </w:pPr>
      <w:r>
        <w:t>题 4 的访谈共 4 位设计背景学生，提纲共 6 问，依次为人工智能工具的使用阶段、未来在设计教育中应扮演的角色（追问工具、老师或设计伙伴）、可交由人工智能完成的工作、必须由学生本人完成的工作、人工智能评价方案时教师的不可替代作用以及希望增加的课程内容。访谈要点与问卷结果相互印证：受访者多用生成式工具完成生图、资料整理、案例归类与前端搭建，而在选题、创意筛选与风格把控上倾向自己决定；对角色定位的回答在工具、助手与设计伙伴之间分布，但普遍不接受人工智能承担教师角色；多数受访者认为人工智能负责重复性与可量化的部分，学生保留判断与价值取舍，并希望增加批判性思维训练、人工智能工具使用与伦理以及实操内容。</w:t>
      </w:r>
    </w:p>
    <w:p>
      <w:pPr>
        <w:pStyle w:val="2"/>
      </w:pPr>
      <w:r>
        <w:t>附录 D　编码过程</w:t>
      </w:r>
    </w:p>
    <w:p>
      <w:pPr>
        <w:pStyle w:val="a3"/>
        <w:ind w:firstLine="480"/>
      </w:pPr>
      <w:r>
        <w:t>本研究的四类文本性质不同，因此各自独立编码、互不套用。市场与雇主面的资料为句子级的能力要求，采用定向内容分析，其开放式编码的产物是 28 项能力与一个岗位经验小节；主轴编码按能力族将 28 项归类，选择编码得到的核心范畴是跨岗位的动作能力。国家与制度面的开放式编码节选如表 D1 所示，其主轴编码将九类政策任务归为战略定位、教育与人才任务、价值与文化方向以及技术与绿色议程四个主范畴，选择编码得到的核心范畴是国家话语的任务型特征。环境与时代面的开放式编码节选如表 D2 所示，其主轴编码归为五个主范畴，选择编码得到的核心范畴是能力主张由制作转向判断与策展。教育供给面的开放式编码节选如表 D3 所示，其主轴编码将八类课程范畴归为四个主范畴，选择编码得到的核心范畴是补课名式响应。出口路径面为结构化的门槛数据，其编码实质是分类计数，结果已见表 5。五面的语料性质、编码方式与核心范畴汇总于表 D4。</w:t>
      </w:r>
    </w:p>
    <w:p>
      <w:pPr>
        <w:pStyle w:val="a3"/>
        <w:jc w:val="center"/>
      </w:pPr>
      <w:r>
        <w:rPr>
          <w:b/>
          <w:sz w:val="21"/>
        </w:rPr>
        <w:t>表 D1　国家与制度面的开放式编码（节选）</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4201"/>
        <w:gridCol w:w="2016"/>
        <w:gridCol w:w="2185"/>
      </w:tblGrid>
      <w:tr>
        <w:trPr>
          <w:tblHeader w:val="true"/>
        </w:trPr>
        <w:tc>
          <w:tcPr>
            <w:tcW w:type="dxa" w:w="2801"/>
            <w:tcBorders>
              <w:bottom w:val="single" w:sz="6" w:color="auto"/>
            </w:tcBorders>
          </w:tcPr>
          <w:p>
            <w:pPr>
              <w:spacing w:line="240" w:lineRule="auto"/>
              <w:jc w:val="center"/>
            </w:pPr>
            <w:r/>
            <w:r>
              <w:rPr>
                <w:b/>
                <w:sz w:val="21"/>
              </w:rPr>
              <w:t>原始代表性语句</w:t>
            </w:r>
          </w:p>
        </w:tc>
        <w:tc>
          <w:tcPr>
            <w:tcW w:type="dxa" w:w="2801"/>
            <w:tcBorders>
              <w:bottom w:val="single" w:sz="6" w:color="auto"/>
            </w:tcBorders>
          </w:tcPr>
          <w:p>
            <w:pPr>
              <w:spacing w:line="240" w:lineRule="auto"/>
              <w:jc w:val="center"/>
            </w:pPr>
            <w:r/>
            <w:r>
              <w:rPr>
                <w:b/>
                <w:sz w:val="21"/>
              </w:rPr>
              <w:t>概念化</w:t>
            </w:r>
          </w:p>
        </w:tc>
        <w:tc>
          <w:tcPr>
            <w:tcW w:type="dxa" w:w="2801"/>
            <w:tcBorders>
              <w:bottom w:val="single" w:sz="6" w:color="auto"/>
            </w:tcBorders>
          </w:tcPr>
          <w:p>
            <w:pPr>
              <w:spacing w:line="240" w:lineRule="auto"/>
              <w:jc w:val="center"/>
            </w:pPr>
            <w:r/>
            <w:r>
              <w:rPr>
                <w:b/>
                <w:sz w:val="21"/>
              </w:rPr>
              <w:t>范畴化</w:t>
            </w:r>
          </w:p>
        </w:tc>
      </w:tr>
      <w:tr>
        <w:tc>
          <w:tcPr>
            <w:tcW w:type="dxa" w:w="2801"/>
          </w:tcPr>
          <w:p>
            <w:pPr>
              <w:spacing w:line="240" w:lineRule="auto"/>
              <w:jc w:val="left"/>
            </w:pPr>
            <w:r>
              <w:rPr>
                <w:sz w:val="21"/>
              </w:rPr>
              <w:t>“设计能力不足仍是影响制造业转型升级的瓶颈问题”</w:t>
            </w:r>
          </w:p>
        </w:tc>
        <w:tc>
          <w:tcPr>
            <w:tcW w:type="dxa" w:w="2801"/>
          </w:tcPr>
          <w:p>
            <w:pPr>
              <w:spacing w:line="240" w:lineRule="auto"/>
            </w:pPr>
            <w:r>
              <w:rPr>
                <w:sz w:val="21"/>
              </w:rPr>
              <w:t>设计被承认为产业瓶颈</w:t>
            </w:r>
          </w:p>
        </w:tc>
        <w:tc>
          <w:tcPr>
            <w:tcW w:type="dxa" w:w="2801"/>
          </w:tcPr>
          <w:p>
            <w:pPr>
              <w:spacing w:line="240" w:lineRule="auto"/>
            </w:pPr>
            <w:r>
              <w:rPr>
                <w:sz w:val="21"/>
              </w:rPr>
              <w:t>P2 设计服务制造升级</w:t>
            </w:r>
          </w:p>
        </w:tc>
      </w:tr>
      <w:tr>
        <w:tc>
          <w:tcPr>
            <w:tcW w:type="dxa" w:w="2801"/>
          </w:tcPr>
          <w:p>
            <w:pPr>
              <w:spacing w:line="240" w:lineRule="auto"/>
              <w:jc w:val="left"/>
            </w:pPr>
            <w:r>
              <w:rPr>
                <w:sz w:val="21"/>
              </w:rPr>
              <w:t>“构建多学科交叉融合的设计高等教育体系”“推广 CDIO 工程教育模式”</w:t>
            </w:r>
          </w:p>
        </w:tc>
        <w:tc>
          <w:tcPr>
            <w:tcW w:type="dxa" w:w="2801"/>
          </w:tcPr>
          <w:p>
            <w:pPr>
              <w:spacing w:line="240" w:lineRule="auto"/>
            </w:pPr>
            <w:r>
              <w:rPr>
                <w:sz w:val="21"/>
              </w:rPr>
              <w:t>教育体系的直接任务</w:t>
            </w:r>
          </w:p>
        </w:tc>
        <w:tc>
          <w:tcPr>
            <w:tcW w:type="dxa" w:w="2801"/>
          </w:tcPr>
          <w:p>
            <w:pPr>
              <w:spacing w:line="240" w:lineRule="auto"/>
            </w:pPr>
            <w:r>
              <w:rPr>
                <w:sz w:val="21"/>
              </w:rPr>
              <w:t>P3 设计人才培养</w:t>
            </w:r>
          </w:p>
        </w:tc>
      </w:tr>
      <w:tr>
        <w:tc>
          <w:tcPr>
            <w:tcW w:type="dxa" w:w="2801"/>
          </w:tcPr>
          <w:p>
            <w:pPr>
              <w:spacing w:line="240" w:lineRule="auto"/>
              <w:jc w:val="left"/>
            </w:pPr>
            <w:r>
              <w:rPr>
                <w:sz w:val="21"/>
              </w:rPr>
              <w:t>“学生修满公共艺术课程 2 个学分方能毕业”</w:t>
            </w:r>
          </w:p>
        </w:tc>
        <w:tc>
          <w:tcPr>
            <w:tcW w:type="dxa" w:w="2801"/>
          </w:tcPr>
          <w:p>
            <w:pPr>
              <w:spacing w:line="240" w:lineRule="auto"/>
            </w:pPr>
            <w:r>
              <w:rPr>
                <w:sz w:val="21"/>
              </w:rPr>
              <w:t>美育课程的刚性</w:t>
            </w:r>
          </w:p>
        </w:tc>
        <w:tc>
          <w:tcPr>
            <w:tcW w:type="dxa" w:w="2801"/>
          </w:tcPr>
          <w:p>
            <w:pPr>
              <w:spacing w:line="240" w:lineRule="auto"/>
            </w:pPr>
            <w:r>
              <w:rPr>
                <w:sz w:val="21"/>
              </w:rPr>
              <w:t>P4 学校美育</w:t>
            </w:r>
          </w:p>
        </w:tc>
      </w:tr>
      <w:tr>
        <w:tc>
          <w:tcPr>
            <w:tcW w:type="dxa" w:w="2801"/>
          </w:tcPr>
          <w:p>
            <w:pPr>
              <w:spacing w:line="240" w:lineRule="auto"/>
              <w:jc w:val="left"/>
            </w:pPr>
            <w:r>
              <w:rPr>
                <w:sz w:val="21"/>
              </w:rPr>
              <w:t>“超常规布局人工智能……急需学科专业”“健全学科专业设置调整机制”</w:t>
            </w:r>
          </w:p>
        </w:tc>
        <w:tc>
          <w:tcPr>
            <w:tcW w:type="dxa" w:w="2801"/>
          </w:tcPr>
          <w:p>
            <w:pPr>
              <w:spacing w:line="240" w:lineRule="auto"/>
            </w:pPr>
            <w:r>
              <w:rPr>
                <w:sz w:val="21"/>
              </w:rPr>
              <w:t>学科布局机制</w:t>
            </w:r>
          </w:p>
        </w:tc>
        <w:tc>
          <w:tcPr>
            <w:tcW w:type="dxa" w:w="2801"/>
          </w:tcPr>
          <w:p>
            <w:pPr>
              <w:spacing w:line="240" w:lineRule="auto"/>
            </w:pPr>
            <w:r>
              <w:rPr>
                <w:sz w:val="21"/>
              </w:rPr>
              <w:t>P5 教科人才一体</w:t>
            </w:r>
          </w:p>
        </w:tc>
      </w:tr>
      <w:tr>
        <w:tc>
          <w:tcPr>
            <w:tcW w:type="dxa" w:w="2801"/>
          </w:tcPr>
          <w:p>
            <w:pPr>
              <w:spacing w:line="240" w:lineRule="auto"/>
              <w:jc w:val="left"/>
            </w:pPr>
            <w:r>
              <w:rPr>
                <w:sz w:val="21"/>
              </w:rPr>
              <w:t>“全面实施‘人工智能＋’行动”</w:t>
            </w:r>
          </w:p>
        </w:tc>
        <w:tc>
          <w:tcPr>
            <w:tcW w:type="dxa" w:w="2801"/>
          </w:tcPr>
          <w:p>
            <w:pPr>
              <w:spacing w:line="240" w:lineRule="auto"/>
            </w:pPr>
            <w:r>
              <w:rPr>
                <w:sz w:val="21"/>
              </w:rPr>
              <w:t>人工智能议程跃升</w:t>
            </w:r>
          </w:p>
        </w:tc>
        <w:tc>
          <w:tcPr>
            <w:tcW w:type="dxa" w:w="2801"/>
          </w:tcPr>
          <w:p>
            <w:pPr>
              <w:spacing w:line="240" w:lineRule="auto"/>
            </w:pPr>
            <w:r>
              <w:rPr>
                <w:sz w:val="21"/>
              </w:rPr>
              <w:t>P6 人工智能优先布局</w:t>
            </w:r>
          </w:p>
        </w:tc>
      </w:tr>
      <w:tr>
        <w:tc>
          <w:tcPr>
            <w:tcW w:type="dxa" w:w="2801"/>
          </w:tcPr>
          <w:p>
            <w:pPr>
              <w:spacing w:line="240" w:lineRule="auto"/>
              <w:jc w:val="left"/>
            </w:pPr>
            <w:r>
              <w:rPr>
                <w:sz w:val="21"/>
              </w:rPr>
              <w:t>2025 年专业目录设计学类下设 15 个专业，其中 7 个为特设或国控</w:t>
            </w:r>
          </w:p>
        </w:tc>
        <w:tc>
          <w:tcPr>
            <w:tcW w:type="dxa" w:w="2801"/>
          </w:tcPr>
          <w:p>
            <w:pPr>
              <w:spacing w:line="240" w:lineRule="auto"/>
            </w:pPr>
            <w:r>
              <w:rPr>
                <w:sz w:val="21"/>
              </w:rPr>
              <w:t>名单式的制度承认</w:t>
            </w:r>
          </w:p>
        </w:tc>
        <w:tc>
          <w:tcPr>
            <w:tcW w:type="dxa" w:w="2801"/>
          </w:tcPr>
          <w:p>
            <w:pPr>
              <w:spacing w:line="240" w:lineRule="auto"/>
            </w:pPr>
            <w:r>
              <w:rPr>
                <w:sz w:val="21"/>
              </w:rPr>
              <w:t>P7 学科专业的制度性承认</w:t>
            </w:r>
          </w:p>
        </w:tc>
      </w:tr>
      <w:tr>
        <w:tc>
          <w:tcPr>
            <w:tcW w:type="dxa" w:w="2801"/>
          </w:tcPr>
          <w:p>
            <w:pPr>
              <w:spacing w:line="240" w:lineRule="auto"/>
              <w:jc w:val="left"/>
            </w:pPr>
            <w:r>
              <w:rPr>
                <w:sz w:val="21"/>
              </w:rPr>
              <w:t>“推动城市建筑更好体现中华美学和时代风尚”</w:t>
            </w:r>
          </w:p>
        </w:tc>
        <w:tc>
          <w:tcPr>
            <w:tcW w:type="dxa" w:w="2801"/>
          </w:tcPr>
          <w:p>
            <w:pPr>
              <w:spacing w:line="240" w:lineRule="auto"/>
            </w:pPr>
            <w:r>
              <w:rPr>
                <w:sz w:val="21"/>
              </w:rPr>
              <w:t>文化美学任务</w:t>
            </w:r>
          </w:p>
        </w:tc>
        <w:tc>
          <w:tcPr>
            <w:tcW w:type="dxa" w:w="2801"/>
          </w:tcPr>
          <w:p>
            <w:pPr>
              <w:spacing w:line="240" w:lineRule="auto"/>
            </w:pPr>
            <w:r>
              <w:rPr>
                <w:sz w:val="21"/>
              </w:rPr>
              <w:t>P8 文化强国与美学</w:t>
            </w:r>
          </w:p>
        </w:tc>
      </w:tr>
      <w:tr>
        <w:tc>
          <w:tcPr>
            <w:tcW w:type="dxa" w:w="2801"/>
          </w:tcPr>
          <w:p>
            <w:pPr>
              <w:spacing w:line="240" w:lineRule="auto"/>
              <w:jc w:val="left"/>
            </w:pPr>
            <w:r>
              <w:rPr>
                <w:sz w:val="21"/>
              </w:rPr>
              <w:t>“鼓励企业提高绿色设计和制造水平，降低产品全生命周期能源资源消耗”</w:t>
            </w:r>
          </w:p>
        </w:tc>
        <w:tc>
          <w:tcPr>
            <w:tcW w:type="dxa" w:w="2801"/>
          </w:tcPr>
          <w:p>
            <w:pPr>
              <w:spacing w:line="240" w:lineRule="auto"/>
            </w:pPr>
            <w:r>
              <w:rPr>
                <w:sz w:val="21"/>
              </w:rPr>
              <w:t>绿色设计任务</w:t>
            </w:r>
          </w:p>
        </w:tc>
        <w:tc>
          <w:tcPr>
            <w:tcW w:type="dxa" w:w="2801"/>
          </w:tcPr>
          <w:p>
            <w:pPr>
              <w:spacing w:line="240" w:lineRule="auto"/>
            </w:pPr>
            <w:r>
              <w:rPr>
                <w:sz w:val="21"/>
              </w:rPr>
              <w:t>P9 绿色转型与绿色设计</w:t>
            </w:r>
          </w:p>
        </w:tc>
      </w:tr>
    </w:tbl>
    <w:p>
      <w:pPr>
        <w:pStyle w:val="a3"/>
      </w:pPr>
      <w:r>
        <w:rPr>
          <w:sz w:val="18"/>
        </w:rPr>
        <w:t>注：本表为开放式编码节选。资料来源：国家与制度文本 9 件。</w:t>
      </w:r>
    </w:p>
    <w:p>
      <w:pPr>
        <w:pStyle w:val="a3"/>
      </w:pPr>
    </w:p>
    <w:p>
      <w:pPr>
        <w:pStyle w:val="a3"/>
        <w:jc w:val="center"/>
      </w:pPr>
      <w:r>
        <w:rPr>
          <w:b/>
          <w:sz w:val="21"/>
        </w:rPr>
        <w:t>表 D2　环境与时代面的开放式编码（节选）</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4369"/>
        <w:gridCol w:w="2016"/>
        <w:gridCol w:w="2016"/>
      </w:tblGrid>
      <w:tr>
        <w:trPr>
          <w:tblHeader w:val="true"/>
        </w:trPr>
        <w:tc>
          <w:tcPr>
            <w:tcW w:type="dxa" w:w="2801"/>
            <w:tcBorders>
              <w:bottom w:val="single" w:sz="6" w:color="auto"/>
            </w:tcBorders>
          </w:tcPr>
          <w:p>
            <w:pPr>
              <w:spacing w:line="240" w:lineRule="auto"/>
              <w:jc w:val="center"/>
            </w:pPr>
            <w:r/>
            <w:r>
              <w:rPr>
                <w:b/>
                <w:sz w:val="21"/>
              </w:rPr>
              <w:t>原始事实或语句</w:t>
            </w:r>
          </w:p>
        </w:tc>
        <w:tc>
          <w:tcPr>
            <w:tcW w:type="dxa" w:w="2801"/>
            <w:tcBorders>
              <w:bottom w:val="single" w:sz="6" w:color="auto"/>
            </w:tcBorders>
          </w:tcPr>
          <w:p>
            <w:pPr>
              <w:spacing w:line="240" w:lineRule="auto"/>
              <w:jc w:val="center"/>
            </w:pPr>
            <w:r/>
            <w:r>
              <w:rPr>
                <w:b/>
                <w:sz w:val="21"/>
              </w:rPr>
              <w:t>概念化</w:t>
            </w:r>
          </w:p>
        </w:tc>
        <w:tc>
          <w:tcPr>
            <w:tcW w:type="dxa" w:w="2801"/>
            <w:tcBorders>
              <w:bottom w:val="single" w:sz="6" w:color="auto"/>
            </w:tcBorders>
          </w:tcPr>
          <w:p>
            <w:pPr>
              <w:spacing w:line="240" w:lineRule="auto"/>
              <w:jc w:val="center"/>
            </w:pPr>
            <w:r/>
            <w:r>
              <w:rPr>
                <w:b/>
                <w:sz w:val="21"/>
              </w:rPr>
              <w:t>范畴</w:t>
            </w:r>
          </w:p>
        </w:tc>
      </w:tr>
      <w:tr>
        <w:tc>
          <w:tcPr>
            <w:tcW w:type="dxa" w:w="2801"/>
          </w:tcPr>
          <w:p>
            <w:pPr>
              <w:spacing w:line="240" w:lineRule="auto"/>
              <w:jc w:val="left"/>
            </w:pPr>
            <w:r>
              <w:rPr>
                <w:sz w:val="21"/>
              </w:rPr>
              <w:t>雇主预期技能稳定率由 2016 年的 35% 变为 2025 年的 39%</w:t>
            </w:r>
          </w:p>
        </w:tc>
        <w:tc>
          <w:tcPr>
            <w:tcW w:type="dxa" w:w="2801"/>
          </w:tcPr>
          <w:p>
            <w:pPr>
              <w:spacing w:line="240" w:lineRule="auto"/>
            </w:pPr>
            <w:r>
              <w:rPr>
                <w:sz w:val="21"/>
              </w:rPr>
              <w:t>技能过时成为常态</w:t>
            </w:r>
          </w:p>
        </w:tc>
        <w:tc>
          <w:tcPr>
            <w:tcW w:type="dxa" w:w="2801"/>
          </w:tcPr>
          <w:p>
            <w:pPr>
              <w:spacing w:line="240" w:lineRule="auto"/>
            </w:pPr>
            <w:r>
              <w:rPr>
                <w:sz w:val="21"/>
              </w:rPr>
              <w:t>T1</w:t>
            </w:r>
          </w:p>
        </w:tc>
      </w:tr>
      <w:tr>
        <w:tc>
          <w:tcPr>
            <w:tcW w:type="dxa" w:w="2801"/>
          </w:tcPr>
          <w:p>
            <w:pPr>
              <w:spacing w:line="240" w:lineRule="auto"/>
              <w:jc w:val="left"/>
            </w:pPr>
            <w:r>
              <w:rPr>
                <w:sz w:val="21"/>
              </w:rPr>
              <w:t>“advanced prompt-writing skills and broader GenAI literacy”</w:t>
            </w:r>
          </w:p>
        </w:tc>
        <w:tc>
          <w:tcPr>
            <w:tcW w:type="dxa" w:w="2801"/>
          </w:tcPr>
          <w:p>
            <w:pPr>
              <w:spacing w:line="240" w:lineRule="auto"/>
            </w:pPr>
            <w:r>
              <w:rPr>
                <w:sz w:val="21"/>
              </w:rPr>
              <w:t>人工智能素养进入主流</w:t>
            </w:r>
          </w:p>
        </w:tc>
        <w:tc>
          <w:tcPr>
            <w:tcW w:type="dxa" w:w="2801"/>
          </w:tcPr>
          <w:p>
            <w:pPr>
              <w:spacing w:line="240" w:lineRule="auto"/>
            </w:pPr>
            <w:r>
              <w:rPr>
                <w:sz w:val="21"/>
              </w:rPr>
              <w:t>T2</w:t>
            </w:r>
          </w:p>
        </w:tc>
      </w:tr>
      <w:tr>
        <w:tc>
          <w:tcPr>
            <w:tcW w:type="dxa" w:w="2801"/>
          </w:tcPr>
          <w:p>
            <w:pPr>
              <w:spacing w:line="240" w:lineRule="auto"/>
              <w:jc w:val="left"/>
            </w:pPr>
            <w:r>
              <w:rPr>
                <w:sz w:val="21"/>
              </w:rPr>
              <w:t>“higher-order critical thinking emerged as the most frequently cited non-automatable skill”</w:t>
            </w:r>
          </w:p>
        </w:tc>
        <w:tc>
          <w:tcPr>
            <w:tcW w:type="dxa" w:w="2801"/>
          </w:tcPr>
          <w:p>
            <w:pPr>
              <w:spacing w:line="240" w:lineRule="auto"/>
            </w:pPr>
            <w:r>
              <w:rPr>
                <w:sz w:val="21"/>
              </w:rPr>
              <w:t>抗自动化的认知</w:t>
            </w:r>
          </w:p>
        </w:tc>
        <w:tc>
          <w:tcPr>
            <w:tcW w:type="dxa" w:w="2801"/>
          </w:tcPr>
          <w:p>
            <w:pPr>
              <w:spacing w:line="240" w:lineRule="auto"/>
            </w:pPr>
            <w:r>
              <w:rPr>
                <w:sz w:val="21"/>
              </w:rPr>
              <w:t>T3</w:t>
            </w:r>
          </w:p>
        </w:tc>
      </w:tr>
      <w:tr>
        <w:tc>
          <w:tcPr>
            <w:tcW w:type="dxa" w:w="2801"/>
          </w:tcPr>
          <w:p>
            <w:pPr>
              <w:spacing w:line="240" w:lineRule="auto"/>
              <w:jc w:val="left"/>
            </w:pPr>
            <w:r>
              <w:rPr>
                <w:sz w:val="21"/>
              </w:rPr>
              <w:t>共情与好奇并列核心技能第 7、8 位，各占 50%</w:t>
            </w:r>
          </w:p>
        </w:tc>
        <w:tc>
          <w:tcPr>
            <w:tcW w:type="dxa" w:w="2801"/>
          </w:tcPr>
          <w:p>
            <w:pPr>
              <w:spacing w:line="240" w:lineRule="auto"/>
            </w:pPr>
            <w:r>
              <w:rPr>
                <w:sz w:val="21"/>
              </w:rPr>
              <w:t>人类专属能力</w:t>
            </w:r>
          </w:p>
        </w:tc>
        <w:tc>
          <w:tcPr>
            <w:tcW w:type="dxa" w:w="2801"/>
          </w:tcPr>
          <w:p>
            <w:pPr>
              <w:spacing w:line="240" w:lineRule="auto"/>
            </w:pPr>
            <w:r>
              <w:rPr>
                <w:sz w:val="21"/>
              </w:rPr>
              <w:t>T4</w:t>
            </w:r>
          </w:p>
        </w:tc>
      </w:tr>
      <w:tr>
        <w:tc>
          <w:tcPr>
            <w:tcW w:type="dxa" w:w="2801"/>
          </w:tcPr>
          <w:p>
            <w:pPr>
              <w:spacing w:line="240" w:lineRule="auto"/>
              <w:jc w:val="left"/>
            </w:pPr>
            <w:r>
              <w:rPr>
                <w:sz w:val="21"/>
              </w:rPr>
              <w:t>climate 词频 3、0、150；环境管理进入净增榜第 10 位</w:t>
            </w:r>
          </w:p>
        </w:tc>
        <w:tc>
          <w:tcPr>
            <w:tcW w:type="dxa" w:w="2801"/>
          </w:tcPr>
          <w:p>
            <w:pPr>
              <w:spacing w:line="240" w:lineRule="auto"/>
            </w:pPr>
            <w:r>
              <w:rPr>
                <w:sz w:val="21"/>
              </w:rPr>
              <w:t>绿色议程爆发</w:t>
            </w:r>
          </w:p>
        </w:tc>
        <w:tc>
          <w:tcPr>
            <w:tcW w:type="dxa" w:w="2801"/>
          </w:tcPr>
          <w:p>
            <w:pPr>
              <w:spacing w:line="240" w:lineRule="auto"/>
            </w:pPr>
            <w:r>
              <w:rPr>
                <w:sz w:val="21"/>
              </w:rPr>
              <w:t>T5</w:t>
            </w:r>
          </w:p>
        </w:tc>
      </w:tr>
      <w:tr>
        <w:tc>
          <w:tcPr>
            <w:tcW w:type="dxa" w:w="2801"/>
          </w:tcPr>
          <w:p>
            <w:pPr>
              <w:spacing w:line="240" w:lineRule="auto"/>
              <w:jc w:val="left"/>
            </w:pPr>
            <w:r>
              <w:rPr>
                <w:sz w:val="21"/>
              </w:rPr>
              <w:t>aging 词频 4、0、126；照护与教育岗位此消彼长</w:t>
            </w:r>
          </w:p>
        </w:tc>
        <w:tc>
          <w:tcPr>
            <w:tcW w:type="dxa" w:w="2801"/>
          </w:tcPr>
          <w:p>
            <w:pPr>
              <w:spacing w:line="240" w:lineRule="auto"/>
            </w:pPr>
            <w:r>
              <w:rPr>
                <w:sz w:val="21"/>
              </w:rPr>
              <w:t>人口的双分化</w:t>
            </w:r>
          </w:p>
        </w:tc>
        <w:tc>
          <w:tcPr>
            <w:tcW w:type="dxa" w:w="2801"/>
          </w:tcPr>
          <w:p>
            <w:pPr>
              <w:spacing w:line="240" w:lineRule="auto"/>
            </w:pPr>
            <w:r>
              <w:rPr>
                <w:sz w:val="21"/>
              </w:rPr>
              <w:t>T6</w:t>
            </w:r>
          </w:p>
        </w:tc>
      </w:tr>
      <w:tr>
        <w:tc>
          <w:tcPr>
            <w:tcW w:type="dxa" w:w="2801"/>
          </w:tcPr>
          <w:p>
            <w:pPr>
              <w:spacing w:line="240" w:lineRule="auto"/>
              <w:jc w:val="left"/>
            </w:pPr>
            <w:r>
              <w:rPr>
                <w:sz w:val="21"/>
              </w:rPr>
              <w:t>upskill 词频由 33 次、207 次升至 700 次</w:t>
            </w:r>
          </w:p>
        </w:tc>
        <w:tc>
          <w:tcPr>
            <w:tcW w:type="dxa" w:w="2801"/>
          </w:tcPr>
          <w:p>
            <w:pPr>
              <w:spacing w:line="240" w:lineRule="auto"/>
            </w:pPr>
            <w:r>
              <w:rPr>
                <w:sz w:val="21"/>
              </w:rPr>
              <w:t>学习制度化且不均</w:t>
            </w:r>
          </w:p>
        </w:tc>
        <w:tc>
          <w:tcPr>
            <w:tcW w:type="dxa" w:w="2801"/>
          </w:tcPr>
          <w:p>
            <w:pPr>
              <w:spacing w:line="240" w:lineRule="auto"/>
            </w:pPr>
            <w:r>
              <w:rPr>
                <w:sz w:val="21"/>
              </w:rPr>
              <w:t>T7</w:t>
            </w:r>
          </w:p>
        </w:tc>
      </w:tr>
      <w:tr>
        <w:tc>
          <w:tcPr>
            <w:tcW w:type="dxa" w:w="2801"/>
          </w:tcPr>
          <w:p>
            <w:pPr>
              <w:spacing w:line="240" w:lineRule="auto"/>
              <w:jc w:val="left"/>
            </w:pPr>
            <w:r>
              <w:rPr>
                <w:sz w:val="21"/>
              </w:rPr>
              <w:t>“reskilling fatigue is not a personal, but rather a systemic result”</w:t>
            </w:r>
          </w:p>
        </w:tc>
        <w:tc>
          <w:tcPr>
            <w:tcW w:type="dxa" w:w="2801"/>
          </w:tcPr>
          <w:p>
            <w:pPr>
              <w:spacing w:line="240" w:lineRule="auto"/>
            </w:pPr>
            <w:r>
              <w:rPr>
                <w:sz w:val="21"/>
              </w:rPr>
              <w:t>再培训的系统性成本</w:t>
            </w:r>
          </w:p>
        </w:tc>
        <w:tc>
          <w:tcPr>
            <w:tcW w:type="dxa" w:w="2801"/>
          </w:tcPr>
          <w:p>
            <w:pPr>
              <w:spacing w:line="240" w:lineRule="auto"/>
            </w:pPr>
            <w:r>
              <w:rPr>
                <w:sz w:val="21"/>
              </w:rPr>
              <w:t>T8</w:t>
            </w:r>
          </w:p>
        </w:tc>
      </w:tr>
      <w:tr>
        <w:tc>
          <w:tcPr>
            <w:tcW w:type="dxa" w:w="2801"/>
          </w:tcPr>
          <w:p>
            <w:pPr>
              <w:spacing w:line="240" w:lineRule="auto"/>
              <w:jc w:val="left"/>
            </w:pPr>
            <w:r>
              <w:rPr>
                <w:sz w:val="21"/>
              </w:rPr>
              <w:t>教育者工作坊：“两年后学生可能‘作弊’着读完高中来上学”</w:t>
            </w:r>
          </w:p>
        </w:tc>
        <w:tc>
          <w:tcPr>
            <w:tcW w:type="dxa" w:w="2801"/>
          </w:tcPr>
          <w:p>
            <w:pPr>
              <w:spacing w:line="240" w:lineRule="auto"/>
            </w:pPr>
            <w:r>
              <w:rPr>
                <w:sz w:val="21"/>
              </w:rPr>
              <w:t>教育系统的内部张力</w:t>
            </w:r>
          </w:p>
        </w:tc>
        <w:tc>
          <w:tcPr>
            <w:tcW w:type="dxa" w:w="2801"/>
          </w:tcPr>
          <w:p>
            <w:pPr>
              <w:spacing w:line="240" w:lineRule="auto"/>
            </w:pPr>
            <w:r>
              <w:rPr>
                <w:sz w:val="21"/>
              </w:rPr>
              <w:t>T9</w:t>
            </w:r>
          </w:p>
        </w:tc>
      </w:tr>
      <w:tr>
        <w:tc>
          <w:tcPr>
            <w:tcW w:type="dxa" w:w="2801"/>
          </w:tcPr>
          <w:p>
            <w:pPr>
              <w:spacing w:line="240" w:lineRule="auto"/>
              <w:jc w:val="left"/>
            </w:pPr>
            <w:r>
              <w:rPr>
                <w:sz w:val="21"/>
              </w:rPr>
              <w:t>“From maker to curator… think, judge, and curate”</w:t>
            </w:r>
          </w:p>
        </w:tc>
        <w:tc>
          <w:tcPr>
            <w:tcW w:type="dxa" w:w="2801"/>
          </w:tcPr>
          <w:p>
            <w:pPr>
              <w:spacing w:line="240" w:lineRule="auto"/>
            </w:pPr>
            <w:r>
              <w:rPr>
                <w:sz w:val="21"/>
              </w:rPr>
              <w:t>设计角色的重定位</w:t>
            </w:r>
          </w:p>
        </w:tc>
        <w:tc>
          <w:tcPr>
            <w:tcW w:type="dxa" w:w="2801"/>
          </w:tcPr>
          <w:p>
            <w:pPr>
              <w:spacing w:line="240" w:lineRule="auto"/>
            </w:pPr>
            <w:r>
              <w:rPr>
                <w:sz w:val="21"/>
              </w:rPr>
              <w:t>T10</w:t>
            </w:r>
          </w:p>
        </w:tc>
      </w:tr>
    </w:tbl>
    <w:p>
      <w:pPr>
        <w:pStyle w:val="a3"/>
      </w:pPr>
      <w:r>
        <w:rPr>
          <w:sz w:val="18"/>
        </w:rPr>
        <w:t>注：本表为开放式编码节选；词频以报告全文为分母，出自词边界扫描。资料来源：世界经济论坛《未来的工作》三期报告及趋势文献。</w:t>
      </w:r>
    </w:p>
    <w:p>
      <w:pPr>
        <w:pStyle w:val="a3"/>
      </w:pPr>
    </w:p>
    <w:p>
      <w:pPr>
        <w:pStyle w:val="a3"/>
        <w:jc w:val="center"/>
      </w:pPr>
      <w:r>
        <w:rPr>
          <w:b/>
          <w:sz w:val="21"/>
        </w:rPr>
        <w:t>表 D3　教育供给面的开放式编码（节选）</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4201"/>
        <w:gridCol w:w="2016"/>
        <w:gridCol w:w="2185"/>
      </w:tblGrid>
      <w:tr>
        <w:trPr>
          <w:tblHeader w:val="true"/>
        </w:trPr>
        <w:tc>
          <w:tcPr>
            <w:tcW w:type="dxa" w:w="2801"/>
            <w:tcBorders>
              <w:bottom w:val="single" w:sz="6" w:color="auto"/>
            </w:tcBorders>
          </w:tcPr>
          <w:p>
            <w:pPr>
              <w:spacing w:line="240" w:lineRule="auto"/>
              <w:jc w:val="center"/>
            </w:pPr>
            <w:r/>
            <w:r>
              <w:rPr>
                <w:b/>
                <w:sz w:val="21"/>
              </w:rPr>
              <w:t>课程名称（照录）</w:t>
            </w:r>
          </w:p>
        </w:tc>
        <w:tc>
          <w:tcPr>
            <w:tcW w:type="dxa" w:w="2801"/>
            <w:tcBorders>
              <w:bottom w:val="single" w:sz="6" w:color="auto"/>
            </w:tcBorders>
          </w:tcPr>
          <w:p>
            <w:pPr>
              <w:spacing w:line="240" w:lineRule="auto"/>
              <w:jc w:val="center"/>
            </w:pPr>
            <w:r/>
            <w:r>
              <w:rPr>
                <w:b/>
                <w:sz w:val="21"/>
              </w:rPr>
              <w:t>概念化</w:t>
            </w:r>
          </w:p>
        </w:tc>
        <w:tc>
          <w:tcPr>
            <w:tcW w:type="dxa" w:w="2801"/>
            <w:tcBorders>
              <w:bottom w:val="single" w:sz="6" w:color="auto"/>
            </w:tcBorders>
          </w:tcPr>
          <w:p>
            <w:pPr>
              <w:spacing w:line="240" w:lineRule="auto"/>
              <w:jc w:val="center"/>
            </w:pPr>
            <w:r/>
            <w:r>
              <w:rPr>
                <w:b/>
                <w:sz w:val="21"/>
              </w:rPr>
              <w:t>范畴</w:t>
            </w:r>
          </w:p>
        </w:tc>
      </w:tr>
      <w:tr>
        <w:tc>
          <w:tcPr>
            <w:tcW w:type="dxa" w:w="2801"/>
          </w:tcPr>
          <w:p>
            <w:pPr>
              <w:spacing w:line="240" w:lineRule="auto"/>
              <w:jc w:val="left"/>
            </w:pPr>
            <w:r>
              <w:rPr>
                <w:sz w:val="21"/>
              </w:rPr>
              <w:t>“智能设计导论”“AI 艺术：理论与应用视角”“情感化智能体设计”（同济大学）</w:t>
            </w:r>
          </w:p>
        </w:tc>
        <w:tc>
          <w:tcPr>
            <w:tcW w:type="dxa" w:w="2801"/>
          </w:tcPr>
          <w:p>
            <w:pPr>
              <w:spacing w:line="240" w:lineRule="auto"/>
            </w:pPr>
            <w:r>
              <w:rPr>
                <w:sz w:val="21"/>
              </w:rPr>
              <w:t>人工智能与智能技术课群</w:t>
            </w:r>
          </w:p>
        </w:tc>
        <w:tc>
          <w:tcPr>
            <w:tcW w:type="dxa" w:w="2801"/>
          </w:tcPr>
          <w:p>
            <w:pPr>
              <w:spacing w:line="240" w:lineRule="auto"/>
            </w:pPr>
            <w:r>
              <w:rPr>
                <w:sz w:val="21"/>
              </w:rPr>
              <w:t>智能与技术类</w:t>
            </w:r>
          </w:p>
        </w:tc>
      </w:tr>
      <w:tr>
        <w:tc>
          <w:tcPr>
            <w:tcW w:type="dxa" w:w="2801"/>
          </w:tcPr>
          <w:p>
            <w:pPr>
              <w:spacing w:line="240" w:lineRule="auto"/>
              <w:jc w:val="left"/>
            </w:pPr>
            <w:r>
              <w:rPr>
                <w:sz w:val="21"/>
              </w:rPr>
              <w:t>“定量设计研究方法”“学术规范与论文写作”</w:t>
            </w:r>
          </w:p>
        </w:tc>
        <w:tc>
          <w:tcPr>
            <w:tcW w:type="dxa" w:w="2801"/>
          </w:tcPr>
          <w:p>
            <w:pPr>
              <w:spacing w:line="240" w:lineRule="auto"/>
            </w:pPr>
            <w:r>
              <w:rPr>
                <w:sz w:val="21"/>
              </w:rPr>
              <w:t>研究与方法训练</w:t>
            </w:r>
          </w:p>
        </w:tc>
        <w:tc>
          <w:tcPr>
            <w:tcW w:type="dxa" w:w="2801"/>
          </w:tcPr>
          <w:p>
            <w:pPr>
              <w:spacing w:line="240" w:lineRule="auto"/>
            </w:pPr>
            <w:r>
              <w:rPr>
                <w:sz w:val="21"/>
              </w:rPr>
              <w:t>方法与流程类</w:t>
            </w:r>
          </w:p>
        </w:tc>
      </w:tr>
      <w:tr>
        <w:tc>
          <w:tcPr>
            <w:tcW w:type="dxa" w:w="2801"/>
          </w:tcPr>
          <w:p>
            <w:pPr>
              <w:spacing w:line="240" w:lineRule="auto"/>
              <w:jc w:val="left"/>
            </w:pPr>
            <w:r>
              <w:rPr>
                <w:sz w:val="21"/>
              </w:rPr>
              <w:t>“设计系统学”（浙江大学 2014 级）、“未来与设计思辨”</w:t>
            </w:r>
          </w:p>
        </w:tc>
        <w:tc>
          <w:tcPr>
            <w:tcW w:type="dxa" w:w="2801"/>
          </w:tcPr>
          <w:p>
            <w:pPr>
              <w:spacing w:line="240" w:lineRule="auto"/>
            </w:pPr>
            <w:r>
              <w:rPr>
                <w:sz w:val="21"/>
              </w:rPr>
              <w:t>理论与批判</w:t>
            </w:r>
          </w:p>
        </w:tc>
        <w:tc>
          <w:tcPr>
            <w:tcW w:type="dxa" w:w="2801"/>
          </w:tcPr>
          <w:p>
            <w:pPr>
              <w:spacing w:line="240" w:lineRule="auto"/>
            </w:pPr>
            <w:r>
              <w:rPr>
                <w:sz w:val="21"/>
              </w:rPr>
              <w:t>理论与史论类</w:t>
            </w:r>
          </w:p>
        </w:tc>
      </w:tr>
      <w:tr>
        <w:tc>
          <w:tcPr>
            <w:tcW w:type="dxa" w:w="2801"/>
          </w:tcPr>
          <w:p>
            <w:pPr>
              <w:spacing w:line="240" w:lineRule="auto"/>
              <w:jc w:val="left"/>
            </w:pPr>
            <w:r>
              <w:rPr>
                <w:sz w:val="21"/>
              </w:rPr>
              <w:t>“综合项目实践”（企业实际项目、导师课题、实验性研究项目）</w:t>
            </w:r>
          </w:p>
        </w:tc>
        <w:tc>
          <w:tcPr>
            <w:tcW w:type="dxa" w:w="2801"/>
          </w:tcPr>
          <w:p>
            <w:pPr>
              <w:spacing w:line="240" w:lineRule="auto"/>
            </w:pPr>
            <w:r>
              <w:rPr>
                <w:sz w:val="21"/>
              </w:rPr>
              <w:t>真实项目载体</w:t>
            </w:r>
          </w:p>
        </w:tc>
        <w:tc>
          <w:tcPr>
            <w:tcW w:type="dxa" w:w="2801"/>
          </w:tcPr>
          <w:p>
            <w:pPr>
              <w:spacing w:line="240" w:lineRule="auto"/>
            </w:pPr>
            <w:r>
              <w:rPr>
                <w:sz w:val="21"/>
              </w:rPr>
              <w:t>实践与项目类</w:t>
            </w:r>
          </w:p>
        </w:tc>
      </w:tr>
      <w:tr>
        <w:tc>
          <w:tcPr>
            <w:tcW w:type="dxa" w:w="2801"/>
          </w:tcPr>
          <w:p>
            <w:pPr>
              <w:spacing w:line="240" w:lineRule="auto"/>
              <w:jc w:val="left"/>
            </w:pPr>
            <w:r>
              <w:rPr>
                <w:sz w:val="21"/>
              </w:rPr>
              <w:t>“可持续设计方法”“智慧健康与包容性设计”</w:t>
            </w:r>
          </w:p>
        </w:tc>
        <w:tc>
          <w:tcPr>
            <w:tcW w:type="dxa" w:w="2801"/>
          </w:tcPr>
          <w:p>
            <w:pPr>
              <w:spacing w:line="240" w:lineRule="auto"/>
            </w:pPr>
            <w:r>
              <w:rPr>
                <w:sz w:val="21"/>
              </w:rPr>
              <w:t>社会议题课程</w:t>
            </w:r>
          </w:p>
        </w:tc>
        <w:tc>
          <w:tcPr>
            <w:tcW w:type="dxa" w:w="2801"/>
          </w:tcPr>
          <w:p>
            <w:pPr>
              <w:spacing w:line="240" w:lineRule="auto"/>
            </w:pPr>
            <w:r>
              <w:rPr>
                <w:sz w:val="21"/>
              </w:rPr>
              <w:t>人文与社会类</w:t>
            </w:r>
          </w:p>
        </w:tc>
      </w:tr>
      <w:tr>
        <w:tc>
          <w:tcPr>
            <w:tcW w:type="dxa" w:w="2801"/>
          </w:tcPr>
          <w:p>
            <w:pPr>
              <w:spacing w:line="240" w:lineRule="auto"/>
              <w:jc w:val="left"/>
            </w:pPr>
            <w:r>
              <w:rPr>
                <w:sz w:val="21"/>
              </w:rPr>
              <w:t>“设计标准与知识产权”“科技创业管理”</w:t>
            </w:r>
          </w:p>
        </w:tc>
        <w:tc>
          <w:tcPr>
            <w:tcW w:type="dxa" w:w="2801"/>
          </w:tcPr>
          <w:p>
            <w:pPr>
              <w:spacing w:line="240" w:lineRule="auto"/>
            </w:pPr>
            <w:r>
              <w:rPr>
                <w:sz w:val="21"/>
              </w:rPr>
              <w:t>商业与制度</w:t>
            </w:r>
          </w:p>
        </w:tc>
        <w:tc>
          <w:tcPr>
            <w:tcW w:type="dxa" w:w="2801"/>
          </w:tcPr>
          <w:p>
            <w:pPr>
              <w:spacing w:line="240" w:lineRule="auto"/>
            </w:pPr>
            <w:r>
              <w:rPr>
                <w:sz w:val="21"/>
              </w:rPr>
              <w:t>管理与商业类</w:t>
            </w:r>
          </w:p>
        </w:tc>
      </w:tr>
      <w:tr>
        <w:tc>
          <w:tcPr>
            <w:tcW w:type="dxa" w:w="2801"/>
          </w:tcPr>
          <w:p>
            <w:pPr>
              <w:spacing w:line="240" w:lineRule="auto"/>
              <w:jc w:val="left"/>
            </w:pPr>
            <w:r>
              <w:rPr>
                <w:sz w:val="21"/>
              </w:rPr>
              <w:t>陶瓷、纤维、金属工艺类课程名称</w:t>
            </w:r>
          </w:p>
        </w:tc>
        <w:tc>
          <w:tcPr>
            <w:tcW w:type="dxa" w:w="2801"/>
          </w:tcPr>
          <w:p>
            <w:pPr>
              <w:spacing w:line="240" w:lineRule="auto"/>
            </w:pPr>
            <w:r>
              <w:rPr>
                <w:sz w:val="21"/>
              </w:rPr>
              <w:t>手艺与材料</w:t>
            </w:r>
          </w:p>
        </w:tc>
        <w:tc>
          <w:tcPr>
            <w:tcW w:type="dxa" w:w="2801"/>
          </w:tcPr>
          <w:p>
            <w:pPr>
              <w:spacing w:line="240" w:lineRule="auto"/>
            </w:pPr>
            <w:r>
              <w:rPr>
                <w:sz w:val="21"/>
              </w:rPr>
              <w:t>技法与媒介类</w:t>
            </w:r>
          </w:p>
        </w:tc>
      </w:tr>
      <w:tr>
        <w:tc>
          <w:tcPr>
            <w:tcW w:type="dxa" w:w="2801"/>
          </w:tcPr>
          <w:p>
            <w:pPr>
              <w:spacing w:line="240" w:lineRule="auto"/>
              <w:jc w:val="left"/>
            </w:pPr>
            <w:r>
              <w:rPr>
                <w:sz w:val="21"/>
              </w:rPr>
              <w:t>“研究生英语”“汉语”</w:t>
            </w:r>
          </w:p>
        </w:tc>
        <w:tc>
          <w:tcPr>
            <w:tcW w:type="dxa" w:w="2801"/>
          </w:tcPr>
          <w:p>
            <w:pPr>
              <w:spacing w:line="240" w:lineRule="auto"/>
            </w:pPr>
            <w:r>
              <w:rPr>
                <w:sz w:val="21"/>
              </w:rPr>
              <w:t>非专业支撑</w:t>
            </w:r>
          </w:p>
        </w:tc>
        <w:tc>
          <w:tcPr>
            <w:tcW w:type="dxa" w:w="2801"/>
          </w:tcPr>
          <w:p>
            <w:pPr>
              <w:spacing w:line="240" w:lineRule="auto"/>
            </w:pPr>
            <w:r>
              <w:rPr>
                <w:sz w:val="21"/>
              </w:rPr>
              <w:t>公共必修与语言类</w:t>
            </w:r>
          </w:p>
        </w:tc>
      </w:tr>
    </w:tbl>
    <w:p>
      <w:pPr>
        <w:pStyle w:val="a3"/>
      </w:pPr>
      <w:r>
        <w:rPr>
          <w:sz w:val="18"/>
        </w:rPr>
        <w:t>注：本表为开放式编码节选；观测单位为课程名称，不含教学大纲与教学内容。资料来源：16 所院校培养方案。</w:t>
      </w:r>
    </w:p>
    <w:p>
      <w:pPr>
        <w:pStyle w:val="a3"/>
      </w:pPr>
    </w:p>
    <w:p>
      <w:pPr>
        <w:pStyle w:val="a3"/>
        <w:jc w:val="center"/>
      </w:pPr>
      <w:r>
        <w:rPr>
          <w:b/>
          <w:sz w:val="21"/>
        </w:rPr>
        <w:t>表 D4　五面编码的语料性质、编码方式与核心范畴</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176"/>
        <w:gridCol w:w="2185"/>
        <w:gridCol w:w="2521"/>
        <w:gridCol w:w="2521"/>
      </w:tblGrid>
      <w:tr>
        <w:trPr>
          <w:tblHeader w:val="true"/>
        </w:trPr>
        <w:tc>
          <w:tcPr>
            <w:tcW w:type="dxa" w:w="2100"/>
            <w:tcBorders>
              <w:bottom w:val="single" w:sz="6" w:color="auto"/>
            </w:tcBorders>
          </w:tcPr>
          <w:p>
            <w:pPr>
              <w:spacing w:line="240" w:lineRule="auto"/>
              <w:jc w:val="center"/>
            </w:pPr>
            <w:r/>
            <w:r>
              <w:rPr>
                <w:b/>
                <w:sz w:val="21"/>
              </w:rPr>
              <w:t>面</w:t>
            </w:r>
          </w:p>
        </w:tc>
        <w:tc>
          <w:tcPr>
            <w:tcW w:type="dxa" w:w="2100"/>
            <w:tcBorders>
              <w:bottom w:val="single" w:sz="6" w:color="auto"/>
            </w:tcBorders>
          </w:tcPr>
          <w:p>
            <w:pPr>
              <w:spacing w:line="240" w:lineRule="auto"/>
              <w:jc w:val="center"/>
            </w:pPr>
            <w:r/>
            <w:r>
              <w:rPr>
                <w:b/>
                <w:sz w:val="21"/>
              </w:rPr>
              <w:t>语料性质</w:t>
            </w:r>
          </w:p>
        </w:tc>
        <w:tc>
          <w:tcPr>
            <w:tcW w:type="dxa" w:w="2100"/>
            <w:tcBorders>
              <w:bottom w:val="single" w:sz="6" w:color="auto"/>
            </w:tcBorders>
          </w:tcPr>
          <w:p>
            <w:pPr>
              <w:spacing w:line="240" w:lineRule="auto"/>
              <w:jc w:val="center"/>
            </w:pPr>
            <w:r/>
            <w:r>
              <w:rPr>
                <w:b/>
                <w:sz w:val="21"/>
              </w:rPr>
              <w:t>编码方式</w:t>
            </w:r>
          </w:p>
        </w:tc>
        <w:tc>
          <w:tcPr>
            <w:tcW w:type="dxa" w:w="2100"/>
            <w:tcBorders>
              <w:bottom w:val="single" w:sz="6" w:color="auto"/>
            </w:tcBorders>
          </w:tcPr>
          <w:p>
            <w:pPr>
              <w:spacing w:line="240" w:lineRule="auto"/>
              <w:jc w:val="center"/>
            </w:pPr>
            <w:r/>
            <w:r>
              <w:rPr>
                <w:b/>
                <w:sz w:val="21"/>
              </w:rPr>
              <w:t>选择编码所得核心范畴</w:t>
            </w:r>
          </w:p>
        </w:tc>
      </w:tr>
      <w:tr>
        <w:tc>
          <w:tcPr>
            <w:tcW w:type="dxa" w:w="2100"/>
          </w:tcPr>
          <w:p>
            <w:pPr>
              <w:spacing w:line="240" w:lineRule="auto"/>
              <w:jc w:val="left"/>
            </w:pPr>
            <w:r>
              <w:rPr>
                <w:sz w:val="21"/>
              </w:rPr>
              <w:t>市场与雇主面</w:t>
            </w:r>
          </w:p>
        </w:tc>
        <w:tc>
          <w:tcPr>
            <w:tcW w:type="dxa" w:w="2100"/>
          </w:tcPr>
          <w:p>
            <w:pPr>
              <w:spacing w:line="240" w:lineRule="auto"/>
            </w:pPr>
            <w:r>
              <w:rPr>
                <w:sz w:val="21"/>
              </w:rPr>
              <w:t>句子级能力要求，属雇主筛选信号</w:t>
            </w:r>
          </w:p>
        </w:tc>
        <w:tc>
          <w:tcPr>
            <w:tcW w:type="dxa" w:w="2100"/>
          </w:tcPr>
          <w:p>
            <w:pPr>
              <w:spacing w:line="240" w:lineRule="auto"/>
            </w:pPr>
            <w:r>
              <w:rPr>
                <w:sz w:val="21"/>
              </w:rPr>
              <w:t>定向内容分析；双模型独立编码与人工复核</w:t>
            </w:r>
          </w:p>
        </w:tc>
        <w:tc>
          <w:tcPr>
            <w:tcW w:type="dxa" w:w="2100"/>
          </w:tcPr>
          <w:p>
            <w:pPr>
              <w:spacing w:line="240" w:lineRule="auto"/>
            </w:pPr>
            <w:r>
              <w:rPr>
                <w:sz w:val="21"/>
              </w:rPr>
              <w:t>跨岗位的动作能力</w:t>
            </w:r>
          </w:p>
        </w:tc>
      </w:tr>
      <w:tr>
        <w:tc>
          <w:tcPr>
            <w:tcW w:type="dxa" w:w="2100"/>
          </w:tcPr>
          <w:p>
            <w:pPr>
              <w:spacing w:line="240" w:lineRule="auto"/>
              <w:jc w:val="left"/>
            </w:pPr>
            <w:r>
              <w:rPr>
                <w:sz w:val="21"/>
              </w:rPr>
              <w:t>国家与制度面</w:t>
            </w:r>
          </w:p>
        </w:tc>
        <w:tc>
          <w:tcPr>
            <w:tcW w:type="dxa" w:w="2100"/>
          </w:tcPr>
          <w:p>
            <w:pPr>
              <w:spacing w:line="240" w:lineRule="auto"/>
            </w:pPr>
            <w:r>
              <w:rPr>
                <w:sz w:val="21"/>
              </w:rPr>
              <w:t>以国家与产业为主语的任务型话语</w:t>
            </w:r>
          </w:p>
        </w:tc>
        <w:tc>
          <w:tcPr>
            <w:tcW w:type="dxa" w:w="2100"/>
          </w:tcPr>
          <w:p>
            <w:pPr>
              <w:spacing w:line="240" w:lineRule="auto"/>
            </w:pPr>
            <w:r>
              <w:rPr>
                <w:sz w:val="21"/>
              </w:rPr>
              <w:t>主题归纳；保持主语警觉；词频双口径</w:t>
            </w:r>
          </w:p>
        </w:tc>
        <w:tc>
          <w:tcPr>
            <w:tcW w:type="dxa" w:w="2100"/>
          </w:tcPr>
          <w:p>
            <w:pPr>
              <w:spacing w:line="240" w:lineRule="auto"/>
            </w:pPr>
            <w:r>
              <w:rPr>
                <w:sz w:val="21"/>
              </w:rPr>
              <w:t>任务型而非能力型话语</w:t>
            </w:r>
          </w:p>
        </w:tc>
      </w:tr>
      <w:tr>
        <w:tc>
          <w:tcPr>
            <w:tcW w:type="dxa" w:w="2100"/>
          </w:tcPr>
          <w:p>
            <w:pPr>
              <w:spacing w:line="240" w:lineRule="auto"/>
              <w:jc w:val="left"/>
            </w:pPr>
            <w:r>
              <w:rPr>
                <w:sz w:val="21"/>
              </w:rPr>
              <w:t>环境与时代面</w:t>
            </w:r>
          </w:p>
        </w:tc>
        <w:tc>
          <w:tcPr>
            <w:tcW w:type="dxa" w:w="2100"/>
          </w:tcPr>
          <w:p>
            <w:pPr>
              <w:spacing w:line="240" w:lineRule="auto"/>
            </w:pPr>
            <w:r>
              <w:rPr>
                <w:sz w:val="21"/>
              </w:rPr>
              <w:t>预测性调查与综述</w:t>
            </w:r>
          </w:p>
        </w:tc>
        <w:tc>
          <w:tcPr>
            <w:tcW w:type="dxa" w:w="2100"/>
          </w:tcPr>
          <w:p>
            <w:pPr>
              <w:spacing w:line="240" w:lineRule="auto"/>
            </w:pPr>
            <w:r>
              <w:rPr>
                <w:sz w:val="21"/>
              </w:rPr>
              <w:t>词边界扫描；图表数值逐项核对</w:t>
            </w:r>
          </w:p>
        </w:tc>
        <w:tc>
          <w:tcPr>
            <w:tcW w:type="dxa" w:w="2100"/>
          </w:tcPr>
          <w:p>
            <w:pPr>
              <w:spacing w:line="240" w:lineRule="auto"/>
            </w:pPr>
            <w:r>
              <w:rPr>
                <w:sz w:val="21"/>
              </w:rPr>
              <w:t>能力主张由制作转向判断与策展</w:t>
            </w:r>
          </w:p>
        </w:tc>
      </w:tr>
      <w:tr>
        <w:tc>
          <w:tcPr>
            <w:tcW w:type="dxa" w:w="2100"/>
          </w:tcPr>
          <w:p>
            <w:pPr>
              <w:spacing w:line="240" w:lineRule="auto"/>
              <w:jc w:val="left"/>
            </w:pPr>
            <w:r>
              <w:rPr>
                <w:sz w:val="21"/>
              </w:rPr>
              <w:t>教育供给面</w:t>
            </w:r>
          </w:p>
        </w:tc>
        <w:tc>
          <w:tcPr>
            <w:tcW w:type="dxa" w:w="2100"/>
          </w:tcPr>
          <w:p>
            <w:pPr>
              <w:spacing w:line="240" w:lineRule="auto"/>
            </w:pPr>
            <w:r>
              <w:rPr>
                <w:sz w:val="21"/>
              </w:rPr>
              <w:t>课程名称，属机构行为痕迹</w:t>
            </w:r>
          </w:p>
        </w:tc>
        <w:tc>
          <w:tcPr>
            <w:tcW w:type="dxa" w:w="2100"/>
          </w:tcPr>
          <w:p>
            <w:pPr>
              <w:spacing w:line="240" w:lineRule="auto"/>
            </w:pPr>
            <w:r>
              <w:rPr>
                <w:sz w:val="21"/>
              </w:rPr>
              <w:t>规则先行的机械归类；跨校对照与时间差集</w:t>
            </w:r>
          </w:p>
        </w:tc>
        <w:tc>
          <w:tcPr>
            <w:tcW w:type="dxa" w:w="2100"/>
          </w:tcPr>
          <w:p>
            <w:pPr>
              <w:spacing w:line="240" w:lineRule="auto"/>
            </w:pPr>
            <w:r>
              <w:rPr>
                <w:sz w:val="21"/>
              </w:rPr>
              <w:t>补课名式响应</w:t>
            </w:r>
          </w:p>
        </w:tc>
      </w:tr>
      <w:tr>
        <w:tc>
          <w:tcPr>
            <w:tcW w:type="dxa" w:w="2100"/>
          </w:tcPr>
          <w:p>
            <w:pPr>
              <w:spacing w:line="240" w:lineRule="auto"/>
              <w:jc w:val="left"/>
            </w:pPr>
            <w:r>
              <w:rPr>
                <w:sz w:val="21"/>
              </w:rPr>
              <w:t>出口路径面</w:t>
            </w:r>
          </w:p>
        </w:tc>
        <w:tc>
          <w:tcPr>
            <w:tcW w:type="dxa" w:w="2100"/>
          </w:tcPr>
          <w:p>
            <w:pPr>
              <w:spacing w:line="240" w:lineRule="auto"/>
            </w:pPr>
            <w:r>
              <w:rPr>
                <w:sz w:val="21"/>
              </w:rPr>
              <w:t>结构化门槛数据</w:t>
            </w:r>
          </w:p>
        </w:tc>
        <w:tc>
          <w:tcPr>
            <w:tcW w:type="dxa" w:w="2100"/>
          </w:tcPr>
          <w:p>
            <w:pPr>
              <w:spacing w:line="240" w:lineRule="auto"/>
            </w:pPr>
            <w:r>
              <w:rPr>
                <w:sz w:val="21"/>
              </w:rPr>
              <w:t>按门槛形态互斥分类</w:t>
            </w:r>
          </w:p>
        </w:tc>
        <w:tc>
          <w:tcPr>
            <w:tcW w:type="dxa" w:w="2100"/>
          </w:tcPr>
          <w:p>
            <w:pPr>
              <w:spacing w:line="240" w:lineRule="auto"/>
            </w:pPr>
            <w:r>
              <w:rPr>
                <w:sz w:val="21"/>
              </w:rPr>
              <w:t>对设计专业不设限、对研究生反向设限</w:t>
            </w:r>
          </w:p>
        </w:tc>
      </w:tr>
    </w:tbl>
    <w:p>
      <w:pPr>
        <w:pStyle w:val="a3"/>
      </w:pPr>
      <w:r>
        <w:rPr>
          <w:sz w:val="18"/>
        </w:rPr>
        <w:t>注：五面各自独立编码、互不套用。资料来源：本研究五面编码记录。</w:t>
      </w:r>
    </w:p>
    <w:p>
      <w:pPr>
        <w:pStyle w:val="a3"/>
      </w:pPr>
    </w:p>
    <w:p>
      <w:pPr>
        <w:pStyle w:val="2"/>
      </w:pPr>
      <w:r>
        <w:t>附录 E　编码手册与信度检验</w:t>
      </w:r>
    </w:p>
    <w:p>
      <w:pPr>
        <w:pStyle w:val="a3"/>
        <w:ind w:firstLine="480"/>
      </w:pPr>
      <w:r>
        <w:t>编码手册经历两次修订，最终版本包含 28 项能力与一个不属于能力框架的岗位经验小节，修订记录分为三类：初次比对之后所作的能力项边界裁决，能力项边界的再次审定，以及把无法归入既有项的表述集中归纳为新的能力项，三类记录均保留编号以便回溯。信度检验的结果如表 E1 所示。需要说明的是，逐项命中判断的一致程度明显低于层级与族类判断，这表明能力项层级的归类较为稳定，而在具体条目的归属上仍需依赖编码规则的细化；争议最大的能力项在边界收紧之后，其 κ 值由 0.34 升至 0.88，说明规则细化对信度具有实质作用。人工盲编的样本量较小，其相似度结果仅作参考。</w:t>
      </w:r>
    </w:p>
    <w:p>
      <w:pPr>
        <w:pStyle w:val="a3"/>
        <w:jc w:val="center"/>
      </w:pPr>
      <w:r>
        <w:rPr>
          <w:b/>
          <w:sz w:val="21"/>
        </w:rPr>
        <w:t>表 E1　编码信度检验结果</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848"/>
        <w:gridCol w:w="1680"/>
        <w:gridCol w:w="4873"/>
      </w:tblGrid>
      <w:tr>
        <w:trPr>
          <w:tblHeader w:val="true"/>
        </w:trPr>
        <w:tc>
          <w:tcPr>
            <w:tcW w:type="dxa" w:w="2801"/>
            <w:tcBorders>
              <w:bottom w:val="single" w:sz="6" w:color="auto"/>
            </w:tcBorders>
          </w:tcPr>
          <w:p>
            <w:pPr>
              <w:spacing w:line="240" w:lineRule="auto"/>
              <w:jc w:val="center"/>
            </w:pPr>
            <w:r/>
            <w:r>
              <w:rPr>
                <w:b/>
                <w:sz w:val="21"/>
              </w:rPr>
              <w:t>检验项</w:t>
            </w:r>
          </w:p>
        </w:tc>
        <w:tc>
          <w:tcPr>
            <w:tcW w:type="dxa" w:w="2801"/>
            <w:tcBorders>
              <w:bottom w:val="single" w:sz="6" w:color="auto"/>
            </w:tcBorders>
          </w:tcPr>
          <w:p>
            <w:pPr>
              <w:spacing w:line="240" w:lineRule="auto"/>
              <w:jc w:val="center"/>
            </w:pPr>
            <w:r/>
            <w:r>
              <w:rPr>
                <w:b/>
                <w:sz w:val="21"/>
              </w:rPr>
              <w:t>结果</w:t>
            </w:r>
          </w:p>
        </w:tc>
        <w:tc>
          <w:tcPr>
            <w:tcW w:type="dxa" w:w="2801"/>
            <w:tcBorders>
              <w:bottom w:val="single" w:sz="6" w:color="auto"/>
            </w:tcBorders>
          </w:tcPr>
          <w:p>
            <w:pPr>
              <w:spacing w:line="240" w:lineRule="auto"/>
              <w:jc w:val="center"/>
            </w:pPr>
            <w:r/>
            <w:r>
              <w:rPr>
                <w:b/>
                <w:sz w:val="21"/>
              </w:rPr>
              <w:t>说明</w:t>
            </w:r>
          </w:p>
        </w:tc>
      </w:tr>
      <w:tr>
        <w:tc>
          <w:tcPr>
            <w:tcW w:type="dxa" w:w="2801"/>
          </w:tcPr>
          <w:p>
            <w:pPr>
              <w:spacing w:line="240" w:lineRule="auto"/>
              <w:jc w:val="left"/>
            </w:pPr>
            <w:r>
              <w:rPr>
                <w:sz w:val="21"/>
              </w:rPr>
              <w:t>复核样本规模</w:t>
            </w:r>
          </w:p>
        </w:tc>
        <w:tc>
          <w:tcPr>
            <w:tcW w:type="dxa" w:w="2801"/>
          </w:tcPr>
          <w:p>
            <w:pPr>
              <w:spacing w:line="240" w:lineRule="auto"/>
            </w:pPr>
            <w:r>
              <w:rPr>
                <w:sz w:val="21"/>
              </w:rPr>
              <w:t>21 条</w:t>
            </w:r>
          </w:p>
        </w:tc>
        <w:tc>
          <w:tcPr>
            <w:tcW w:type="dxa" w:w="2801"/>
          </w:tcPr>
          <w:p>
            <w:pPr>
              <w:spacing w:line="240" w:lineRule="auto"/>
            </w:pPr>
            <w:r>
              <w:rPr>
                <w:sz w:val="21"/>
              </w:rPr>
              <w:t>由第二编码者对主编码结果作复核</w:t>
            </w:r>
          </w:p>
        </w:tc>
      </w:tr>
      <w:tr>
        <w:tc>
          <w:tcPr>
            <w:tcW w:type="dxa" w:w="2801"/>
          </w:tcPr>
          <w:p>
            <w:pPr>
              <w:spacing w:line="240" w:lineRule="auto"/>
              <w:jc w:val="left"/>
            </w:pPr>
            <w:r>
              <w:rPr>
                <w:sz w:val="21"/>
              </w:rPr>
              <w:t>能力层级一致</w:t>
            </w:r>
          </w:p>
        </w:tc>
        <w:tc>
          <w:tcPr>
            <w:tcW w:type="dxa" w:w="2801"/>
          </w:tcPr>
          <w:p>
            <w:pPr>
              <w:spacing w:line="240" w:lineRule="auto"/>
            </w:pPr>
            <w:r>
              <w:rPr>
                <w:sz w:val="21"/>
              </w:rPr>
              <w:t>57 处</w:t>
            </w:r>
          </w:p>
        </w:tc>
        <w:tc>
          <w:tcPr>
            <w:tcW w:type="dxa" w:w="2801"/>
          </w:tcPr>
          <w:p>
            <w:pPr>
              <w:spacing w:line="240" w:lineRule="auto"/>
            </w:pPr>
            <w:r>
              <w:rPr>
                <w:sz w:val="21"/>
              </w:rPr>
              <w:t>层级归类的稳定性较高</w:t>
            </w:r>
          </w:p>
        </w:tc>
      </w:tr>
      <w:tr>
        <w:tc>
          <w:tcPr>
            <w:tcW w:type="dxa" w:w="2801"/>
          </w:tcPr>
          <w:p>
            <w:pPr>
              <w:spacing w:line="240" w:lineRule="auto"/>
              <w:jc w:val="left"/>
            </w:pPr>
            <w:r>
              <w:rPr>
                <w:sz w:val="21"/>
              </w:rPr>
              <w:t>能力族一致</w:t>
            </w:r>
          </w:p>
        </w:tc>
        <w:tc>
          <w:tcPr>
            <w:tcW w:type="dxa" w:w="2801"/>
          </w:tcPr>
          <w:p>
            <w:pPr>
              <w:spacing w:line="240" w:lineRule="auto"/>
            </w:pPr>
            <w:r>
              <w:rPr>
                <w:sz w:val="21"/>
              </w:rPr>
              <w:t>20 处</w:t>
            </w:r>
          </w:p>
        </w:tc>
        <w:tc>
          <w:tcPr>
            <w:tcW w:type="dxa" w:w="2801"/>
          </w:tcPr>
          <w:p>
            <w:pPr>
              <w:spacing w:line="240" w:lineRule="auto"/>
            </w:pPr>
            <w:r>
              <w:rPr>
                <w:sz w:val="21"/>
              </w:rPr>
              <w:t>族类判断与层级判断接近</w:t>
            </w:r>
          </w:p>
        </w:tc>
      </w:tr>
      <w:tr>
        <w:tc>
          <w:tcPr>
            <w:tcW w:type="dxa" w:w="2801"/>
          </w:tcPr>
          <w:p>
            <w:pPr>
              <w:spacing w:line="240" w:lineRule="auto"/>
              <w:jc w:val="left"/>
            </w:pPr>
            <w:r>
              <w:rPr>
                <w:sz w:val="21"/>
              </w:rPr>
              <w:t>逐项命中一致</w:t>
            </w:r>
          </w:p>
        </w:tc>
        <w:tc>
          <w:tcPr>
            <w:tcW w:type="dxa" w:w="2801"/>
          </w:tcPr>
          <w:p>
            <w:pPr>
              <w:spacing w:line="240" w:lineRule="auto"/>
            </w:pPr>
            <w:r>
              <w:rPr>
                <w:sz w:val="21"/>
              </w:rPr>
              <w:t>5 处</w:t>
            </w:r>
          </w:p>
        </w:tc>
        <w:tc>
          <w:tcPr>
            <w:tcW w:type="dxa" w:w="2801"/>
          </w:tcPr>
          <w:p>
            <w:pPr>
              <w:spacing w:line="240" w:lineRule="auto"/>
            </w:pPr>
            <w:r>
              <w:rPr>
                <w:sz w:val="21"/>
              </w:rPr>
              <w:t>具体条目归属的一致性偏低</w:t>
            </w:r>
          </w:p>
        </w:tc>
      </w:tr>
      <w:tr>
        <w:tc>
          <w:tcPr>
            <w:tcW w:type="dxa" w:w="2801"/>
          </w:tcPr>
          <w:p>
            <w:pPr>
              <w:spacing w:line="240" w:lineRule="auto"/>
              <w:jc w:val="left"/>
            </w:pPr>
            <w:r>
              <w:rPr>
                <w:sz w:val="21"/>
              </w:rPr>
              <w:t>争议能力项的 κ 值</w:t>
            </w:r>
          </w:p>
        </w:tc>
        <w:tc>
          <w:tcPr>
            <w:tcW w:type="dxa" w:w="2801"/>
          </w:tcPr>
          <w:p>
            <w:pPr>
              <w:spacing w:line="240" w:lineRule="auto"/>
            </w:pPr>
            <w:r>
              <w:rPr>
                <w:sz w:val="21"/>
              </w:rPr>
              <w:t>0.34 升至 0.88</w:t>
            </w:r>
          </w:p>
        </w:tc>
        <w:tc>
          <w:tcPr>
            <w:tcW w:type="dxa" w:w="2801"/>
          </w:tcPr>
          <w:p>
            <w:pPr>
              <w:spacing w:line="240" w:lineRule="auto"/>
            </w:pPr>
            <w:r>
              <w:rPr>
                <w:sz w:val="21"/>
              </w:rPr>
              <w:t>边界收紧后一致性显著提升</w:t>
            </w:r>
          </w:p>
        </w:tc>
      </w:tr>
      <w:tr>
        <w:tc>
          <w:tcPr>
            <w:tcW w:type="dxa" w:w="2801"/>
          </w:tcPr>
          <w:p>
            <w:pPr>
              <w:spacing w:line="240" w:lineRule="auto"/>
              <w:jc w:val="left"/>
            </w:pPr>
            <w:r>
              <w:rPr>
                <w:sz w:val="21"/>
              </w:rPr>
              <w:t>独立盲编相似度</w:t>
            </w:r>
          </w:p>
        </w:tc>
        <w:tc>
          <w:tcPr>
            <w:tcW w:type="dxa" w:w="2801"/>
          </w:tcPr>
          <w:p>
            <w:pPr>
              <w:spacing w:line="240" w:lineRule="auto"/>
            </w:pPr>
            <w:r>
              <w:rPr>
                <w:sz w:val="21"/>
              </w:rPr>
              <w:t>Jaccard 均值 0.32（3 条）</w:t>
            </w:r>
          </w:p>
        </w:tc>
        <w:tc>
          <w:tcPr>
            <w:tcW w:type="dxa" w:w="2801"/>
          </w:tcPr>
          <w:p>
            <w:pPr>
              <w:spacing w:line="240" w:lineRule="auto"/>
            </w:pPr>
            <w:r>
              <w:rPr>
                <w:sz w:val="21"/>
              </w:rPr>
              <w:t>样本量过小，仅作参考</w:t>
            </w:r>
          </w:p>
        </w:tc>
      </w:tr>
    </w:tbl>
    <w:p>
      <w:pPr>
        <w:pStyle w:val="a3"/>
      </w:pPr>
      <w:r>
        <w:rPr>
          <w:sz w:val="18"/>
        </w:rPr>
        <w:t>注：κ 值为 Krippendorff 的一致性系数。资料来源：本研究编码复核与盲编记录。</w:t>
      </w:r>
    </w:p>
    <w:p>
      <w:pPr>
        <w:pStyle w:val="a3"/>
      </w:pPr>
    </w:p>
    <w:p>
      <w:pPr>
        <w:pStyle w:val="2"/>
      </w:pPr>
      <w:r>
        <w:t>附录 F　跨源对照矩阵</w:t>
      </w:r>
    </w:p>
    <w:p>
      <w:pPr>
        <w:pStyle w:val="a3"/>
        <w:ind w:firstLine="480"/>
      </w:pPr>
      <w:r>
        <w:t>矩阵以 28 项能力为行，以供给、国家、时代三类文本为列，逐格标注对映关系与共现计数，对映关系分为同义、上位或下位以及相关三级。矩阵的节选已见表 7，登记在能力框架之外的范畴共 14 条，包括绿色设计、美育、中华美学与城市风貌、批判性思维与元认知、共情与照护、持续学习、理论史论素养、人文与社会、公共必修与语言、发展环境与教科人才一体等制度类条目、再培训的心理成本、提示工程与策展半边，以及出口路径面整表。这些范畴之所以被单独登记，是因为它们在政策或趋势文本中有明确依据，却无法纳入以个体能力为单位的分析框架。</w:t>
      </w:r>
    </w:p>
    <w:p>
      <w:pPr>
        <w:pStyle w:val="a3"/>
        <w:jc w:val="center"/>
      </w:pPr>
      <w:r>
        <w:rPr>
          <w:b/>
          <w:sz w:val="21"/>
        </w:rPr>
        <w:t>表 F1　跨源对照矩阵（完整）</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2185"/>
        <w:gridCol w:w="1512"/>
        <w:gridCol w:w="1512"/>
        <w:gridCol w:w="1848"/>
        <w:gridCol w:w="1344"/>
      </w:tblGrid>
      <w:tr>
        <w:trPr>
          <w:tblHeader w:val="true"/>
        </w:trPr>
        <w:tc>
          <w:tcPr>
            <w:tcW w:type="dxa" w:w="1680"/>
            <w:tcBorders>
              <w:bottom w:val="single" w:sz="6" w:color="auto"/>
            </w:tcBorders>
          </w:tcPr>
          <w:p>
            <w:pPr>
              <w:spacing w:line="240" w:lineRule="auto"/>
              <w:jc w:val="center"/>
            </w:pPr>
            <w:r/>
            <w:r>
              <w:rPr>
                <w:b/>
                <w:sz w:val="21"/>
              </w:rPr>
              <w:t>能力项（频次）</w:t>
            </w:r>
          </w:p>
        </w:tc>
        <w:tc>
          <w:tcPr>
            <w:tcW w:type="dxa" w:w="1680"/>
            <w:tcBorders>
              <w:bottom w:val="single" w:sz="6" w:color="auto"/>
            </w:tcBorders>
          </w:tcPr>
          <w:p>
            <w:pPr>
              <w:spacing w:line="240" w:lineRule="auto"/>
              <w:jc w:val="center"/>
            </w:pPr>
            <w:r/>
            <w:r>
              <w:rPr>
                <w:b/>
                <w:sz w:val="21"/>
              </w:rPr>
              <w:t>供给</w:t>
            </w:r>
          </w:p>
        </w:tc>
        <w:tc>
          <w:tcPr>
            <w:tcW w:type="dxa" w:w="1680"/>
            <w:tcBorders>
              <w:bottom w:val="single" w:sz="6" w:color="auto"/>
            </w:tcBorders>
          </w:tcPr>
          <w:p>
            <w:pPr>
              <w:spacing w:line="240" w:lineRule="auto"/>
              <w:jc w:val="center"/>
            </w:pPr>
            <w:r/>
            <w:r>
              <w:rPr>
                <w:b/>
                <w:sz w:val="21"/>
              </w:rPr>
              <w:t>国家</w:t>
            </w:r>
          </w:p>
        </w:tc>
        <w:tc>
          <w:tcPr>
            <w:tcW w:type="dxa" w:w="1680"/>
            <w:tcBorders>
              <w:bottom w:val="single" w:sz="6" w:color="auto"/>
            </w:tcBorders>
          </w:tcPr>
          <w:p>
            <w:pPr>
              <w:spacing w:line="240" w:lineRule="auto"/>
              <w:jc w:val="center"/>
            </w:pPr>
            <w:r/>
            <w:r>
              <w:rPr>
                <w:b/>
                <w:sz w:val="21"/>
              </w:rPr>
              <w:t>时代</w:t>
            </w:r>
          </w:p>
        </w:tc>
        <w:tc>
          <w:tcPr>
            <w:tcW w:type="dxa" w:w="1680"/>
            <w:tcBorders>
              <w:bottom w:val="single" w:sz="6" w:color="auto"/>
            </w:tcBorders>
          </w:tcPr>
          <w:p>
            <w:pPr>
              <w:spacing w:line="240" w:lineRule="auto"/>
              <w:jc w:val="center"/>
            </w:pPr>
            <w:r/>
            <w:r>
              <w:rPr>
                <w:b/>
                <w:sz w:val="21"/>
              </w:rPr>
              <w:t>共现</w:t>
            </w:r>
          </w:p>
        </w:tc>
      </w:tr>
      <w:tr>
        <w:tc>
          <w:tcPr>
            <w:tcW w:type="dxa" w:w="1680"/>
          </w:tcPr>
          <w:p>
            <w:pPr>
              <w:spacing w:line="240" w:lineRule="auto"/>
              <w:jc w:val="left"/>
            </w:pPr>
            <w:r>
              <w:rPr>
                <w:sz w:val="21"/>
              </w:rPr>
              <w:t>端到端负责（69）</w:t>
            </w:r>
          </w:p>
        </w:tc>
        <w:tc>
          <w:tcPr>
            <w:tcW w:type="dxa" w:w="1680"/>
          </w:tcPr>
          <w:p>
            <w:pPr>
              <w:spacing w:line="240" w:lineRule="auto"/>
            </w:pPr>
            <w:r>
              <w:rPr>
                <w:sz w:val="21"/>
              </w:rPr>
              <w:t>实践与项目类·相关</w:t>
            </w:r>
          </w:p>
        </w:tc>
        <w:tc>
          <w:tcPr>
            <w:tcW w:type="dxa" w:w="1680"/>
          </w:tcPr>
          <w:p>
            <w:pPr>
              <w:spacing w:line="240" w:lineRule="auto"/>
            </w:pPr>
            <w:r>
              <w:rPr>
                <w:sz w:val="21"/>
              </w:rPr>
              <w:t>人工智能优先布局·相关</w:t>
            </w:r>
          </w:p>
        </w:tc>
        <w:tc>
          <w:tcPr>
            <w:tcW w:type="dxa" w:w="1680"/>
          </w:tcPr>
          <w:p>
            <w:pPr>
              <w:spacing w:line="240" w:lineRule="auto"/>
            </w:pPr>
            <w:r>
              <w:rPr>
                <w:sz w:val="21"/>
              </w:rPr>
              <w:t>无</w:t>
            </w:r>
          </w:p>
        </w:tc>
        <w:tc>
          <w:tcPr>
            <w:tcW w:type="dxa" w:w="1680"/>
          </w:tcPr>
          <w:p>
            <w:pPr>
              <w:spacing w:line="240" w:lineRule="auto"/>
              <w:jc w:val="center"/>
            </w:pPr>
            <w:r>
              <w:rPr>
                <w:sz w:val="21"/>
              </w:rPr>
              <w:t>2</w:t>
            </w:r>
          </w:p>
        </w:tc>
      </w:tr>
      <w:tr>
        <w:tc>
          <w:tcPr>
            <w:tcW w:type="dxa" w:w="1680"/>
          </w:tcPr>
          <w:p>
            <w:pPr>
              <w:spacing w:line="240" w:lineRule="auto"/>
              <w:jc w:val="left"/>
            </w:pPr>
            <w:r>
              <w:rPr>
                <w:sz w:val="21"/>
              </w:rPr>
              <w:t>无权威影响力与跨职能协作（44）</w:t>
            </w:r>
          </w:p>
        </w:tc>
        <w:tc>
          <w:tcPr>
            <w:tcW w:type="dxa" w:w="1680"/>
          </w:tcPr>
          <w:p>
            <w:pPr>
              <w:spacing w:line="240" w:lineRule="auto"/>
            </w:pPr>
            <w:r>
              <w:rPr>
                <w:sz w:val="21"/>
              </w:rPr>
              <w:t>实践与项目类·相关</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jc w:val="center"/>
            </w:pPr>
            <w:r>
              <w:rPr>
                <w:sz w:val="21"/>
              </w:rPr>
              <w:t>1</w:t>
            </w:r>
          </w:p>
        </w:tc>
      </w:tr>
      <w:tr>
        <w:tc>
          <w:tcPr>
            <w:tcW w:type="dxa" w:w="1680"/>
          </w:tcPr>
          <w:p>
            <w:pPr>
              <w:spacing w:line="240" w:lineRule="auto"/>
              <w:jc w:val="left"/>
            </w:pPr>
            <w:r>
              <w:rPr>
                <w:sz w:val="21"/>
              </w:rPr>
              <w:t>系统化设计意识（39）</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jc w:val="center"/>
            </w:pPr>
            <w:r>
              <w:rPr>
                <w:sz w:val="21"/>
              </w:rPr>
              <w:t>0</w:t>
            </w:r>
          </w:p>
        </w:tc>
      </w:tr>
      <w:tr>
        <w:tc>
          <w:tcPr>
            <w:tcW w:type="dxa" w:w="1680"/>
          </w:tcPr>
          <w:p>
            <w:pPr>
              <w:spacing w:line="240" w:lineRule="auto"/>
              <w:jc w:val="left"/>
            </w:pPr>
            <w:r>
              <w:rPr>
                <w:sz w:val="21"/>
              </w:rPr>
              <w:t>市场与竞品研究（39）</w:t>
            </w:r>
          </w:p>
        </w:tc>
        <w:tc>
          <w:tcPr>
            <w:tcW w:type="dxa" w:w="1680"/>
          </w:tcPr>
          <w:p>
            <w:pPr>
              <w:spacing w:line="240" w:lineRule="auto"/>
            </w:pPr>
            <w:r>
              <w:rPr>
                <w:sz w:val="21"/>
              </w:rPr>
              <w:t>方法与流程类·相关</w:t>
            </w:r>
          </w:p>
        </w:tc>
        <w:tc>
          <w:tcPr>
            <w:tcW w:type="dxa" w:w="1680"/>
          </w:tcPr>
          <w:p>
            <w:pPr>
              <w:spacing w:line="240" w:lineRule="auto"/>
            </w:pPr>
            <w:r>
              <w:rPr>
                <w:sz w:val="21"/>
              </w:rPr>
              <w:t>设计服务制造升级·相关</w:t>
            </w:r>
          </w:p>
        </w:tc>
        <w:tc>
          <w:tcPr>
            <w:tcW w:type="dxa" w:w="1680"/>
          </w:tcPr>
          <w:p>
            <w:pPr>
              <w:spacing w:line="240" w:lineRule="auto"/>
            </w:pPr>
            <w:r>
              <w:rPr>
                <w:sz w:val="21"/>
              </w:rPr>
              <w:t>无</w:t>
            </w:r>
          </w:p>
        </w:tc>
        <w:tc>
          <w:tcPr>
            <w:tcW w:type="dxa" w:w="1680"/>
          </w:tcPr>
          <w:p>
            <w:pPr>
              <w:spacing w:line="240" w:lineRule="auto"/>
              <w:jc w:val="center"/>
            </w:pPr>
            <w:r>
              <w:rPr>
                <w:sz w:val="21"/>
              </w:rPr>
              <w:t>2</w:t>
            </w:r>
          </w:p>
        </w:tc>
      </w:tr>
      <w:tr>
        <w:tc>
          <w:tcPr>
            <w:tcW w:type="dxa" w:w="1680"/>
          </w:tcPr>
          <w:p>
            <w:pPr>
              <w:spacing w:line="240" w:lineRule="auto"/>
              <w:jc w:val="left"/>
            </w:pPr>
            <w:r>
              <w:rPr>
                <w:sz w:val="21"/>
              </w:rPr>
              <w:t>可制造性与工艺知识（34）</w:t>
            </w:r>
          </w:p>
        </w:tc>
        <w:tc>
          <w:tcPr>
            <w:tcW w:type="dxa" w:w="1680"/>
          </w:tcPr>
          <w:p>
            <w:pPr>
              <w:spacing w:line="240" w:lineRule="auto"/>
            </w:pPr>
            <w:r>
              <w:rPr>
                <w:sz w:val="21"/>
              </w:rPr>
              <w:t>技法与媒介类·上位或下位</w:t>
            </w:r>
          </w:p>
        </w:tc>
        <w:tc>
          <w:tcPr>
            <w:tcW w:type="dxa" w:w="1680"/>
          </w:tcPr>
          <w:p>
            <w:pPr>
              <w:spacing w:line="240" w:lineRule="auto"/>
            </w:pPr>
            <w:r>
              <w:rPr>
                <w:sz w:val="21"/>
              </w:rPr>
              <w:t>设计服务制造升级·相关</w:t>
            </w:r>
          </w:p>
        </w:tc>
        <w:tc>
          <w:tcPr>
            <w:tcW w:type="dxa" w:w="1680"/>
          </w:tcPr>
          <w:p>
            <w:pPr>
              <w:spacing w:line="240" w:lineRule="auto"/>
            </w:pPr>
            <w:r>
              <w:rPr>
                <w:sz w:val="21"/>
              </w:rPr>
              <w:t>无</w:t>
            </w:r>
          </w:p>
        </w:tc>
        <w:tc>
          <w:tcPr>
            <w:tcW w:type="dxa" w:w="1680"/>
          </w:tcPr>
          <w:p>
            <w:pPr>
              <w:spacing w:line="240" w:lineRule="auto"/>
              <w:jc w:val="center"/>
            </w:pPr>
            <w:r>
              <w:rPr>
                <w:sz w:val="21"/>
              </w:rPr>
              <w:t>2</w:t>
            </w:r>
          </w:p>
        </w:tc>
      </w:tr>
      <w:tr>
        <w:tc>
          <w:tcPr>
            <w:tcW w:type="dxa" w:w="1680"/>
          </w:tcPr>
          <w:p>
            <w:pPr>
              <w:spacing w:line="240" w:lineRule="auto"/>
              <w:jc w:val="left"/>
            </w:pPr>
            <w:r>
              <w:rPr>
                <w:sz w:val="21"/>
              </w:rPr>
              <w:t>技术跟踪与栈演进（30）</w:t>
            </w:r>
          </w:p>
        </w:tc>
        <w:tc>
          <w:tcPr>
            <w:tcW w:type="dxa" w:w="1680"/>
          </w:tcPr>
          <w:p>
            <w:pPr>
              <w:spacing w:line="240" w:lineRule="auto"/>
            </w:pPr>
            <w:r>
              <w:rPr>
                <w:sz w:val="21"/>
              </w:rPr>
              <w:t>智能与技术类·相关</w:t>
            </w:r>
          </w:p>
        </w:tc>
        <w:tc>
          <w:tcPr>
            <w:tcW w:type="dxa" w:w="1680"/>
          </w:tcPr>
          <w:p>
            <w:pPr>
              <w:spacing w:line="240" w:lineRule="auto"/>
            </w:pPr>
            <w:r>
              <w:rPr>
                <w:sz w:val="21"/>
              </w:rPr>
              <w:t>人工智能优先布局·相关</w:t>
            </w:r>
          </w:p>
        </w:tc>
        <w:tc>
          <w:tcPr>
            <w:tcW w:type="dxa" w:w="1680"/>
          </w:tcPr>
          <w:p>
            <w:pPr>
              <w:spacing w:line="240" w:lineRule="auto"/>
            </w:pPr>
            <w:r>
              <w:rPr>
                <w:sz w:val="21"/>
              </w:rPr>
              <w:t>技能过时与人工智能变量·相关</w:t>
            </w:r>
          </w:p>
        </w:tc>
        <w:tc>
          <w:tcPr>
            <w:tcW w:type="dxa" w:w="1680"/>
          </w:tcPr>
          <w:p>
            <w:pPr>
              <w:spacing w:line="240" w:lineRule="auto"/>
              <w:jc w:val="center"/>
            </w:pPr>
            <w:r>
              <w:rPr>
                <w:sz w:val="21"/>
              </w:rPr>
              <w:t>3</w:t>
            </w:r>
          </w:p>
        </w:tc>
      </w:tr>
      <w:tr>
        <w:tc>
          <w:tcPr>
            <w:tcW w:type="dxa" w:w="1680"/>
          </w:tcPr>
          <w:p>
            <w:pPr>
              <w:spacing w:line="240" w:lineRule="auto"/>
              <w:jc w:val="left"/>
            </w:pPr>
            <w:r>
              <w:rPr>
                <w:sz w:val="21"/>
              </w:rPr>
              <w:t>用户中心设计方法论（29）</w:t>
            </w:r>
          </w:p>
        </w:tc>
        <w:tc>
          <w:tcPr>
            <w:tcW w:type="dxa" w:w="1680"/>
          </w:tcPr>
          <w:p>
            <w:pPr>
              <w:spacing w:line="240" w:lineRule="auto"/>
            </w:pPr>
            <w:r>
              <w:rPr>
                <w:sz w:val="21"/>
              </w:rPr>
              <w:t>方法与流程类·同义</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jc w:val="center"/>
            </w:pPr>
            <w:r>
              <w:rPr>
                <w:sz w:val="21"/>
              </w:rPr>
              <w:t>1</w:t>
            </w:r>
          </w:p>
        </w:tc>
      </w:tr>
      <w:tr>
        <w:tc>
          <w:tcPr>
            <w:tcW w:type="dxa" w:w="1680"/>
          </w:tcPr>
          <w:p>
            <w:pPr>
              <w:spacing w:line="240" w:lineRule="auto"/>
              <w:jc w:val="left"/>
            </w:pPr>
            <w:r>
              <w:rPr>
                <w:sz w:val="21"/>
              </w:rPr>
              <w:t>作品集与项目证据（24）</w:t>
            </w:r>
          </w:p>
        </w:tc>
        <w:tc>
          <w:tcPr>
            <w:tcW w:type="dxa" w:w="1680"/>
          </w:tcPr>
          <w:p>
            <w:pPr>
              <w:spacing w:line="240" w:lineRule="auto"/>
            </w:pPr>
            <w:r>
              <w:rPr>
                <w:sz w:val="21"/>
              </w:rPr>
              <w:t>实践与项目类·相关</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jc w:val="center"/>
            </w:pPr>
            <w:r>
              <w:rPr>
                <w:sz w:val="21"/>
              </w:rPr>
              <w:t>1</w:t>
            </w:r>
          </w:p>
        </w:tc>
      </w:tr>
      <w:tr>
        <w:tc>
          <w:tcPr>
            <w:tcW w:type="dxa" w:w="1680"/>
          </w:tcPr>
          <w:p>
            <w:pPr>
              <w:spacing w:line="240" w:lineRule="auto"/>
              <w:jc w:val="left"/>
            </w:pPr>
            <w:r>
              <w:rPr>
                <w:sz w:val="21"/>
              </w:rPr>
              <w:t>项目落地经验（21）</w:t>
            </w:r>
          </w:p>
        </w:tc>
        <w:tc>
          <w:tcPr>
            <w:tcW w:type="dxa" w:w="1680"/>
          </w:tcPr>
          <w:p>
            <w:pPr>
              <w:spacing w:line="240" w:lineRule="auto"/>
            </w:pPr>
            <w:r>
              <w:rPr>
                <w:sz w:val="21"/>
              </w:rPr>
              <w:t>实践与项目类·上位或下位</w:t>
            </w:r>
          </w:p>
        </w:tc>
        <w:tc>
          <w:tcPr>
            <w:tcW w:type="dxa" w:w="1680"/>
          </w:tcPr>
          <w:p>
            <w:pPr>
              <w:spacing w:line="240" w:lineRule="auto"/>
            </w:pPr>
            <w:r>
              <w:rPr>
                <w:sz w:val="21"/>
              </w:rPr>
              <w:t>设计人才培养·相关</w:t>
            </w:r>
          </w:p>
        </w:tc>
        <w:tc>
          <w:tcPr>
            <w:tcW w:type="dxa" w:w="1680"/>
          </w:tcPr>
          <w:p>
            <w:pPr>
              <w:spacing w:line="240" w:lineRule="auto"/>
            </w:pPr>
            <w:r>
              <w:rPr>
                <w:sz w:val="21"/>
              </w:rPr>
              <w:t>无</w:t>
            </w:r>
          </w:p>
        </w:tc>
        <w:tc>
          <w:tcPr>
            <w:tcW w:type="dxa" w:w="1680"/>
          </w:tcPr>
          <w:p>
            <w:pPr>
              <w:spacing w:line="240" w:lineRule="auto"/>
              <w:jc w:val="center"/>
            </w:pPr>
            <w:r>
              <w:rPr>
                <w:sz w:val="21"/>
              </w:rPr>
              <w:t>2</w:t>
            </w:r>
          </w:p>
        </w:tc>
      </w:tr>
      <w:tr>
        <w:tc>
          <w:tcPr>
            <w:tcW w:type="dxa" w:w="1680"/>
          </w:tcPr>
          <w:p>
            <w:pPr>
              <w:spacing w:line="240" w:lineRule="auto"/>
              <w:jc w:val="left"/>
            </w:pPr>
            <w:r>
              <w:rPr>
                <w:sz w:val="21"/>
              </w:rPr>
              <w:t>多目标权衡与指标定义（21）</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pPr>
            <w:r>
              <w:rPr>
                <w:sz w:val="21"/>
              </w:rPr>
              <w:t>设计角色重定位·相关</w:t>
            </w:r>
          </w:p>
        </w:tc>
        <w:tc>
          <w:tcPr>
            <w:tcW w:type="dxa" w:w="1680"/>
          </w:tcPr>
          <w:p>
            <w:pPr>
              <w:spacing w:line="240" w:lineRule="auto"/>
              <w:jc w:val="center"/>
            </w:pPr>
            <w:r>
              <w:rPr>
                <w:sz w:val="21"/>
              </w:rPr>
              <w:t>1</w:t>
            </w:r>
          </w:p>
        </w:tc>
      </w:tr>
      <w:tr>
        <w:tc>
          <w:tcPr>
            <w:tcW w:type="dxa" w:w="1680"/>
          </w:tcPr>
          <w:p>
            <w:pPr>
              <w:spacing w:line="240" w:lineRule="auto"/>
              <w:jc w:val="left"/>
            </w:pPr>
            <w:r>
              <w:rPr>
                <w:sz w:val="21"/>
              </w:rPr>
              <w:t>深入与持续的研究（17）</w:t>
            </w:r>
          </w:p>
        </w:tc>
        <w:tc>
          <w:tcPr>
            <w:tcW w:type="dxa" w:w="1680"/>
          </w:tcPr>
          <w:p>
            <w:pPr>
              <w:spacing w:line="240" w:lineRule="auto"/>
            </w:pPr>
            <w:r>
              <w:rPr>
                <w:sz w:val="21"/>
              </w:rPr>
              <w:t>技法与媒介类·相关</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jc w:val="center"/>
            </w:pPr>
            <w:r>
              <w:rPr>
                <w:sz w:val="21"/>
              </w:rPr>
              <w:t>1</w:t>
            </w:r>
          </w:p>
        </w:tc>
      </w:tr>
      <w:tr>
        <w:tc>
          <w:tcPr>
            <w:tcW w:type="dxa" w:w="1680"/>
          </w:tcPr>
          <w:p>
            <w:pPr>
              <w:spacing w:line="240" w:lineRule="auto"/>
              <w:jc w:val="left"/>
            </w:pPr>
            <w:r>
              <w:rPr>
                <w:sz w:val="21"/>
              </w:rPr>
              <w:t>人工智能原型验证（17）</w:t>
            </w:r>
          </w:p>
        </w:tc>
        <w:tc>
          <w:tcPr>
            <w:tcW w:type="dxa" w:w="1680"/>
          </w:tcPr>
          <w:p>
            <w:pPr>
              <w:spacing w:line="240" w:lineRule="auto"/>
            </w:pPr>
            <w:r>
              <w:rPr>
                <w:sz w:val="21"/>
              </w:rPr>
              <w:t>智能与技术类·上位或下位</w:t>
            </w:r>
          </w:p>
        </w:tc>
        <w:tc>
          <w:tcPr>
            <w:tcW w:type="dxa" w:w="1680"/>
          </w:tcPr>
          <w:p>
            <w:pPr>
              <w:spacing w:line="240" w:lineRule="auto"/>
            </w:pPr>
            <w:r>
              <w:rPr>
                <w:sz w:val="21"/>
              </w:rPr>
              <w:t>人工智能优先布局·相关</w:t>
            </w:r>
          </w:p>
        </w:tc>
        <w:tc>
          <w:tcPr>
            <w:tcW w:type="dxa" w:w="1680"/>
          </w:tcPr>
          <w:p>
            <w:pPr>
              <w:spacing w:line="240" w:lineRule="auto"/>
            </w:pPr>
            <w:r>
              <w:rPr>
                <w:sz w:val="21"/>
              </w:rPr>
              <w:t>人工智能变量与角色重定位·相关</w:t>
            </w:r>
          </w:p>
        </w:tc>
        <w:tc>
          <w:tcPr>
            <w:tcW w:type="dxa" w:w="1680"/>
          </w:tcPr>
          <w:p>
            <w:pPr>
              <w:spacing w:line="240" w:lineRule="auto"/>
              <w:jc w:val="center"/>
            </w:pPr>
            <w:r>
              <w:rPr>
                <w:sz w:val="21"/>
              </w:rPr>
              <w:t>3</w:t>
            </w:r>
          </w:p>
        </w:tc>
      </w:tr>
      <w:tr>
        <w:tc>
          <w:tcPr>
            <w:tcW w:type="dxa" w:w="1680"/>
          </w:tcPr>
          <w:p>
            <w:pPr>
              <w:spacing w:line="240" w:lineRule="auto"/>
              <w:jc w:val="left"/>
            </w:pPr>
            <w:r>
              <w:rPr>
                <w:sz w:val="21"/>
              </w:rPr>
              <w:t>编程与工程实现（18）</w:t>
            </w:r>
          </w:p>
        </w:tc>
        <w:tc>
          <w:tcPr>
            <w:tcW w:type="dxa" w:w="1680"/>
          </w:tcPr>
          <w:p>
            <w:pPr>
              <w:spacing w:line="240" w:lineRule="auto"/>
            </w:pPr>
            <w:r>
              <w:rPr>
                <w:sz w:val="21"/>
              </w:rPr>
              <w:t>智能与技术类·相关</w:t>
            </w:r>
          </w:p>
        </w:tc>
        <w:tc>
          <w:tcPr>
            <w:tcW w:type="dxa" w:w="1680"/>
          </w:tcPr>
          <w:p>
            <w:pPr>
              <w:spacing w:line="240" w:lineRule="auto"/>
            </w:pPr>
            <w:r>
              <w:rPr>
                <w:sz w:val="21"/>
              </w:rPr>
              <w:t>人工智能优先布局·相关</w:t>
            </w:r>
          </w:p>
        </w:tc>
        <w:tc>
          <w:tcPr>
            <w:tcW w:type="dxa" w:w="1680"/>
          </w:tcPr>
          <w:p>
            <w:pPr>
              <w:spacing w:line="240" w:lineRule="auto"/>
            </w:pPr>
            <w:r>
              <w:rPr>
                <w:sz w:val="21"/>
              </w:rPr>
              <w:t>人工智能变量·相关</w:t>
            </w:r>
          </w:p>
        </w:tc>
        <w:tc>
          <w:tcPr>
            <w:tcW w:type="dxa" w:w="1680"/>
          </w:tcPr>
          <w:p>
            <w:pPr>
              <w:spacing w:line="240" w:lineRule="auto"/>
              <w:jc w:val="center"/>
            </w:pPr>
            <w:r>
              <w:rPr>
                <w:sz w:val="21"/>
              </w:rPr>
              <w:t>3</w:t>
            </w:r>
          </w:p>
        </w:tc>
      </w:tr>
      <w:tr>
        <w:tc>
          <w:tcPr>
            <w:tcW w:type="dxa" w:w="1680"/>
          </w:tcPr>
          <w:p>
            <w:pPr>
              <w:spacing w:line="240" w:lineRule="auto"/>
              <w:jc w:val="left"/>
            </w:pPr>
            <w:r>
              <w:rPr>
                <w:sz w:val="21"/>
              </w:rPr>
              <w:t>模糊环境自主推进（16）</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pPr>
            <w:r>
              <w:rPr>
                <w:sz w:val="21"/>
              </w:rPr>
              <w:t>无</w:t>
            </w:r>
          </w:p>
        </w:tc>
        <w:tc>
          <w:tcPr>
            <w:tcW w:type="dxa" w:w="1680"/>
          </w:tcPr>
          <w:p>
            <w:pPr>
              <w:spacing w:line="240" w:lineRule="auto"/>
              <w:jc w:val="center"/>
            </w:pPr>
            <w:r>
              <w:rPr>
                <w:sz w:val="21"/>
              </w:rPr>
              <w:t>0</w:t>
            </w:r>
          </w:p>
        </w:tc>
      </w:tr>
      <w:tr>
        <w:tc>
          <w:tcPr>
            <w:tcW w:type="dxa" w:w="1680"/>
          </w:tcPr>
          <w:p>
            <w:pPr>
              <w:spacing w:line="240" w:lineRule="auto"/>
              <w:jc w:val="left"/>
            </w:pPr>
            <w:r>
              <w:rPr>
                <w:sz w:val="21"/>
              </w:rPr>
              <w:t>技术可行性判断（12）</w:t>
            </w:r>
          </w:p>
        </w:tc>
        <w:tc>
          <w:tcPr>
            <w:tcW w:type="dxa" w:w="1680"/>
          </w:tcPr>
          <w:p>
            <w:pPr>
              <w:spacing w:line="240" w:lineRule="auto"/>
            </w:pPr>
            <w:r>
              <w:rPr>
                <w:sz w:val="21"/>
              </w:rPr>
              <w:t>智能与技术类·相关</w:t>
            </w:r>
          </w:p>
        </w:tc>
        <w:tc>
          <w:tcPr>
            <w:tcW w:type="dxa" w:w="1680"/>
          </w:tcPr>
          <w:p>
            <w:pPr>
              <w:spacing w:line="240" w:lineRule="auto"/>
            </w:pPr>
            <w:r>
              <w:rPr>
                <w:sz w:val="21"/>
              </w:rPr>
              <w:t>人工智能优先布局·相关</w:t>
            </w:r>
          </w:p>
        </w:tc>
        <w:tc>
          <w:tcPr>
            <w:tcW w:type="dxa" w:w="1680"/>
          </w:tcPr>
          <w:p>
            <w:pPr>
              <w:spacing w:line="240" w:lineRule="auto"/>
            </w:pPr>
            <w:r>
              <w:rPr>
                <w:sz w:val="21"/>
              </w:rPr>
              <w:t>设计角色重定位·相关</w:t>
            </w:r>
          </w:p>
        </w:tc>
        <w:tc>
          <w:tcPr>
            <w:tcW w:type="dxa" w:w="1680"/>
          </w:tcPr>
          <w:p>
            <w:pPr>
              <w:spacing w:line="240" w:lineRule="auto"/>
              <w:jc w:val="center"/>
            </w:pPr>
            <w:r>
              <w:rPr>
                <w:sz w:val="21"/>
              </w:rPr>
              <w:t>3</w:t>
            </w:r>
          </w:p>
        </w:tc>
      </w:tr>
      <w:tr>
        <w:tc>
          <w:tcPr>
            <w:tcW w:type="dxa" w:w="1680"/>
          </w:tcPr>
          <w:p>
            <w:pPr>
              <w:spacing w:line="240" w:lineRule="auto"/>
              <w:jc w:val="left"/>
            </w:pPr>
            <w:r>
              <w:rPr>
                <w:sz w:val="21"/>
              </w:rPr>
              <w:t>其余 13 项</w:t>
            </w:r>
          </w:p>
        </w:tc>
        <w:tc>
          <w:tcPr>
            <w:tcW w:type="dxa" w:w="1680"/>
          </w:tcPr>
          <w:p>
            <w:pPr>
              <w:spacing w:line="240" w:lineRule="auto"/>
            </w:pPr>
            <w:r>
              <w:rPr>
                <w:sz w:val="21"/>
              </w:rPr>
              <w:t>多为无对应或属小体量项</w:t>
            </w:r>
          </w:p>
        </w:tc>
        <w:tc>
          <w:tcPr>
            <w:tcW w:type="dxa" w:w="1680"/>
          </w:tcPr>
          <w:p>
            <w:pPr>
              <w:spacing w:line="240" w:lineRule="auto"/>
            </w:pPr>
            <w:r>
              <w:rPr>
                <w:sz w:val="21"/>
              </w:rPr>
              <w:t>少量相关</w:t>
            </w:r>
          </w:p>
        </w:tc>
        <w:tc>
          <w:tcPr>
            <w:tcW w:type="dxa" w:w="1680"/>
          </w:tcPr>
          <w:p>
            <w:pPr>
              <w:spacing w:line="240" w:lineRule="auto"/>
            </w:pPr>
            <w:r>
              <w:rPr>
                <w:sz w:val="21"/>
              </w:rPr>
              <w:t>少量相关</w:t>
            </w:r>
          </w:p>
        </w:tc>
        <w:tc>
          <w:tcPr>
            <w:tcW w:type="dxa" w:w="1680"/>
          </w:tcPr>
          <w:p>
            <w:pPr>
              <w:spacing w:line="240" w:lineRule="auto"/>
            </w:pPr>
            <w:r>
              <w:rPr>
                <w:sz w:val="21"/>
              </w:rPr>
              <w:t>0 至 2</w:t>
            </w:r>
          </w:p>
        </w:tc>
      </w:tr>
    </w:tbl>
    <w:p>
      <w:pPr>
        <w:pStyle w:val="a3"/>
      </w:pPr>
      <w:r>
        <w:rPr>
          <w:sz w:val="18"/>
        </w:rPr>
        <w:t>注：对映关系分为同义、上位或下位以及相关三级，“无”表示未见对应条目；共现为三类文本中出现的类别数。资料来源：本研究跨源对照矩阵。</w:t>
      </w:r>
    </w:p>
    <w:p>
      <w:pPr>
        <w:pStyle w:val="a3"/>
      </w:pPr>
    </w:p>
    <w:p>
      <w:pPr>
        <w:pStyle w:val="2"/>
      </w:pPr>
      <w:r>
        <w:t>附录 G　缺口判定与优先次序规则</w:t>
      </w:r>
    </w:p>
    <w:p>
      <w:pPr>
        <w:pStyle w:val="a3"/>
        <w:ind w:firstLine="480"/>
      </w:pPr>
      <w:r>
        <w:t>缺口判定与优先次序的筛选规则如表 G1 所示。规则的设计意图在于，使每一处缺口都能够回溯到具体的证据条目，并避免把只能由工作年限积累的要求误列为课程任务。</w:t>
      </w:r>
    </w:p>
    <w:p>
      <w:pPr>
        <w:pStyle w:val="a3"/>
        <w:jc w:val="center"/>
      </w:pPr>
      <w:r>
        <w:rPr>
          <w:b/>
          <w:sz w:val="21"/>
        </w:rPr>
        <w:t>表 G1　缺口判定规则与优先次序筛选</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512"/>
        <w:gridCol w:w="6890"/>
      </w:tblGrid>
      <w:tr>
        <w:trPr>
          <w:tblHeader w:val="true"/>
        </w:trPr>
        <w:tc>
          <w:tcPr>
            <w:tcW w:type="dxa" w:w="4201"/>
            <w:tcBorders>
              <w:bottom w:val="single" w:sz="6" w:color="auto"/>
            </w:tcBorders>
          </w:tcPr>
          <w:p>
            <w:pPr>
              <w:spacing w:line="240" w:lineRule="auto"/>
              <w:jc w:val="center"/>
            </w:pPr>
            <w:r/>
            <w:r>
              <w:rPr>
                <w:b/>
                <w:sz w:val="21"/>
              </w:rPr>
              <w:t>环节</w:t>
            </w:r>
          </w:p>
        </w:tc>
        <w:tc>
          <w:tcPr>
            <w:tcW w:type="dxa" w:w="4201"/>
            <w:tcBorders>
              <w:bottom w:val="single" w:sz="6" w:color="auto"/>
            </w:tcBorders>
          </w:tcPr>
          <w:p>
            <w:pPr>
              <w:spacing w:line="240" w:lineRule="auto"/>
              <w:jc w:val="center"/>
            </w:pPr>
            <w:r/>
            <w:r>
              <w:rPr>
                <w:b/>
                <w:sz w:val="21"/>
              </w:rPr>
              <w:t>规则内容</w:t>
            </w:r>
          </w:p>
        </w:tc>
      </w:tr>
      <w:tr>
        <w:tc>
          <w:tcPr>
            <w:tcW w:type="dxa" w:w="4201"/>
          </w:tcPr>
          <w:p>
            <w:pPr>
              <w:spacing w:line="240" w:lineRule="auto"/>
              <w:jc w:val="left"/>
            </w:pPr>
            <w:r>
              <w:rPr>
                <w:sz w:val="21"/>
              </w:rPr>
              <w:t>缺口判定</w:t>
            </w:r>
          </w:p>
        </w:tc>
        <w:tc>
          <w:tcPr>
            <w:tcW w:type="dxa" w:w="4201"/>
          </w:tcPr>
          <w:p>
            <w:pPr>
              <w:spacing w:line="240" w:lineRule="auto"/>
            </w:pPr>
            <w:r>
              <w:rPr>
                <w:sz w:val="21"/>
              </w:rPr>
              <w:t>需求侧有证据在项被要求，且供给侧公开课名层查无对应，两端均须落到可指认条目；排除只能由工作年限自然积累的要求</w:t>
            </w:r>
          </w:p>
        </w:tc>
      </w:tr>
      <w:tr>
        <w:tc>
          <w:tcPr>
            <w:tcW w:type="dxa" w:w="4201"/>
          </w:tcPr>
          <w:p>
            <w:pPr>
              <w:spacing w:line="240" w:lineRule="auto"/>
              <w:jc w:val="left"/>
            </w:pPr>
            <w:r>
              <w:rPr>
                <w:sz w:val="21"/>
              </w:rPr>
              <w:t>第一道筛选</w:t>
            </w:r>
          </w:p>
        </w:tc>
        <w:tc>
          <w:tcPr>
            <w:tcW w:type="dxa" w:w="4201"/>
          </w:tcPr>
          <w:p>
            <w:pPr>
              <w:spacing w:line="240" w:lineRule="auto"/>
            </w:pPr>
            <w:r>
              <w:rPr>
                <w:sz w:val="21"/>
              </w:rPr>
              <w:t>证据强度：多源收敛优先于单源，一手材料优先于二手转述</w:t>
            </w:r>
          </w:p>
        </w:tc>
      </w:tr>
      <w:tr>
        <w:tc>
          <w:tcPr>
            <w:tcW w:type="dxa" w:w="4201"/>
          </w:tcPr>
          <w:p>
            <w:pPr>
              <w:spacing w:line="240" w:lineRule="auto"/>
              <w:jc w:val="left"/>
            </w:pPr>
            <w:r>
              <w:rPr>
                <w:sz w:val="21"/>
              </w:rPr>
              <w:t>第二道筛选</w:t>
            </w:r>
          </w:p>
        </w:tc>
        <w:tc>
          <w:tcPr>
            <w:tcW w:type="dxa" w:w="4201"/>
          </w:tcPr>
          <w:p>
            <w:pPr>
              <w:spacing w:line="240" w:lineRule="auto"/>
            </w:pPr>
            <w:r>
              <w:rPr>
                <w:sz w:val="21"/>
              </w:rPr>
              <w:t>教育可及性：学校能否在课程或项目环节提供相应支持</w:t>
            </w:r>
          </w:p>
        </w:tc>
      </w:tr>
      <w:tr>
        <w:tc>
          <w:tcPr>
            <w:tcW w:type="dxa" w:w="4201"/>
          </w:tcPr>
          <w:p>
            <w:pPr>
              <w:spacing w:line="240" w:lineRule="auto"/>
              <w:jc w:val="left"/>
            </w:pPr>
            <w:r>
              <w:rPr>
                <w:sz w:val="21"/>
              </w:rPr>
              <w:t>第三道筛选</w:t>
            </w:r>
          </w:p>
        </w:tc>
        <w:tc>
          <w:tcPr>
            <w:tcW w:type="dxa" w:w="4201"/>
          </w:tcPr>
          <w:p>
            <w:pPr>
              <w:spacing w:line="240" w:lineRule="auto"/>
            </w:pPr>
            <w:r>
              <w:rPr>
                <w:sz w:val="21"/>
              </w:rPr>
              <w:t>不可替代性：该项能否在工作年限中自然积累</w:t>
            </w:r>
          </w:p>
        </w:tc>
      </w:tr>
      <w:tr>
        <w:tc>
          <w:tcPr>
            <w:tcW w:type="dxa" w:w="4201"/>
          </w:tcPr>
          <w:p>
            <w:pPr>
              <w:spacing w:line="240" w:lineRule="auto"/>
              <w:jc w:val="left"/>
            </w:pPr>
            <w:r>
              <w:rPr>
                <w:sz w:val="21"/>
              </w:rPr>
              <w:t>结果分档</w:t>
            </w:r>
          </w:p>
        </w:tc>
        <w:tc>
          <w:tcPr>
            <w:tcW w:type="dxa" w:w="4201"/>
          </w:tcPr>
          <w:p>
            <w:pPr>
              <w:spacing w:line="240" w:lineRule="auto"/>
            </w:pPr>
            <w:r>
              <w:rPr>
                <w:sz w:val="21"/>
              </w:rPr>
              <w:t>三道均通过者进入结论建议，通过两道者进入讨论，仅通过一道者列为观察项</w:t>
            </w:r>
          </w:p>
        </w:tc>
      </w:tr>
    </w:tbl>
    <w:p>
      <w:pPr>
        <w:pStyle w:val="a3"/>
      </w:pPr>
      <w:r>
        <w:rPr>
          <w:sz w:val="18"/>
        </w:rPr>
        <w:t>注：规则用于使每一处缺口均可回溯到具体证据条目。资料来源：本研究缺口判定规则。</w:t>
      </w:r>
    </w:p>
    <w:p>
      <w:pPr>
        <w:pStyle w:val="a3"/>
      </w:pPr>
    </w:p>
    <w:p>
      <w:pPr>
        <w:pStyle w:val="2"/>
      </w:pPr>
      <w:r>
        <w:t>附录 H　资料来源与引用说明</w:t>
      </w:r>
    </w:p>
    <w:p>
      <w:pPr>
        <w:pStyle w:val="a3"/>
        <w:ind w:firstLine="480"/>
      </w:pPr>
      <w:r>
        <w:t>本研究的资料按可信程度分为三档：官方原件，包括培养方案文件、课程表、政策文本与国际组织报告；互联网档案馆快照，用于获取已下线的历史版本；第三方转载件，仅作方向结构的参考，不用于判断某门课程首次出现的年份。凡涉及院校课程体系的判断，均以官方原件或档案馆快照为准。</w:t>
      </w:r>
    </w:p>
    <w:p>
      <w:pPr>
        <w:pStyle w:val="a3"/>
        <w:ind w:firstLine="480"/>
      </w:pPr>
      <w:r>
        <w:t>在引用层面，本研究的参考来源分为三类。第一类可以核对原件，包括世界经济论坛《未来的工作》三期报告、工业和信息化部制造业设计能力提升专项行动计划、普通高等学校本科专业目录以及关于学校美育工作的政策意见。第二类为著录信息经公开数据库核验者，包括 Witkin 与 Altschuld（1995）与 Creswell 与 Plano Clark（2018）。第三类为本地暂未取得原件、著录信息经逐条核对者，包括 Hsieh 与 Shannon（2005）、Krippendorff（2018）以及若干部中文专著与译著。上述三类均已列入参考文献，凡列入者均在正文或附录中标注引用。</w:t>
      </w:r>
    </w:p>
    <w:p>
      <w:pPr>
        <w:pStyle w:val="a3"/>
        <w:ind w:firstLine="480"/>
      </w:pPr>
      <w:r>
        <w:t>在数据口径层面，本研究作如下说明。市场面百分比的分母为 103 条独立招聘需求，而非发布次数，国内层与海外层不作数值比较；岗位任务谱的分母为 693 句与 103 个岗位，同一条任务可计入多个类别；三份问卷的分母分别为 72、55 与 21，问卷 C 多数题目为 20，三者不作合并；课程名称关键词对照表的分母为表格行数，而非课程门数；国内外学分体系不同，其数值不作跨校比较。此外，本研究的访谈材料以记录稿形式留存，未包含完整的逐字转录文本与编码规则；问卷未采集院校分布信息；课程名义层的跨校检索记录尚未单独留存，缺口判定因此尚不具备完全的可复现性。上述事项构成研究在资料层面的限制，与正文研究不足部分相互对应。</w:t>
      </w:r>
    </w:p>
    <w:p>
      <w:pPr>
        <w:pStyle w:val="a3"/>
        <w:ind w:firstLine="480"/>
      </w:pPr>
      <w:r>
        <w:t>本报告在成稿过程中另收集到以下文献，它们见于小组分题稿的文献梳理，或作为章节结构的参照件，但本报告正文与附录未直接引用，故不列入参考文献，一并列出以供查阅。</w:t>
      </w:r>
    </w:p>
    <w:p>
      <w:pPr>
        <w:pStyle w:val="a3"/>
        <w:ind w:firstLine="480"/>
      </w:pPr>
      <w:r>
        <w:t>① 吴杰. 高校有组织科研中教师协作的影响因素与优化路径研究[D]. 广州: 华南师范大学, 2026.（章节结构参照件）</w:t>
      </w:r>
    </w:p>
    <w:p>
      <w:pPr>
        <w:pStyle w:val="a3"/>
        <w:ind w:firstLine="480"/>
      </w:pPr>
      <w:r>
        <w:t>② Spence M. Job market signaling[J]. The Quarterly Journal of Economics, 1973, 87(3): 355-374.</w:t>
      </w:r>
    </w:p>
    <w:p>
      <w:pPr>
        <w:pStyle w:val="a3"/>
        <w:ind w:firstLine="480"/>
      </w:pPr>
      <w:r>
        <w:t>③ Bankins S, et al. Navigating career stages in the age of artificial intelligence: A systematic review[J]. Journal of Vocational Behavior, 2024, 153: 104011.</w:t>
      </w:r>
    </w:p>
    <w:p>
      <w:pPr>
        <w:pStyle w:val="a3"/>
        <w:ind w:firstLine="480"/>
      </w:pPr>
      <w:r>
        <w:t>④ Portocarrero Ramos C, et al. Artificial intelligence and design education: A systematic review[J]. Frontiers in Artificial Intelligence, 2025, 8: 1629320.</w:t>
      </w:r>
    </w:p>
    <w:p>
      <w:pPr>
        <w:pStyle w:val="a3"/>
        <w:ind w:firstLine="480"/>
      </w:pPr>
      <w:r>
        <w:t>⑤ 段胜峰, 等. 设计学科交叉融合与人才培养模式研究[J]. 装饰, 2026.</w:t>
      </w:r>
    </w:p>
    <w:p>
      <w:pPr>
        <w:pStyle w:val="a3"/>
        <w:ind w:firstLine="480"/>
      </w:pPr>
      <w:r>
        <w:t>⑥ 陈旺, 李钰. “科教 产教”双融合视域下设计学研究生培养科研创新的探索与优化[J]. 设计, 2024, 37(19): 82-84.</w:t>
      </w:r>
    </w:p>
    <w:p>
      <w:pPr>
        <w:pStyle w:val="a3"/>
        <w:ind w:firstLine="480"/>
      </w:pPr>
      <w:r>
        <w:t>⑦ 付学佳, 等. 生成式人工智能对设计从业能力结构的影响[J]. 设计, 2025.</w:t>
      </w:r>
    </w:p>
    <w:p>
      <w:pPr>
        <w:pStyle w:val="a3"/>
        <w:ind w:firstLine="480"/>
      </w:pPr>
      <w:r>
        <w:t>⑧ 闫五一. 设计类研究生培养方案的知识结构分析[J]. 装饰, 2025.</w:t>
      </w:r>
    </w:p>
    <w:p>
      <w:pPr>
        <w:pStyle w:val="2"/>
      </w:pPr>
      <w:r>
        <w:t>附录 J　资料分析（原第 3 至 5 章）</w:t>
      </w:r>
    </w:p>
    <w:p>
      <w:pPr>
        <w:pStyle w:val="a3"/>
        <w:ind w:firstLine="480"/>
      </w:pPr>
      <w:r>
        <w:t>本附录为完整资料分析，包含学生需求侧、市场与制度需求侧与教育供给侧三部分。正文的结论与讨论直接引用本附录的数据，正文不再重复其表格与逐题统计；各部分的语料性质、编码方式与判定结果均在本附录内交代，与附录 D、附录 E 的编码过程互为参照。</w:t>
      </w:r>
    </w:p>
    <w:p>
      <w:pPr>
        <w:pStyle w:val="3"/>
      </w:pPr>
      <w:r>
        <w:t>学生需求侧</w:t>
      </w:r>
    </w:p>
    <w:p>
      <w:pPr>
        <w:pStyle w:val="a3"/>
      </w:pPr>
      <w:r>
        <w:rPr>
          <w:b/>
          <w:sz w:val="24"/>
        </w:rPr>
        <w:t>调研过程与样本描述</w:t>
      </w:r>
    </w:p>
    <w:p>
      <w:pPr>
        <w:pStyle w:val="a3"/>
        <w:ind w:firstLine="480"/>
      </w:pPr>
      <w:r>
        <w:t>学生需求侧的资料由四条采集线构成：问卷 A 共 17 题，有效样本 72 份，其中研究生 52 人、本科生 20 人；问卷 B 共 10 题，有效样本 55 份，其中研究生 39 人、本科生 16 人，另附 4 人访谈；问卷 C 发放 30 份、回收 21 份，多数题目有效人次为 20，另附研二学生访谈。三份问卷的题目与分母并不相同，故不作合并统计，只作定性收敛，样本构成与调查工具见附录 A、附录 B。</w:t>
      </w:r>
    </w:p>
    <w:p>
      <w:pPr>
        <w:pStyle w:val="a3"/>
      </w:pPr>
      <w:r>
        <w:rPr>
          <w:b/>
          <w:sz w:val="24"/>
        </w:rPr>
        <w:t>需求方向与资源缺口</w:t>
      </w:r>
    </w:p>
    <w:p>
      <w:pPr>
        <w:pStyle w:val="a3"/>
        <w:ind w:firstLine="480"/>
      </w:pPr>
      <w:r>
        <w:t>问卷 A 所测量的是学生对未来趋势的认知结构。跨学科被选择 46 次、人工智能 38 次、可持续 35 次、项目制 34 次，各项差距并不悬殊；五道需求强度题的均值极差仅 0.15。对“课程与行业需求脱节”的认同均值为 3.89，同意与非常同意者合计 50 人，不同意者为 0。按专业方向交叉之后侧重分化：数字媒体与工业设计偏向设计与人工智能，环境艺术偏向可持续，视觉传达偏向商业与品牌；因分母为各方向受访人数，本研究仅作“需求具有方向性”的判断。学生需求侧问卷的测量构念、测量方式与主要统计结果见表 J1。</w:t>
      </w:r>
    </w:p>
    <w:p>
      <w:pPr>
        <w:pStyle w:val="a3"/>
        <w:jc w:val="center"/>
      </w:pPr>
      <w:r>
        <w:rPr>
          <w:b/>
          <w:sz w:val="21"/>
        </w:rPr>
        <w:t>表 J1　学生需求侧问卷的测量构念、测量方式与主要统计结果</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504"/>
        <w:gridCol w:w="1176"/>
        <w:gridCol w:w="924"/>
        <w:gridCol w:w="672"/>
        <w:gridCol w:w="3949"/>
        <w:gridCol w:w="1176"/>
      </w:tblGrid>
      <w:tr>
        <w:trPr>
          <w:tblHeader w:val="true"/>
        </w:trPr>
        <w:tc>
          <w:tcPr>
            <w:tcW w:type="dxa" w:w="1400"/>
            <w:tcBorders>
              <w:bottom w:val="single" w:sz="6" w:color="auto"/>
            </w:tcBorders>
          </w:tcPr>
          <w:p>
            <w:pPr>
              <w:spacing w:line="240" w:lineRule="auto"/>
              <w:jc w:val="center"/>
            </w:pPr>
            <w:r/>
            <w:r>
              <w:rPr>
                <w:b/>
                <w:sz w:val="21"/>
              </w:rPr>
              <w:t>问卷</w:t>
            </w:r>
          </w:p>
        </w:tc>
        <w:tc>
          <w:tcPr>
            <w:tcW w:type="dxa" w:w="1400"/>
            <w:tcBorders>
              <w:bottom w:val="single" w:sz="6" w:color="auto"/>
            </w:tcBorders>
          </w:tcPr>
          <w:p>
            <w:pPr>
              <w:spacing w:line="240" w:lineRule="auto"/>
              <w:jc w:val="center"/>
            </w:pPr>
            <w:r/>
            <w:r>
              <w:rPr>
                <w:b/>
                <w:sz w:val="21"/>
              </w:rPr>
              <w:t>测量构念</w:t>
            </w:r>
          </w:p>
        </w:tc>
        <w:tc>
          <w:tcPr>
            <w:tcW w:type="dxa" w:w="1400"/>
            <w:tcBorders>
              <w:bottom w:val="single" w:sz="6" w:color="auto"/>
            </w:tcBorders>
          </w:tcPr>
          <w:p>
            <w:pPr>
              <w:spacing w:line="240" w:lineRule="auto"/>
              <w:jc w:val="center"/>
            </w:pPr>
            <w:r/>
            <w:r>
              <w:rPr>
                <w:b/>
                <w:sz w:val="21"/>
              </w:rPr>
              <w:t>测量方式</w:t>
            </w:r>
          </w:p>
        </w:tc>
        <w:tc>
          <w:tcPr>
            <w:tcW w:type="dxa" w:w="1400"/>
            <w:tcBorders>
              <w:bottom w:val="single" w:sz="6" w:color="auto"/>
            </w:tcBorders>
          </w:tcPr>
          <w:p>
            <w:pPr>
              <w:spacing w:line="240" w:lineRule="auto"/>
              <w:jc w:val="center"/>
            </w:pPr>
            <w:r/>
            <w:r>
              <w:rPr>
                <w:b/>
                <w:sz w:val="21"/>
              </w:rPr>
              <w:t>有效样本</w:t>
            </w:r>
          </w:p>
        </w:tc>
        <w:tc>
          <w:tcPr>
            <w:tcW w:type="dxa" w:w="1400"/>
            <w:tcBorders>
              <w:bottom w:val="single" w:sz="6" w:color="auto"/>
            </w:tcBorders>
          </w:tcPr>
          <w:p>
            <w:pPr>
              <w:spacing w:line="240" w:lineRule="auto"/>
              <w:jc w:val="center"/>
            </w:pPr>
            <w:r/>
            <w:r>
              <w:rPr>
                <w:b/>
                <w:sz w:val="21"/>
              </w:rPr>
              <w:t>主要统计结果</w:t>
            </w:r>
          </w:p>
        </w:tc>
        <w:tc>
          <w:tcPr>
            <w:tcW w:type="dxa" w:w="1400"/>
            <w:tcBorders>
              <w:bottom w:val="single" w:sz="6" w:color="auto"/>
            </w:tcBorders>
          </w:tcPr>
          <w:p>
            <w:pPr>
              <w:spacing w:line="240" w:lineRule="auto"/>
              <w:jc w:val="center"/>
            </w:pPr>
            <w:r/>
            <w:r>
              <w:rPr>
                <w:b/>
                <w:sz w:val="21"/>
              </w:rPr>
              <w:t>口径说明</w:t>
            </w:r>
          </w:p>
        </w:tc>
      </w:tr>
      <w:tr>
        <w:tc>
          <w:tcPr>
            <w:tcW w:type="dxa" w:w="1400"/>
          </w:tcPr>
          <w:p>
            <w:pPr>
              <w:spacing w:line="240" w:lineRule="auto"/>
              <w:jc w:val="left"/>
            </w:pPr>
            <w:r>
              <w:rPr>
                <w:sz w:val="21"/>
              </w:rPr>
              <w:t>A</w:t>
            </w:r>
          </w:p>
        </w:tc>
        <w:tc>
          <w:tcPr>
            <w:tcW w:type="dxa" w:w="1400"/>
          </w:tcPr>
          <w:p>
            <w:pPr>
              <w:spacing w:line="240" w:lineRule="auto"/>
            </w:pPr>
            <w:r>
              <w:rPr>
                <w:sz w:val="21"/>
              </w:rPr>
              <w:t>未来趋势判断</w:t>
            </w:r>
          </w:p>
        </w:tc>
        <w:tc>
          <w:tcPr>
            <w:tcW w:type="dxa" w:w="1400"/>
          </w:tcPr>
          <w:p>
            <w:pPr>
              <w:spacing w:line="240" w:lineRule="auto"/>
            </w:pPr>
            <w:r>
              <w:rPr>
                <w:sz w:val="21"/>
              </w:rPr>
              <w:t>多选</w:t>
            </w:r>
          </w:p>
        </w:tc>
        <w:tc>
          <w:tcPr>
            <w:tcW w:type="dxa" w:w="1400"/>
          </w:tcPr>
          <w:p>
            <w:pPr>
              <w:spacing w:line="240" w:lineRule="auto"/>
              <w:jc w:val="center"/>
            </w:pPr>
            <w:r>
              <w:rPr>
                <w:sz w:val="21"/>
              </w:rPr>
              <w:t>72</w:t>
            </w:r>
          </w:p>
        </w:tc>
        <w:tc>
          <w:tcPr>
            <w:tcW w:type="dxa" w:w="1400"/>
          </w:tcPr>
          <w:p>
            <w:pPr>
              <w:spacing w:line="240" w:lineRule="auto"/>
            </w:pPr>
            <w:r>
              <w:rPr>
                <w:sz w:val="21"/>
              </w:rPr>
              <w:t>跨学科融合 46（63.9%）；人工智能与智能设计 38（52.8%）；可持续设计与社会创新 35（48.6%）；项目制与真实课题 34（47.2%）</w:t>
            </w:r>
          </w:p>
        </w:tc>
        <w:tc>
          <w:tcPr>
            <w:tcW w:type="dxa" w:w="1400"/>
          </w:tcPr>
          <w:p>
            <w:pPr>
              <w:spacing w:line="240" w:lineRule="auto"/>
            </w:pPr>
            <w:r>
              <w:rPr>
                <w:sz w:val="21"/>
              </w:rPr>
              <w:t>各项比例之和大于 100%</w:t>
            </w:r>
          </w:p>
        </w:tc>
      </w:tr>
      <w:tr>
        <w:tc>
          <w:tcPr>
            <w:tcW w:type="dxa" w:w="1400"/>
          </w:tcPr>
          <w:p>
            <w:pPr>
              <w:spacing w:line="240" w:lineRule="auto"/>
              <w:jc w:val="left"/>
            </w:pPr>
            <w:r>
              <w:rPr>
                <w:sz w:val="21"/>
              </w:rPr>
              <w:t>A</w:t>
            </w:r>
          </w:p>
        </w:tc>
        <w:tc>
          <w:tcPr>
            <w:tcW w:type="dxa" w:w="1400"/>
          </w:tcPr>
          <w:p>
            <w:pPr>
              <w:spacing w:line="240" w:lineRule="auto"/>
            </w:pPr>
            <w:r>
              <w:rPr>
                <w:sz w:val="21"/>
              </w:rPr>
              <w:t>教育资源缺口</w:t>
            </w:r>
          </w:p>
        </w:tc>
        <w:tc>
          <w:tcPr>
            <w:tcW w:type="dxa" w:w="1400"/>
          </w:tcPr>
          <w:p>
            <w:pPr>
              <w:spacing w:line="240" w:lineRule="auto"/>
            </w:pPr>
            <w:r>
              <w:rPr>
                <w:sz w:val="21"/>
              </w:rPr>
              <w:t>多选</w:t>
            </w:r>
          </w:p>
        </w:tc>
        <w:tc>
          <w:tcPr>
            <w:tcW w:type="dxa" w:w="1400"/>
          </w:tcPr>
          <w:p>
            <w:pPr>
              <w:spacing w:line="240" w:lineRule="auto"/>
              <w:jc w:val="center"/>
            </w:pPr>
            <w:r>
              <w:rPr>
                <w:sz w:val="21"/>
              </w:rPr>
              <w:t>72</w:t>
            </w:r>
          </w:p>
        </w:tc>
        <w:tc>
          <w:tcPr>
            <w:tcW w:type="dxa" w:w="1400"/>
          </w:tcPr>
          <w:p>
            <w:pPr>
              <w:spacing w:line="240" w:lineRule="auto"/>
            </w:pPr>
            <w:r>
              <w:rPr>
                <w:sz w:val="21"/>
              </w:rPr>
              <w:t>可持续设计 46（63.9%）；跨学科师资 42（58.3%）；人工智能工具 37（51.4%）；企业项目 37（51.4%）</w:t>
            </w:r>
          </w:p>
        </w:tc>
        <w:tc>
          <w:tcPr>
            <w:tcW w:type="dxa" w:w="1400"/>
          </w:tcPr>
          <w:p>
            <w:pPr>
              <w:spacing w:line="240" w:lineRule="auto"/>
            </w:pPr>
            <w:r>
              <w:rPr>
                <w:sz w:val="21"/>
              </w:rPr>
              <w:t>同上</w:t>
            </w:r>
          </w:p>
        </w:tc>
      </w:tr>
      <w:tr>
        <w:tc>
          <w:tcPr>
            <w:tcW w:type="dxa" w:w="1400"/>
          </w:tcPr>
          <w:p>
            <w:pPr>
              <w:spacing w:line="240" w:lineRule="auto"/>
              <w:jc w:val="left"/>
            </w:pPr>
            <w:r>
              <w:rPr>
                <w:sz w:val="21"/>
              </w:rPr>
              <w:t>A</w:t>
            </w:r>
          </w:p>
        </w:tc>
        <w:tc>
          <w:tcPr>
            <w:tcW w:type="dxa" w:w="1400"/>
          </w:tcPr>
          <w:p>
            <w:pPr>
              <w:spacing w:line="240" w:lineRule="auto"/>
            </w:pPr>
            <w:r>
              <w:rPr>
                <w:sz w:val="21"/>
              </w:rPr>
              <w:t>需求强度</w:t>
            </w:r>
          </w:p>
        </w:tc>
        <w:tc>
          <w:tcPr>
            <w:tcW w:type="dxa" w:w="1400"/>
          </w:tcPr>
          <w:p>
            <w:pPr>
              <w:spacing w:line="240" w:lineRule="auto"/>
            </w:pPr>
            <w:r>
              <w:rPr>
                <w:sz w:val="21"/>
              </w:rPr>
              <w:t>五点量表</w:t>
            </w:r>
          </w:p>
        </w:tc>
        <w:tc>
          <w:tcPr>
            <w:tcW w:type="dxa" w:w="1400"/>
          </w:tcPr>
          <w:p>
            <w:pPr>
              <w:spacing w:line="240" w:lineRule="auto"/>
              <w:jc w:val="center"/>
            </w:pPr>
            <w:r>
              <w:rPr>
                <w:sz w:val="21"/>
              </w:rPr>
              <w:t>72</w:t>
            </w:r>
          </w:p>
        </w:tc>
        <w:tc>
          <w:tcPr>
            <w:tcW w:type="dxa" w:w="1400"/>
          </w:tcPr>
          <w:p>
            <w:pPr>
              <w:spacing w:line="240" w:lineRule="auto"/>
            </w:pPr>
            <w:r>
              <w:rPr>
                <w:sz w:val="21"/>
              </w:rPr>
              <w:t>草图与原型 4.18；可持续设计 4.17；人工智能训练 4.14；企业学分 4.10；跨学科学习 4.03；五项极差 0.15</w:t>
            </w:r>
          </w:p>
        </w:tc>
        <w:tc>
          <w:tcPr>
            <w:tcW w:type="dxa" w:w="1400"/>
          </w:tcPr>
          <w:p>
            <w:pPr>
              <w:spacing w:line="240" w:lineRule="auto"/>
            </w:pPr>
            <w:r>
              <w:rPr>
                <w:sz w:val="21"/>
              </w:rPr>
              <w:t>极差过小，不构成排序</w:t>
            </w:r>
          </w:p>
        </w:tc>
      </w:tr>
      <w:tr>
        <w:tc>
          <w:tcPr>
            <w:tcW w:type="dxa" w:w="1400"/>
          </w:tcPr>
          <w:p>
            <w:pPr>
              <w:spacing w:line="240" w:lineRule="auto"/>
              <w:jc w:val="left"/>
            </w:pPr>
            <w:r>
              <w:rPr>
                <w:sz w:val="21"/>
              </w:rPr>
              <w:t>A</w:t>
            </w:r>
          </w:p>
        </w:tc>
        <w:tc>
          <w:tcPr>
            <w:tcW w:type="dxa" w:w="1400"/>
          </w:tcPr>
          <w:p>
            <w:pPr>
              <w:spacing w:line="240" w:lineRule="auto"/>
            </w:pPr>
            <w:r>
              <w:rPr>
                <w:sz w:val="21"/>
              </w:rPr>
              <w:t>课程与行业需求脱节</w:t>
            </w:r>
          </w:p>
        </w:tc>
        <w:tc>
          <w:tcPr>
            <w:tcW w:type="dxa" w:w="1400"/>
          </w:tcPr>
          <w:p>
            <w:pPr>
              <w:spacing w:line="240" w:lineRule="auto"/>
            </w:pPr>
            <w:r>
              <w:rPr>
                <w:sz w:val="21"/>
              </w:rPr>
              <w:t>五点量表</w:t>
            </w:r>
          </w:p>
        </w:tc>
        <w:tc>
          <w:tcPr>
            <w:tcW w:type="dxa" w:w="1400"/>
          </w:tcPr>
          <w:p>
            <w:pPr>
              <w:spacing w:line="240" w:lineRule="auto"/>
              <w:jc w:val="center"/>
            </w:pPr>
            <w:r>
              <w:rPr>
                <w:sz w:val="21"/>
              </w:rPr>
              <w:t>72</w:t>
            </w:r>
          </w:p>
        </w:tc>
        <w:tc>
          <w:tcPr>
            <w:tcW w:type="dxa" w:w="1400"/>
          </w:tcPr>
          <w:p>
            <w:pPr>
              <w:spacing w:line="240" w:lineRule="auto"/>
            </w:pPr>
            <w:r>
              <w:rPr>
                <w:sz w:val="21"/>
              </w:rPr>
              <w:t>M = 3.89；同意与非常同意 50（69.4%）；不同意 0</w:t>
            </w:r>
          </w:p>
        </w:tc>
        <w:tc>
          <w:tcPr>
            <w:tcW w:type="dxa" w:w="1400"/>
          </w:tcPr>
          <w:p>
            <w:pPr>
              <w:spacing w:line="240" w:lineRule="auto"/>
            </w:pPr>
            <w:r>
              <w:rPr>
                <w:sz w:val="21"/>
              </w:rPr>
              <w:t>反向意见为零</w:t>
            </w:r>
          </w:p>
        </w:tc>
      </w:tr>
      <w:tr>
        <w:tc>
          <w:tcPr>
            <w:tcW w:type="dxa" w:w="1400"/>
          </w:tcPr>
          <w:p>
            <w:pPr>
              <w:spacing w:line="240" w:lineRule="auto"/>
              <w:jc w:val="left"/>
            </w:pPr>
            <w:r>
              <w:rPr>
                <w:sz w:val="21"/>
              </w:rPr>
              <w:t>A</w:t>
            </w:r>
          </w:p>
        </w:tc>
        <w:tc>
          <w:tcPr>
            <w:tcW w:type="dxa" w:w="1400"/>
          </w:tcPr>
          <w:p>
            <w:pPr>
              <w:spacing w:line="240" w:lineRule="auto"/>
            </w:pPr>
            <w:r>
              <w:rPr>
                <w:sz w:val="21"/>
              </w:rPr>
              <w:t>人工智能对就业的影响</w:t>
            </w:r>
          </w:p>
        </w:tc>
        <w:tc>
          <w:tcPr>
            <w:tcW w:type="dxa" w:w="1400"/>
          </w:tcPr>
          <w:p>
            <w:pPr>
              <w:spacing w:line="240" w:lineRule="auto"/>
            </w:pPr>
            <w:r>
              <w:rPr>
                <w:sz w:val="21"/>
              </w:rPr>
              <w:t>五点量表</w:t>
            </w:r>
          </w:p>
        </w:tc>
        <w:tc>
          <w:tcPr>
            <w:tcW w:type="dxa" w:w="1400"/>
          </w:tcPr>
          <w:p>
            <w:pPr>
              <w:spacing w:line="240" w:lineRule="auto"/>
              <w:jc w:val="center"/>
            </w:pPr>
            <w:r>
              <w:rPr>
                <w:sz w:val="21"/>
              </w:rPr>
              <w:t>72</w:t>
            </w:r>
          </w:p>
        </w:tc>
        <w:tc>
          <w:tcPr>
            <w:tcW w:type="dxa" w:w="1400"/>
          </w:tcPr>
          <w:p>
            <w:pPr>
              <w:spacing w:line="240" w:lineRule="auto"/>
            </w:pPr>
            <w:r>
              <w:rPr>
                <w:sz w:val="21"/>
              </w:rPr>
              <w:t>M = 3.83；影响较大与非常大 57（79.2%）</w:t>
            </w:r>
          </w:p>
        </w:tc>
        <w:tc>
          <w:tcPr>
            <w:tcW w:type="dxa" w:w="1400"/>
          </w:tcPr>
          <w:p>
            <w:pPr>
              <w:spacing w:line="240" w:lineRule="auto"/>
              <w:jc w:val="center"/>
            </w:pPr>
            <w:r>
              <w:rPr>
                <w:sz w:val="21"/>
              </w:rPr>
              <w:t>—</w:t>
            </w:r>
          </w:p>
        </w:tc>
      </w:tr>
      <w:tr>
        <w:tc>
          <w:tcPr>
            <w:tcW w:type="dxa" w:w="1400"/>
          </w:tcPr>
          <w:p>
            <w:pPr>
              <w:spacing w:line="240" w:lineRule="auto"/>
              <w:jc w:val="left"/>
            </w:pPr>
            <w:r>
              <w:rPr>
                <w:sz w:val="21"/>
              </w:rPr>
              <w:t>A</w:t>
            </w:r>
          </w:p>
        </w:tc>
        <w:tc>
          <w:tcPr>
            <w:tcW w:type="dxa" w:w="1400"/>
          </w:tcPr>
          <w:p>
            <w:pPr>
              <w:spacing w:line="240" w:lineRule="auto"/>
            </w:pPr>
            <w:r>
              <w:rPr>
                <w:sz w:val="21"/>
              </w:rPr>
              <w:t>专业方向与年级构成</w:t>
            </w:r>
          </w:p>
        </w:tc>
        <w:tc>
          <w:tcPr>
            <w:tcW w:type="dxa" w:w="1400"/>
          </w:tcPr>
          <w:p>
            <w:pPr>
              <w:spacing w:line="240" w:lineRule="auto"/>
            </w:pPr>
            <w:r>
              <w:rPr>
                <w:sz w:val="21"/>
              </w:rPr>
              <w:t>单选</w:t>
            </w:r>
          </w:p>
        </w:tc>
        <w:tc>
          <w:tcPr>
            <w:tcW w:type="dxa" w:w="1400"/>
          </w:tcPr>
          <w:p>
            <w:pPr>
              <w:spacing w:line="240" w:lineRule="auto"/>
              <w:jc w:val="center"/>
            </w:pPr>
            <w:r>
              <w:rPr>
                <w:sz w:val="21"/>
              </w:rPr>
              <w:t>72</w:t>
            </w:r>
          </w:p>
        </w:tc>
        <w:tc>
          <w:tcPr>
            <w:tcW w:type="dxa" w:w="1400"/>
          </w:tcPr>
          <w:p>
            <w:pPr>
              <w:spacing w:line="240" w:lineRule="auto"/>
            </w:pPr>
            <w:r>
              <w:rPr>
                <w:sz w:val="21"/>
              </w:rPr>
              <w:t>环境艺术 23、数字传媒 15、工业设计 13、视觉传达 11、产品设计 8、其他 2；研究生 52、本科生 20</w:t>
            </w:r>
          </w:p>
        </w:tc>
        <w:tc>
          <w:tcPr>
            <w:tcW w:type="dxa" w:w="1400"/>
          </w:tcPr>
          <w:p>
            <w:pPr>
              <w:spacing w:line="240" w:lineRule="auto"/>
            </w:pPr>
            <w:r>
              <w:rPr>
                <w:sz w:val="21"/>
              </w:rPr>
              <w:t>本科生占 27.8%</w:t>
            </w:r>
          </w:p>
        </w:tc>
      </w:tr>
      <w:tr>
        <w:tc>
          <w:tcPr>
            <w:tcW w:type="dxa" w:w="1400"/>
          </w:tcPr>
          <w:p>
            <w:pPr>
              <w:spacing w:line="240" w:lineRule="auto"/>
              <w:jc w:val="left"/>
            </w:pPr>
            <w:r>
              <w:rPr>
                <w:sz w:val="21"/>
              </w:rPr>
              <w:t>B</w:t>
            </w:r>
          </w:p>
        </w:tc>
        <w:tc>
          <w:tcPr>
            <w:tcW w:type="dxa" w:w="1400"/>
          </w:tcPr>
          <w:p>
            <w:pPr>
              <w:spacing w:line="240" w:lineRule="auto"/>
            </w:pPr>
            <w:r>
              <w:rPr>
                <w:sz w:val="21"/>
              </w:rPr>
              <w:t>人工智能工具使用</w:t>
            </w:r>
          </w:p>
        </w:tc>
        <w:tc>
          <w:tcPr>
            <w:tcW w:type="dxa" w:w="1400"/>
          </w:tcPr>
          <w:p>
            <w:pPr>
              <w:spacing w:line="240" w:lineRule="auto"/>
            </w:pPr>
            <w:r>
              <w:rPr>
                <w:sz w:val="21"/>
              </w:rPr>
              <w:t>单选与多选</w:t>
            </w:r>
          </w:p>
        </w:tc>
        <w:tc>
          <w:tcPr>
            <w:tcW w:type="dxa" w:w="1400"/>
          </w:tcPr>
          <w:p>
            <w:pPr>
              <w:spacing w:line="240" w:lineRule="auto"/>
              <w:jc w:val="center"/>
            </w:pPr>
            <w:r>
              <w:rPr>
                <w:sz w:val="21"/>
              </w:rPr>
              <w:t>55</w:t>
            </w:r>
          </w:p>
        </w:tc>
        <w:tc>
          <w:tcPr>
            <w:tcW w:type="dxa" w:w="1400"/>
          </w:tcPr>
          <w:p>
            <w:pPr>
              <w:spacing w:line="240" w:lineRule="auto"/>
            </w:pPr>
            <w:r>
              <w:rPr>
                <w:sz w:val="21"/>
              </w:rPr>
              <w:t>经常使用 40（72.7%）；图片生成与视觉表现 44（80.0%）；灵感收集与创意发散 39（70.9%）</w:t>
            </w:r>
          </w:p>
        </w:tc>
        <w:tc>
          <w:tcPr>
            <w:tcW w:type="dxa" w:w="1400"/>
          </w:tcPr>
          <w:p>
            <w:pPr>
              <w:spacing w:line="240" w:lineRule="auto"/>
              <w:jc w:val="center"/>
            </w:pPr>
            <w:r>
              <w:rPr>
                <w:sz w:val="21"/>
              </w:rPr>
              <w:t>—</w:t>
            </w:r>
          </w:p>
        </w:tc>
      </w:tr>
      <w:tr>
        <w:tc>
          <w:tcPr>
            <w:tcW w:type="dxa" w:w="1400"/>
          </w:tcPr>
          <w:p>
            <w:pPr>
              <w:spacing w:line="240" w:lineRule="auto"/>
              <w:jc w:val="left"/>
            </w:pPr>
            <w:r>
              <w:rPr>
                <w:sz w:val="21"/>
              </w:rPr>
              <w:t>B</w:t>
            </w:r>
          </w:p>
        </w:tc>
        <w:tc>
          <w:tcPr>
            <w:tcW w:type="dxa" w:w="1400"/>
          </w:tcPr>
          <w:p>
            <w:pPr>
              <w:spacing w:line="240" w:lineRule="auto"/>
            </w:pPr>
            <w:r>
              <w:rPr>
                <w:sz w:val="21"/>
              </w:rPr>
              <w:t>角色期待</w:t>
            </w:r>
          </w:p>
        </w:tc>
        <w:tc>
          <w:tcPr>
            <w:tcW w:type="dxa" w:w="1400"/>
          </w:tcPr>
          <w:p>
            <w:pPr>
              <w:spacing w:line="240" w:lineRule="auto"/>
            </w:pPr>
            <w:r>
              <w:rPr>
                <w:sz w:val="21"/>
              </w:rPr>
              <w:t>多选</w:t>
            </w:r>
          </w:p>
        </w:tc>
        <w:tc>
          <w:tcPr>
            <w:tcW w:type="dxa" w:w="1400"/>
          </w:tcPr>
          <w:p>
            <w:pPr>
              <w:spacing w:line="240" w:lineRule="auto"/>
              <w:jc w:val="center"/>
            </w:pPr>
            <w:r>
              <w:rPr>
                <w:sz w:val="21"/>
              </w:rPr>
              <w:t>55</w:t>
            </w:r>
          </w:p>
        </w:tc>
        <w:tc>
          <w:tcPr>
            <w:tcW w:type="dxa" w:w="1400"/>
          </w:tcPr>
          <w:p>
            <w:pPr>
              <w:spacing w:line="240" w:lineRule="auto"/>
            </w:pPr>
            <w:r>
              <w:rPr>
                <w:sz w:val="21"/>
              </w:rPr>
              <w:t>创意启发 39（70.9%）；资料整理与研究辅助 35（63.6%）；技能教学 30（54.5%）；完全替代部分教师教学 4（7.3%）</w:t>
            </w:r>
          </w:p>
        </w:tc>
        <w:tc>
          <w:tcPr>
            <w:tcW w:type="dxa" w:w="1400"/>
          </w:tcPr>
          <w:p>
            <w:pPr>
              <w:spacing w:line="240" w:lineRule="auto"/>
            </w:pPr>
            <w:r>
              <w:rPr>
                <w:sz w:val="21"/>
              </w:rPr>
              <w:t>替代教师一项远低于其他各项</w:t>
            </w:r>
          </w:p>
        </w:tc>
      </w:tr>
      <w:tr>
        <w:tc>
          <w:tcPr>
            <w:tcW w:type="dxa" w:w="1400"/>
          </w:tcPr>
          <w:p>
            <w:pPr>
              <w:spacing w:line="240" w:lineRule="auto"/>
              <w:jc w:val="left"/>
            </w:pPr>
            <w:r>
              <w:rPr>
                <w:sz w:val="21"/>
              </w:rPr>
              <w:t>B</w:t>
            </w:r>
          </w:p>
        </w:tc>
        <w:tc>
          <w:tcPr>
            <w:tcW w:type="dxa" w:w="1400"/>
          </w:tcPr>
          <w:p>
            <w:pPr>
              <w:spacing w:line="240" w:lineRule="auto"/>
            </w:pPr>
            <w:r>
              <w:rPr>
                <w:sz w:val="21"/>
              </w:rPr>
              <w:t>决策归属</w:t>
            </w:r>
          </w:p>
        </w:tc>
        <w:tc>
          <w:tcPr>
            <w:tcW w:type="dxa" w:w="1400"/>
          </w:tcPr>
          <w:p>
            <w:pPr>
              <w:spacing w:line="240" w:lineRule="auto"/>
            </w:pPr>
            <w:r>
              <w:rPr>
                <w:sz w:val="21"/>
              </w:rPr>
              <w:t>单选</w:t>
            </w:r>
          </w:p>
        </w:tc>
        <w:tc>
          <w:tcPr>
            <w:tcW w:type="dxa" w:w="1400"/>
          </w:tcPr>
          <w:p>
            <w:pPr>
              <w:spacing w:line="240" w:lineRule="auto"/>
              <w:jc w:val="center"/>
            </w:pPr>
            <w:r>
              <w:rPr>
                <w:sz w:val="21"/>
              </w:rPr>
              <w:t>55</w:t>
            </w:r>
          </w:p>
        </w:tc>
        <w:tc>
          <w:tcPr>
            <w:tcW w:type="dxa" w:w="1400"/>
          </w:tcPr>
          <w:p>
            <w:pPr>
              <w:spacing w:line="240" w:lineRule="auto"/>
            </w:pPr>
            <w:r>
              <w:rPr>
                <w:sz w:val="21"/>
              </w:rPr>
              <w:t>选择最终方案：本人 28（50.9%）、教师 24（43.6%）、人工智能 3（5.5%）</w:t>
            </w:r>
          </w:p>
        </w:tc>
        <w:tc>
          <w:tcPr>
            <w:tcW w:type="dxa" w:w="1400"/>
          </w:tcPr>
          <w:p>
            <w:pPr>
              <w:spacing w:line="240" w:lineRule="auto"/>
              <w:jc w:val="center"/>
            </w:pPr>
            <w:r>
              <w:rPr>
                <w:sz w:val="21"/>
              </w:rPr>
              <w:t>—</w:t>
            </w:r>
          </w:p>
        </w:tc>
      </w:tr>
      <w:tr>
        <w:tc>
          <w:tcPr>
            <w:tcW w:type="dxa" w:w="1400"/>
          </w:tcPr>
          <w:p>
            <w:pPr>
              <w:spacing w:line="240" w:lineRule="auto"/>
              <w:jc w:val="left"/>
            </w:pPr>
            <w:r>
              <w:rPr>
                <w:sz w:val="21"/>
              </w:rPr>
              <w:t>B</w:t>
            </w:r>
          </w:p>
        </w:tc>
        <w:tc>
          <w:tcPr>
            <w:tcW w:type="dxa" w:w="1400"/>
          </w:tcPr>
          <w:p>
            <w:pPr>
              <w:spacing w:line="240" w:lineRule="auto"/>
            </w:pPr>
            <w:r>
              <w:rPr>
                <w:sz w:val="21"/>
              </w:rPr>
              <w:t>教师必要性</w:t>
            </w:r>
          </w:p>
        </w:tc>
        <w:tc>
          <w:tcPr>
            <w:tcW w:type="dxa" w:w="1400"/>
          </w:tcPr>
          <w:p>
            <w:pPr>
              <w:spacing w:line="240" w:lineRule="auto"/>
            </w:pPr>
            <w:r>
              <w:rPr>
                <w:sz w:val="21"/>
              </w:rPr>
              <w:t>单选</w:t>
            </w:r>
          </w:p>
        </w:tc>
        <w:tc>
          <w:tcPr>
            <w:tcW w:type="dxa" w:w="1400"/>
          </w:tcPr>
          <w:p>
            <w:pPr>
              <w:spacing w:line="240" w:lineRule="auto"/>
              <w:jc w:val="center"/>
            </w:pPr>
            <w:r>
              <w:rPr>
                <w:sz w:val="21"/>
              </w:rPr>
              <w:t>55</w:t>
            </w:r>
          </w:p>
        </w:tc>
        <w:tc>
          <w:tcPr>
            <w:tcW w:type="dxa" w:w="1400"/>
          </w:tcPr>
          <w:p>
            <w:pPr>
              <w:spacing w:line="240" w:lineRule="auto"/>
            </w:pPr>
            <w:r>
              <w:rPr>
                <w:sz w:val="21"/>
              </w:rPr>
              <w:t>非常需要 18（32.7%）；比较需要 28（50.9%）；一般 9（16.4%）；不需要 0</w:t>
            </w:r>
          </w:p>
        </w:tc>
        <w:tc>
          <w:tcPr>
            <w:tcW w:type="dxa" w:w="1400"/>
          </w:tcPr>
          <w:p>
            <w:pPr>
              <w:spacing w:line="240" w:lineRule="auto"/>
            </w:pPr>
            <w:r>
              <w:rPr>
                <w:sz w:val="21"/>
              </w:rPr>
              <w:t>前提为人工智能可快速评价方案</w:t>
            </w:r>
          </w:p>
        </w:tc>
      </w:tr>
      <w:tr>
        <w:tc>
          <w:tcPr>
            <w:tcW w:type="dxa" w:w="1400"/>
          </w:tcPr>
          <w:p>
            <w:pPr>
              <w:spacing w:line="240" w:lineRule="auto"/>
              <w:jc w:val="left"/>
            </w:pPr>
            <w:r>
              <w:rPr>
                <w:sz w:val="21"/>
              </w:rPr>
              <w:t>B</w:t>
            </w:r>
          </w:p>
        </w:tc>
        <w:tc>
          <w:tcPr>
            <w:tcW w:type="dxa" w:w="1400"/>
          </w:tcPr>
          <w:p>
            <w:pPr>
              <w:spacing w:line="240" w:lineRule="auto"/>
            </w:pPr>
            <w:r>
              <w:rPr>
                <w:sz w:val="21"/>
              </w:rPr>
              <w:t>主要担忧</w:t>
            </w:r>
          </w:p>
        </w:tc>
        <w:tc>
          <w:tcPr>
            <w:tcW w:type="dxa" w:w="1400"/>
          </w:tcPr>
          <w:p>
            <w:pPr>
              <w:spacing w:line="240" w:lineRule="auto"/>
            </w:pPr>
            <w:r>
              <w:rPr>
                <w:sz w:val="21"/>
              </w:rPr>
              <w:t>单选</w:t>
            </w:r>
          </w:p>
        </w:tc>
        <w:tc>
          <w:tcPr>
            <w:tcW w:type="dxa" w:w="1400"/>
          </w:tcPr>
          <w:p>
            <w:pPr>
              <w:spacing w:line="240" w:lineRule="auto"/>
              <w:jc w:val="center"/>
            </w:pPr>
            <w:r>
              <w:rPr>
                <w:sz w:val="21"/>
              </w:rPr>
              <w:t>55</w:t>
            </w:r>
          </w:p>
        </w:tc>
        <w:tc>
          <w:tcPr>
            <w:tcW w:type="dxa" w:w="1400"/>
          </w:tcPr>
          <w:p>
            <w:pPr>
              <w:spacing w:line="240" w:lineRule="auto"/>
            </w:pPr>
            <w:r>
              <w:rPr>
                <w:sz w:val="21"/>
              </w:rPr>
              <w:t>过度依赖降低创造能力 28（50.9%）；作品趋于同质化 15（27.3%）</w:t>
            </w:r>
          </w:p>
        </w:tc>
        <w:tc>
          <w:tcPr>
            <w:tcW w:type="dxa" w:w="1400"/>
          </w:tcPr>
          <w:p>
            <w:pPr>
              <w:spacing w:line="240" w:lineRule="auto"/>
              <w:jc w:val="center"/>
            </w:pPr>
            <w:r>
              <w:rPr>
                <w:sz w:val="21"/>
              </w:rPr>
              <w:t>—</w:t>
            </w:r>
          </w:p>
        </w:tc>
      </w:tr>
      <w:tr>
        <w:tc>
          <w:tcPr>
            <w:tcW w:type="dxa" w:w="1400"/>
          </w:tcPr>
          <w:p>
            <w:pPr>
              <w:spacing w:line="240" w:lineRule="auto"/>
              <w:jc w:val="left"/>
            </w:pPr>
            <w:r>
              <w:rPr>
                <w:sz w:val="21"/>
              </w:rPr>
              <w:t>C</w:t>
            </w:r>
          </w:p>
        </w:tc>
        <w:tc>
          <w:tcPr>
            <w:tcW w:type="dxa" w:w="1400"/>
          </w:tcPr>
          <w:p>
            <w:pPr>
              <w:spacing w:line="240" w:lineRule="auto"/>
            </w:pPr>
            <w:r>
              <w:rPr>
                <w:sz w:val="21"/>
              </w:rPr>
              <w:t>方向状态</w:t>
            </w:r>
          </w:p>
        </w:tc>
        <w:tc>
          <w:tcPr>
            <w:tcW w:type="dxa" w:w="1400"/>
          </w:tcPr>
          <w:p>
            <w:pPr>
              <w:spacing w:line="240" w:lineRule="auto"/>
            </w:pPr>
            <w:r>
              <w:rPr>
                <w:sz w:val="21"/>
              </w:rPr>
              <w:t>单选</w:t>
            </w:r>
          </w:p>
        </w:tc>
        <w:tc>
          <w:tcPr>
            <w:tcW w:type="dxa" w:w="1400"/>
          </w:tcPr>
          <w:p>
            <w:pPr>
              <w:spacing w:line="240" w:lineRule="auto"/>
              <w:jc w:val="center"/>
            </w:pPr>
            <w:r>
              <w:rPr>
                <w:sz w:val="21"/>
              </w:rPr>
              <w:t>20</w:t>
            </w:r>
          </w:p>
        </w:tc>
        <w:tc>
          <w:tcPr>
            <w:tcW w:type="dxa" w:w="1400"/>
          </w:tcPr>
          <w:p>
            <w:pPr>
              <w:spacing w:line="240" w:lineRule="auto"/>
            </w:pPr>
            <w:r>
              <w:rPr>
                <w:sz w:val="21"/>
              </w:rPr>
              <w:t>明确目标 1（5.0%）；目标未实现或方向探索中 18（90.0%）；主要关注当前任务 1（5.0%）</w:t>
            </w:r>
          </w:p>
        </w:tc>
        <w:tc>
          <w:tcPr>
            <w:tcW w:type="dxa" w:w="1400"/>
          </w:tcPr>
          <w:p>
            <w:pPr>
              <w:spacing w:line="240" w:lineRule="auto"/>
            </w:pPr>
            <w:r>
              <w:rPr>
                <w:sz w:val="21"/>
              </w:rPr>
              <w:t>分母为该题有效人次</w:t>
            </w:r>
          </w:p>
        </w:tc>
      </w:tr>
      <w:tr>
        <w:tc>
          <w:tcPr>
            <w:tcW w:type="dxa" w:w="1400"/>
          </w:tcPr>
          <w:p>
            <w:pPr>
              <w:spacing w:line="240" w:lineRule="auto"/>
              <w:jc w:val="left"/>
            </w:pPr>
            <w:r>
              <w:rPr>
                <w:sz w:val="21"/>
              </w:rPr>
              <w:t>C</w:t>
            </w:r>
          </w:p>
        </w:tc>
        <w:tc>
          <w:tcPr>
            <w:tcW w:type="dxa" w:w="1400"/>
          </w:tcPr>
          <w:p>
            <w:pPr>
              <w:spacing w:line="240" w:lineRule="auto"/>
            </w:pPr>
            <w:r>
              <w:rPr>
                <w:sz w:val="21"/>
              </w:rPr>
              <w:t>实践经验与资源缺口</w:t>
            </w:r>
          </w:p>
        </w:tc>
        <w:tc>
          <w:tcPr>
            <w:tcW w:type="dxa" w:w="1400"/>
          </w:tcPr>
          <w:p>
            <w:pPr>
              <w:spacing w:line="240" w:lineRule="auto"/>
            </w:pPr>
            <w:r>
              <w:rPr>
                <w:sz w:val="21"/>
              </w:rPr>
              <w:t>多选</w:t>
            </w:r>
          </w:p>
        </w:tc>
        <w:tc>
          <w:tcPr>
            <w:tcW w:type="dxa" w:w="1400"/>
          </w:tcPr>
          <w:p>
            <w:pPr>
              <w:spacing w:line="240" w:lineRule="auto"/>
              <w:jc w:val="center"/>
            </w:pPr>
            <w:r>
              <w:rPr>
                <w:sz w:val="21"/>
              </w:rPr>
              <w:t>20</w:t>
            </w:r>
          </w:p>
        </w:tc>
        <w:tc>
          <w:tcPr>
            <w:tcW w:type="dxa" w:w="1400"/>
          </w:tcPr>
          <w:p>
            <w:pPr>
              <w:spacing w:line="240" w:lineRule="auto"/>
            </w:pPr>
            <w:r>
              <w:rPr>
                <w:sz w:val="21"/>
              </w:rPr>
              <w:t>真实实践经验不足 12（60.0%）；缺少高质量项目机会 8（40.0%）；最缺少真实项目实践 13（65.0%）</w:t>
            </w:r>
          </w:p>
        </w:tc>
        <w:tc>
          <w:tcPr>
            <w:tcW w:type="dxa" w:w="1400"/>
          </w:tcPr>
          <w:p>
            <w:pPr>
              <w:spacing w:line="240" w:lineRule="auto"/>
              <w:jc w:val="center"/>
            </w:pPr>
            <w:r>
              <w:rPr>
                <w:sz w:val="21"/>
              </w:rPr>
              <w:t>—</w:t>
            </w:r>
          </w:p>
        </w:tc>
      </w:tr>
      <w:tr>
        <w:tc>
          <w:tcPr>
            <w:tcW w:type="dxa" w:w="1400"/>
          </w:tcPr>
          <w:p>
            <w:pPr>
              <w:spacing w:line="240" w:lineRule="auto"/>
              <w:jc w:val="left"/>
            </w:pPr>
            <w:r>
              <w:rPr>
                <w:sz w:val="21"/>
              </w:rPr>
              <w:t>C</w:t>
            </w:r>
          </w:p>
        </w:tc>
        <w:tc>
          <w:tcPr>
            <w:tcW w:type="dxa" w:w="1400"/>
          </w:tcPr>
          <w:p>
            <w:pPr>
              <w:spacing w:line="240" w:lineRule="auto"/>
            </w:pPr>
            <w:r>
              <w:rPr>
                <w:sz w:val="21"/>
              </w:rPr>
              <w:t>能力缺口</w:t>
            </w:r>
          </w:p>
        </w:tc>
        <w:tc>
          <w:tcPr>
            <w:tcW w:type="dxa" w:w="1400"/>
          </w:tcPr>
          <w:p>
            <w:pPr>
              <w:spacing w:line="240" w:lineRule="auto"/>
            </w:pPr>
            <w:r>
              <w:rPr>
                <w:sz w:val="21"/>
              </w:rPr>
              <w:t>多选</w:t>
            </w:r>
          </w:p>
        </w:tc>
        <w:tc>
          <w:tcPr>
            <w:tcW w:type="dxa" w:w="1400"/>
          </w:tcPr>
          <w:p>
            <w:pPr>
              <w:spacing w:line="240" w:lineRule="auto"/>
              <w:jc w:val="center"/>
            </w:pPr>
            <w:r>
              <w:rPr>
                <w:sz w:val="21"/>
              </w:rPr>
              <w:t>20</w:t>
            </w:r>
          </w:p>
        </w:tc>
        <w:tc>
          <w:tcPr>
            <w:tcW w:type="dxa" w:w="1400"/>
          </w:tcPr>
          <w:p>
            <w:pPr>
              <w:spacing w:line="240" w:lineRule="auto"/>
            </w:pPr>
            <w:r>
              <w:rPr>
                <w:sz w:val="21"/>
              </w:rPr>
              <w:t>商业转化能力 13（65.0%）；创新思考能力 9（45.0%）；个人品牌建设能力 8（40.0%）</w:t>
            </w:r>
          </w:p>
        </w:tc>
        <w:tc>
          <w:tcPr>
            <w:tcW w:type="dxa" w:w="1400"/>
          </w:tcPr>
          <w:p>
            <w:pPr>
              <w:spacing w:line="240" w:lineRule="auto"/>
              <w:jc w:val="center"/>
            </w:pPr>
            <w:r>
              <w:rPr>
                <w:sz w:val="21"/>
              </w:rPr>
              <w:t>—</w:t>
            </w:r>
          </w:p>
        </w:tc>
      </w:tr>
      <w:tr>
        <w:tc>
          <w:tcPr>
            <w:tcW w:type="dxa" w:w="1400"/>
          </w:tcPr>
          <w:p>
            <w:pPr>
              <w:spacing w:line="240" w:lineRule="auto"/>
              <w:jc w:val="left"/>
            </w:pPr>
            <w:r>
              <w:rPr>
                <w:sz w:val="21"/>
              </w:rPr>
              <w:t>C</w:t>
            </w:r>
          </w:p>
        </w:tc>
        <w:tc>
          <w:tcPr>
            <w:tcW w:type="dxa" w:w="1400"/>
          </w:tcPr>
          <w:p>
            <w:pPr>
              <w:spacing w:line="240" w:lineRule="auto"/>
            </w:pPr>
            <w:r>
              <w:rPr>
                <w:sz w:val="21"/>
              </w:rPr>
              <w:t>影响学习状态的因素</w:t>
            </w:r>
          </w:p>
        </w:tc>
        <w:tc>
          <w:tcPr>
            <w:tcW w:type="dxa" w:w="1400"/>
          </w:tcPr>
          <w:p>
            <w:pPr>
              <w:spacing w:line="240" w:lineRule="auto"/>
            </w:pPr>
            <w:r>
              <w:rPr>
                <w:sz w:val="21"/>
              </w:rPr>
              <w:t>多选</w:t>
            </w:r>
          </w:p>
        </w:tc>
        <w:tc>
          <w:tcPr>
            <w:tcW w:type="dxa" w:w="1400"/>
          </w:tcPr>
          <w:p>
            <w:pPr>
              <w:spacing w:line="240" w:lineRule="auto"/>
              <w:jc w:val="center"/>
            </w:pPr>
            <w:r>
              <w:rPr>
                <w:sz w:val="21"/>
              </w:rPr>
              <w:t>20</w:t>
            </w:r>
          </w:p>
        </w:tc>
        <w:tc>
          <w:tcPr>
            <w:tcW w:type="dxa" w:w="1400"/>
          </w:tcPr>
          <w:p>
            <w:pPr>
              <w:spacing w:line="240" w:lineRule="auto"/>
            </w:pPr>
            <w:r>
              <w:rPr>
                <w:sz w:val="21"/>
              </w:rPr>
              <w:t>未来方向不明确 13（65.0%）；竞争压力 10（50.0%）；成长路径不清晰 8（40.0%）</w:t>
            </w:r>
          </w:p>
        </w:tc>
        <w:tc>
          <w:tcPr>
            <w:tcW w:type="dxa" w:w="1400"/>
          </w:tcPr>
          <w:p>
            <w:pPr>
              <w:spacing w:line="240" w:lineRule="auto"/>
              <w:jc w:val="center"/>
            </w:pPr>
            <w:r>
              <w:rPr>
                <w:sz w:val="21"/>
              </w:rPr>
              <w:t>—</w:t>
            </w:r>
          </w:p>
        </w:tc>
      </w:tr>
    </w:tbl>
    <w:p>
      <w:pPr>
        <w:pStyle w:val="a3"/>
      </w:pPr>
      <w:r>
        <w:rPr>
          <w:sz w:val="18"/>
        </w:rPr>
        <w:t>注：问卷 A、问卷 B 与问卷 C 的题目与分母互不相同，不作合并统计；各题比例一律以其有效人次为分母。资料来源：本组问卷 A（n=72）、问卷 B（n=55）、问卷 C（回收 21 份）的问卷星统计导出。</w:t>
      </w:r>
    </w:p>
    <w:p>
      <w:pPr>
        <w:pStyle w:val="a3"/>
      </w:pPr>
    </w:p>
    <w:p>
      <w:pPr>
        <w:pStyle w:val="a3"/>
      </w:pPr>
      <w:r>
        <w:rPr>
          <w:b/>
          <w:sz w:val="24"/>
        </w:rPr>
        <w:t>对人工智能角色的期待</w:t>
      </w:r>
    </w:p>
    <w:p>
      <w:pPr>
        <w:pStyle w:val="a3"/>
        <w:ind w:firstLine="480"/>
      </w:pPr>
      <w:r>
        <w:t>问卷 B 所测量的是学生对生成式人工智能的角色期待。经常使用者 40 人，使用环节以图片生成与灵感收集最为集中，最大帮助为提高设计效率者 34 人。角色定位方面，选择创意启发者 39 人、资料整理与研究辅助者 35 人、技能教学者 30 人，而认为可以完全替代部分教师教学工作者仅 4 人；选择最终方案由本人决定者 28 人、教师 24 人、人工智能 3 人。问卷 B 各构念的统计结果见表 J1；仍有 46 人认为即使人工智能能快速评价方案也需要教师，担忧集中于过度依赖 28 人与作品同质化 15 人。</w:t>
      </w:r>
    </w:p>
    <w:p>
      <w:pPr>
        <w:pStyle w:val="a3"/>
      </w:pPr>
      <w:r>
        <w:rPr>
          <w:b/>
          <w:sz w:val="24"/>
        </w:rPr>
        <w:t>痛点、能力缺口与自学路径</w:t>
      </w:r>
    </w:p>
    <w:p>
      <w:pPr>
        <w:pStyle w:val="a3"/>
        <w:ind w:firstLine="480"/>
      </w:pPr>
      <w:r>
        <w:t>问卷 C 所测量的是研究生阶段的成长困境：选择“明确目标”者仅 1 人，其余 19 人处于方向探索或迷茫状态；常见困难中，真实实践经验不足 12 人；能力缺口中，商业转化能力 13 人；最缺少资源中，真实项目实践 13 人。这些数据共同指向一个结构性问题：培养环节提供了方法与视野，却未提供把外部要求转化为个人能力的通道。问卷 C 各构念的统计结果见表 J1；研二访谈补充了显性、隐性与底层三个层次的需求。</w:t>
      </w:r>
    </w:p>
    <w:p>
      <w:pPr>
        <w:pStyle w:val="3"/>
      </w:pPr>
      <w:r>
        <w:t>市场与制度需求侧</w:t>
      </w:r>
    </w:p>
    <w:p>
      <w:pPr>
        <w:pStyle w:val="a3"/>
      </w:pPr>
      <w:r>
        <w:rPr>
          <w:b/>
          <w:sz w:val="24"/>
        </w:rPr>
        <w:t>资料构成与编码方法</w:t>
      </w:r>
    </w:p>
    <w:p>
      <w:pPr>
        <w:pStyle w:val="a3"/>
        <w:ind w:firstLine="480"/>
      </w:pPr>
      <w:r>
        <w:t>市场与制度需求侧的资料包括设计类岗位说明书 103 条、2026 年国家公务员考试职位表（设计相关可报岗位 380 个）、国家与制度文本 9 件以及世界经济论坛《未来的工作》三期报告</w:t>
      </w:r>
      <w:r>
        <w:rPr>
          <w:vertAlign w:val="superscript"/>
        </w:rPr>
        <w:t>[9]</w:t>
      </w:r>
      <w:r>
        <w:t>与趋势文献。四类文本各自独立编码、互不套用，其语料性质与编码方式汇总于表 D4。</w:t>
      </w:r>
    </w:p>
    <w:p>
      <w:pPr>
        <w:pStyle w:val="a3"/>
      </w:pPr>
      <w:r>
        <w:rPr>
          <w:b/>
          <w:sz w:val="24"/>
        </w:rPr>
        <w:t>市场与雇主面</w:t>
      </w:r>
    </w:p>
    <w:p>
      <w:pPr>
        <w:pStyle w:val="a3"/>
        <w:ind w:firstLine="480"/>
      </w:pPr>
      <w:r>
        <w:t>岗位说明书共 103 条，覆盖国内传统行业、国内人工智能岗位、海外扩样与海外人工智能岗位四个层次。要求频率最高的能力依次为端到端负责 69 条、无权威影响力与跨职能协作 44 条、系统化设计意识 39 条、市场与竞品研究 39 条、可制造性与工艺知识 34 条；与人工智能相关的要求多集中于工具使用与经验声明，而要求对人工智能产出作质量判断者仅 6 个岗位，主要能力项分布见表 J2。选择编码所得到的核心范畴是，市场所要求的并非“设计岗”这一身份标签，而是一组跨岗位的动作能力。</w:t>
      </w:r>
    </w:p>
    <w:p>
      <w:pPr>
        <w:pStyle w:val="a3"/>
        <w:jc w:val="center"/>
      </w:pPr>
      <w:r>
        <w:rPr>
          <w:b/>
          <w:sz w:val="21"/>
        </w:rPr>
        <w:t>表 J2　市场与雇主面的能力要求频次（前十二项）</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672"/>
        <w:gridCol w:w="4369"/>
        <w:gridCol w:w="1680"/>
        <w:gridCol w:w="1680"/>
      </w:tblGrid>
      <w:tr>
        <w:trPr>
          <w:tblHeader w:val="true"/>
        </w:trPr>
        <w:tc>
          <w:tcPr>
            <w:tcW w:type="dxa" w:w="2100"/>
            <w:tcBorders>
              <w:bottom w:val="single" w:sz="6" w:color="auto"/>
            </w:tcBorders>
          </w:tcPr>
          <w:p>
            <w:pPr>
              <w:spacing w:line="240" w:lineRule="auto"/>
              <w:jc w:val="center"/>
            </w:pPr>
            <w:r/>
            <w:r>
              <w:rPr>
                <w:b/>
                <w:sz w:val="21"/>
              </w:rPr>
              <w:t>序号</w:t>
            </w:r>
          </w:p>
        </w:tc>
        <w:tc>
          <w:tcPr>
            <w:tcW w:type="dxa" w:w="2100"/>
            <w:tcBorders>
              <w:bottom w:val="single" w:sz="6" w:color="auto"/>
            </w:tcBorders>
          </w:tcPr>
          <w:p>
            <w:pPr>
              <w:spacing w:line="240" w:lineRule="auto"/>
              <w:jc w:val="center"/>
            </w:pPr>
            <w:r/>
            <w:r>
              <w:rPr>
                <w:b/>
                <w:sz w:val="21"/>
              </w:rPr>
              <w:t>能力项</w:t>
            </w:r>
          </w:p>
        </w:tc>
        <w:tc>
          <w:tcPr>
            <w:tcW w:type="dxa" w:w="2100"/>
            <w:tcBorders>
              <w:bottom w:val="single" w:sz="6" w:color="auto"/>
            </w:tcBorders>
          </w:tcPr>
          <w:p>
            <w:pPr>
              <w:spacing w:line="240" w:lineRule="auto"/>
              <w:jc w:val="center"/>
            </w:pPr>
            <w:r/>
            <w:r>
              <w:rPr>
                <w:b/>
                <w:sz w:val="21"/>
              </w:rPr>
              <w:t>频次（n=103）</w:t>
            </w:r>
          </w:p>
        </w:tc>
        <w:tc>
          <w:tcPr>
            <w:tcW w:type="dxa" w:w="2100"/>
            <w:tcBorders>
              <w:bottom w:val="single" w:sz="6" w:color="auto"/>
            </w:tcBorders>
          </w:tcPr>
          <w:p>
            <w:pPr>
              <w:spacing w:line="240" w:lineRule="auto"/>
              <w:jc w:val="center"/>
            </w:pPr>
            <w:r/>
            <w:r>
              <w:rPr>
                <w:b/>
                <w:sz w:val="21"/>
              </w:rPr>
              <w:t>占比</w:t>
            </w:r>
          </w:p>
        </w:tc>
      </w:tr>
      <w:tr>
        <w:tc>
          <w:tcPr>
            <w:tcW w:type="dxa" w:w="2100"/>
          </w:tcPr>
          <w:p>
            <w:pPr>
              <w:spacing w:line="240" w:lineRule="auto"/>
              <w:jc w:val="left"/>
            </w:pPr>
            <w:r>
              <w:rPr>
                <w:sz w:val="21"/>
              </w:rPr>
              <w:t>1</w:t>
            </w:r>
          </w:p>
        </w:tc>
        <w:tc>
          <w:tcPr>
            <w:tcW w:type="dxa" w:w="2100"/>
          </w:tcPr>
          <w:p>
            <w:pPr>
              <w:spacing w:line="240" w:lineRule="auto"/>
            </w:pPr>
            <w:r>
              <w:rPr>
                <w:sz w:val="21"/>
              </w:rPr>
              <w:t>端到端负责</w:t>
            </w:r>
          </w:p>
        </w:tc>
        <w:tc>
          <w:tcPr>
            <w:tcW w:type="dxa" w:w="2100"/>
          </w:tcPr>
          <w:p>
            <w:pPr>
              <w:spacing w:line="240" w:lineRule="auto"/>
              <w:jc w:val="center"/>
            </w:pPr>
            <w:r>
              <w:rPr>
                <w:sz w:val="21"/>
              </w:rPr>
              <w:t>69</w:t>
            </w:r>
          </w:p>
        </w:tc>
        <w:tc>
          <w:tcPr>
            <w:tcW w:type="dxa" w:w="2100"/>
          </w:tcPr>
          <w:p>
            <w:pPr>
              <w:spacing w:line="240" w:lineRule="auto"/>
              <w:jc w:val="center"/>
            </w:pPr>
            <w:r>
              <w:rPr>
                <w:sz w:val="21"/>
              </w:rPr>
              <w:t>67.0%</w:t>
            </w:r>
          </w:p>
        </w:tc>
      </w:tr>
      <w:tr>
        <w:tc>
          <w:tcPr>
            <w:tcW w:type="dxa" w:w="2100"/>
          </w:tcPr>
          <w:p>
            <w:pPr>
              <w:spacing w:line="240" w:lineRule="auto"/>
              <w:jc w:val="left"/>
            </w:pPr>
            <w:r>
              <w:rPr>
                <w:sz w:val="21"/>
              </w:rPr>
              <w:t>2</w:t>
            </w:r>
          </w:p>
        </w:tc>
        <w:tc>
          <w:tcPr>
            <w:tcW w:type="dxa" w:w="2100"/>
          </w:tcPr>
          <w:p>
            <w:pPr>
              <w:spacing w:line="240" w:lineRule="auto"/>
            </w:pPr>
            <w:r>
              <w:rPr>
                <w:sz w:val="21"/>
              </w:rPr>
              <w:t>无权威影响力与跨职能协作</w:t>
            </w:r>
          </w:p>
        </w:tc>
        <w:tc>
          <w:tcPr>
            <w:tcW w:type="dxa" w:w="2100"/>
          </w:tcPr>
          <w:p>
            <w:pPr>
              <w:spacing w:line="240" w:lineRule="auto"/>
              <w:jc w:val="center"/>
            </w:pPr>
            <w:r>
              <w:rPr>
                <w:sz w:val="21"/>
              </w:rPr>
              <w:t>44</w:t>
            </w:r>
          </w:p>
        </w:tc>
        <w:tc>
          <w:tcPr>
            <w:tcW w:type="dxa" w:w="2100"/>
          </w:tcPr>
          <w:p>
            <w:pPr>
              <w:spacing w:line="240" w:lineRule="auto"/>
              <w:jc w:val="center"/>
            </w:pPr>
            <w:r>
              <w:rPr>
                <w:sz w:val="21"/>
              </w:rPr>
              <w:t>42.7%</w:t>
            </w:r>
          </w:p>
        </w:tc>
      </w:tr>
      <w:tr>
        <w:tc>
          <w:tcPr>
            <w:tcW w:type="dxa" w:w="2100"/>
          </w:tcPr>
          <w:p>
            <w:pPr>
              <w:spacing w:line="240" w:lineRule="auto"/>
              <w:jc w:val="left"/>
            </w:pPr>
            <w:r>
              <w:rPr>
                <w:sz w:val="21"/>
              </w:rPr>
              <w:t>3</w:t>
            </w:r>
          </w:p>
        </w:tc>
        <w:tc>
          <w:tcPr>
            <w:tcW w:type="dxa" w:w="2100"/>
          </w:tcPr>
          <w:p>
            <w:pPr>
              <w:spacing w:line="240" w:lineRule="auto"/>
            </w:pPr>
            <w:r>
              <w:rPr>
                <w:sz w:val="21"/>
              </w:rPr>
              <w:t>系统化设计意识</w:t>
            </w:r>
          </w:p>
        </w:tc>
        <w:tc>
          <w:tcPr>
            <w:tcW w:type="dxa" w:w="2100"/>
          </w:tcPr>
          <w:p>
            <w:pPr>
              <w:spacing w:line="240" w:lineRule="auto"/>
              <w:jc w:val="center"/>
            </w:pPr>
            <w:r>
              <w:rPr>
                <w:sz w:val="21"/>
              </w:rPr>
              <w:t>39</w:t>
            </w:r>
          </w:p>
        </w:tc>
        <w:tc>
          <w:tcPr>
            <w:tcW w:type="dxa" w:w="2100"/>
          </w:tcPr>
          <w:p>
            <w:pPr>
              <w:spacing w:line="240" w:lineRule="auto"/>
              <w:jc w:val="center"/>
            </w:pPr>
            <w:r>
              <w:rPr>
                <w:sz w:val="21"/>
              </w:rPr>
              <w:t>37.9%</w:t>
            </w:r>
          </w:p>
        </w:tc>
      </w:tr>
      <w:tr>
        <w:tc>
          <w:tcPr>
            <w:tcW w:type="dxa" w:w="2100"/>
          </w:tcPr>
          <w:p>
            <w:pPr>
              <w:spacing w:line="240" w:lineRule="auto"/>
              <w:jc w:val="left"/>
            </w:pPr>
            <w:r>
              <w:rPr>
                <w:sz w:val="21"/>
              </w:rPr>
              <w:t>4</w:t>
            </w:r>
          </w:p>
        </w:tc>
        <w:tc>
          <w:tcPr>
            <w:tcW w:type="dxa" w:w="2100"/>
          </w:tcPr>
          <w:p>
            <w:pPr>
              <w:spacing w:line="240" w:lineRule="auto"/>
            </w:pPr>
            <w:r>
              <w:rPr>
                <w:sz w:val="21"/>
              </w:rPr>
              <w:t>市场与竞品研究</w:t>
            </w:r>
          </w:p>
        </w:tc>
        <w:tc>
          <w:tcPr>
            <w:tcW w:type="dxa" w:w="2100"/>
          </w:tcPr>
          <w:p>
            <w:pPr>
              <w:spacing w:line="240" w:lineRule="auto"/>
              <w:jc w:val="center"/>
            </w:pPr>
            <w:r>
              <w:rPr>
                <w:sz w:val="21"/>
              </w:rPr>
              <w:t>39</w:t>
            </w:r>
          </w:p>
        </w:tc>
        <w:tc>
          <w:tcPr>
            <w:tcW w:type="dxa" w:w="2100"/>
          </w:tcPr>
          <w:p>
            <w:pPr>
              <w:spacing w:line="240" w:lineRule="auto"/>
              <w:jc w:val="center"/>
            </w:pPr>
            <w:r>
              <w:rPr>
                <w:sz w:val="21"/>
              </w:rPr>
              <w:t>37.9%</w:t>
            </w:r>
          </w:p>
        </w:tc>
      </w:tr>
      <w:tr>
        <w:tc>
          <w:tcPr>
            <w:tcW w:type="dxa" w:w="2100"/>
          </w:tcPr>
          <w:p>
            <w:pPr>
              <w:spacing w:line="240" w:lineRule="auto"/>
              <w:jc w:val="left"/>
            </w:pPr>
            <w:r>
              <w:rPr>
                <w:sz w:val="21"/>
              </w:rPr>
              <w:t>5</w:t>
            </w:r>
          </w:p>
        </w:tc>
        <w:tc>
          <w:tcPr>
            <w:tcW w:type="dxa" w:w="2100"/>
          </w:tcPr>
          <w:p>
            <w:pPr>
              <w:spacing w:line="240" w:lineRule="auto"/>
            </w:pPr>
            <w:r>
              <w:rPr>
                <w:sz w:val="21"/>
              </w:rPr>
              <w:t>可制造性与工艺知识</w:t>
            </w:r>
          </w:p>
        </w:tc>
        <w:tc>
          <w:tcPr>
            <w:tcW w:type="dxa" w:w="2100"/>
          </w:tcPr>
          <w:p>
            <w:pPr>
              <w:spacing w:line="240" w:lineRule="auto"/>
              <w:jc w:val="center"/>
            </w:pPr>
            <w:r>
              <w:rPr>
                <w:sz w:val="21"/>
              </w:rPr>
              <w:t>34</w:t>
            </w:r>
          </w:p>
        </w:tc>
        <w:tc>
          <w:tcPr>
            <w:tcW w:type="dxa" w:w="2100"/>
          </w:tcPr>
          <w:p>
            <w:pPr>
              <w:spacing w:line="240" w:lineRule="auto"/>
              <w:jc w:val="center"/>
            </w:pPr>
            <w:r>
              <w:rPr>
                <w:sz w:val="21"/>
              </w:rPr>
              <w:t>33.0%</w:t>
            </w:r>
          </w:p>
        </w:tc>
      </w:tr>
      <w:tr>
        <w:tc>
          <w:tcPr>
            <w:tcW w:type="dxa" w:w="2100"/>
          </w:tcPr>
          <w:p>
            <w:pPr>
              <w:spacing w:line="240" w:lineRule="auto"/>
              <w:jc w:val="left"/>
            </w:pPr>
            <w:r>
              <w:rPr>
                <w:sz w:val="21"/>
              </w:rPr>
              <w:t>6</w:t>
            </w:r>
          </w:p>
        </w:tc>
        <w:tc>
          <w:tcPr>
            <w:tcW w:type="dxa" w:w="2100"/>
          </w:tcPr>
          <w:p>
            <w:pPr>
              <w:spacing w:line="240" w:lineRule="auto"/>
            </w:pPr>
            <w:r>
              <w:rPr>
                <w:sz w:val="21"/>
              </w:rPr>
              <w:t>技术跟踪与栈演进</w:t>
            </w:r>
          </w:p>
        </w:tc>
        <w:tc>
          <w:tcPr>
            <w:tcW w:type="dxa" w:w="2100"/>
          </w:tcPr>
          <w:p>
            <w:pPr>
              <w:spacing w:line="240" w:lineRule="auto"/>
              <w:jc w:val="center"/>
            </w:pPr>
            <w:r>
              <w:rPr>
                <w:sz w:val="21"/>
              </w:rPr>
              <w:t>30</w:t>
            </w:r>
          </w:p>
        </w:tc>
        <w:tc>
          <w:tcPr>
            <w:tcW w:type="dxa" w:w="2100"/>
          </w:tcPr>
          <w:p>
            <w:pPr>
              <w:spacing w:line="240" w:lineRule="auto"/>
              <w:jc w:val="center"/>
            </w:pPr>
            <w:r>
              <w:rPr>
                <w:sz w:val="21"/>
              </w:rPr>
              <w:t>29.1%</w:t>
            </w:r>
          </w:p>
        </w:tc>
      </w:tr>
      <w:tr>
        <w:tc>
          <w:tcPr>
            <w:tcW w:type="dxa" w:w="2100"/>
          </w:tcPr>
          <w:p>
            <w:pPr>
              <w:spacing w:line="240" w:lineRule="auto"/>
              <w:jc w:val="left"/>
            </w:pPr>
            <w:r>
              <w:rPr>
                <w:sz w:val="21"/>
              </w:rPr>
              <w:t>7</w:t>
            </w:r>
          </w:p>
        </w:tc>
        <w:tc>
          <w:tcPr>
            <w:tcW w:type="dxa" w:w="2100"/>
          </w:tcPr>
          <w:p>
            <w:pPr>
              <w:spacing w:line="240" w:lineRule="auto"/>
            </w:pPr>
            <w:r>
              <w:rPr>
                <w:sz w:val="21"/>
              </w:rPr>
              <w:t>用户中心设计方法论</w:t>
            </w:r>
          </w:p>
        </w:tc>
        <w:tc>
          <w:tcPr>
            <w:tcW w:type="dxa" w:w="2100"/>
          </w:tcPr>
          <w:p>
            <w:pPr>
              <w:spacing w:line="240" w:lineRule="auto"/>
              <w:jc w:val="center"/>
            </w:pPr>
            <w:r>
              <w:rPr>
                <w:sz w:val="21"/>
              </w:rPr>
              <w:t>29</w:t>
            </w:r>
          </w:p>
        </w:tc>
        <w:tc>
          <w:tcPr>
            <w:tcW w:type="dxa" w:w="2100"/>
          </w:tcPr>
          <w:p>
            <w:pPr>
              <w:spacing w:line="240" w:lineRule="auto"/>
              <w:jc w:val="center"/>
            </w:pPr>
            <w:r>
              <w:rPr>
                <w:sz w:val="21"/>
              </w:rPr>
              <w:t>28.2%</w:t>
            </w:r>
          </w:p>
        </w:tc>
      </w:tr>
      <w:tr>
        <w:tc>
          <w:tcPr>
            <w:tcW w:type="dxa" w:w="2100"/>
          </w:tcPr>
          <w:p>
            <w:pPr>
              <w:spacing w:line="240" w:lineRule="auto"/>
              <w:jc w:val="left"/>
            </w:pPr>
            <w:r>
              <w:rPr>
                <w:sz w:val="21"/>
              </w:rPr>
              <w:t>8</w:t>
            </w:r>
          </w:p>
        </w:tc>
        <w:tc>
          <w:tcPr>
            <w:tcW w:type="dxa" w:w="2100"/>
          </w:tcPr>
          <w:p>
            <w:pPr>
              <w:spacing w:line="240" w:lineRule="auto"/>
            </w:pPr>
            <w:r>
              <w:rPr>
                <w:sz w:val="21"/>
              </w:rPr>
              <w:t>模糊需求拆解</w:t>
            </w:r>
          </w:p>
        </w:tc>
        <w:tc>
          <w:tcPr>
            <w:tcW w:type="dxa" w:w="2100"/>
          </w:tcPr>
          <w:p>
            <w:pPr>
              <w:spacing w:line="240" w:lineRule="auto"/>
              <w:jc w:val="center"/>
            </w:pPr>
            <w:r>
              <w:rPr>
                <w:sz w:val="21"/>
              </w:rPr>
              <w:t>25</w:t>
            </w:r>
          </w:p>
        </w:tc>
        <w:tc>
          <w:tcPr>
            <w:tcW w:type="dxa" w:w="2100"/>
          </w:tcPr>
          <w:p>
            <w:pPr>
              <w:spacing w:line="240" w:lineRule="auto"/>
              <w:jc w:val="center"/>
            </w:pPr>
            <w:r>
              <w:rPr>
                <w:sz w:val="21"/>
              </w:rPr>
              <w:t>24.3%</w:t>
            </w:r>
          </w:p>
        </w:tc>
      </w:tr>
      <w:tr>
        <w:tc>
          <w:tcPr>
            <w:tcW w:type="dxa" w:w="2100"/>
          </w:tcPr>
          <w:p>
            <w:pPr>
              <w:spacing w:line="240" w:lineRule="auto"/>
              <w:jc w:val="left"/>
            </w:pPr>
            <w:r>
              <w:rPr>
                <w:sz w:val="21"/>
              </w:rPr>
              <w:t>9</w:t>
            </w:r>
          </w:p>
        </w:tc>
        <w:tc>
          <w:tcPr>
            <w:tcW w:type="dxa" w:w="2100"/>
          </w:tcPr>
          <w:p>
            <w:pPr>
              <w:spacing w:line="240" w:lineRule="auto"/>
            </w:pPr>
            <w:r>
              <w:rPr>
                <w:sz w:val="21"/>
              </w:rPr>
              <w:t>作品集与项目证据</w:t>
            </w:r>
          </w:p>
        </w:tc>
        <w:tc>
          <w:tcPr>
            <w:tcW w:type="dxa" w:w="2100"/>
          </w:tcPr>
          <w:p>
            <w:pPr>
              <w:spacing w:line="240" w:lineRule="auto"/>
              <w:jc w:val="center"/>
            </w:pPr>
            <w:r>
              <w:rPr>
                <w:sz w:val="21"/>
              </w:rPr>
              <w:t>24</w:t>
            </w:r>
          </w:p>
        </w:tc>
        <w:tc>
          <w:tcPr>
            <w:tcW w:type="dxa" w:w="2100"/>
          </w:tcPr>
          <w:p>
            <w:pPr>
              <w:spacing w:line="240" w:lineRule="auto"/>
              <w:jc w:val="center"/>
            </w:pPr>
            <w:r>
              <w:rPr>
                <w:sz w:val="21"/>
              </w:rPr>
              <w:t>23.3%</w:t>
            </w:r>
          </w:p>
        </w:tc>
      </w:tr>
      <w:tr>
        <w:tc>
          <w:tcPr>
            <w:tcW w:type="dxa" w:w="2100"/>
          </w:tcPr>
          <w:p>
            <w:pPr>
              <w:spacing w:line="240" w:lineRule="auto"/>
              <w:jc w:val="left"/>
            </w:pPr>
            <w:r>
              <w:rPr>
                <w:sz w:val="21"/>
              </w:rPr>
              <w:t>10</w:t>
            </w:r>
          </w:p>
        </w:tc>
        <w:tc>
          <w:tcPr>
            <w:tcW w:type="dxa" w:w="2100"/>
          </w:tcPr>
          <w:p>
            <w:pPr>
              <w:spacing w:line="240" w:lineRule="auto"/>
            </w:pPr>
            <w:r>
              <w:rPr>
                <w:sz w:val="21"/>
              </w:rPr>
              <w:t>客户与用户现场发现</w:t>
            </w:r>
          </w:p>
        </w:tc>
        <w:tc>
          <w:tcPr>
            <w:tcW w:type="dxa" w:w="2100"/>
          </w:tcPr>
          <w:p>
            <w:pPr>
              <w:spacing w:line="240" w:lineRule="auto"/>
              <w:jc w:val="center"/>
            </w:pPr>
            <w:r>
              <w:rPr>
                <w:sz w:val="21"/>
              </w:rPr>
              <w:t>22</w:t>
            </w:r>
          </w:p>
        </w:tc>
        <w:tc>
          <w:tcPr>
            <w:tcW w:type="dxa" w:w="2100"/>
          </w:tcPr>
          <w:p>
            <w:pPr>
              <w:spacing w:line="240" w:lineRule="auto"/>
              <w:jc w:val="center"/>
            </w:pPr>
            <w:r>
              <w:rPr>
                <w:sz w:val="21"/>
              </w:rPr>
              <w:t>21.4%</w:t>
            </w:r>
          </w:p>
        </w:tc>
      </w:tr>
      <w:tr>
        <w:tc>
          <w:tcPr>
            <w:tcW w:type="dxa" w:w="2100"/>
          </w:tcPr>
          <w:p>
            <w:pPr>
              <w:spacing w:line="240" w:lineRule="auto"/>
              <w:jc w:val="left"/>
            </w:pPr>
            <w:r>
              <w:rPr>
                <w:sz w:val="21"/>
              </w:rPr>
              <w:t>11</w:t>
            </w:r>
          </w:p>
        </w:tc>
        <w:tc>
          <w:tcPr>
            <w:tcW w:type="dxa" w:w="2100"/>
          </w:tcPr>
          <w:p>
            <w:pPr>
              <w:spacing w:line="240" w:lineRule="auto"/>
            </w:pPr>
            <w:r>
              <w:rPr>
                <w:sz w:val="21"/>
              </w:rPr>
              <w:t>多目标权衡与指标定义</w:t>
            </w:r>
          </w:p>
        </w:tc>
        <w:tc>
          <w:tcPr>
            <w:tcW w:type="dxa" w:w="2100"/>
          </w:tcPr>
          <w:p>
            <w:pPr>
              <w:spacing w:line="240" w:lineRule="auto"/>
              <w:jc w:val="center"/>
            </w:pPr>
            <w:r>
              <w:rPr>
                <w:sz w:val="21"/>
              </w:rPr>
              <w:t>21</w:t>
            </w:r>
          </w:p>
        </w:tc>
        <w:tc>
          <w:tcPr>
            <w:tcW w:type="dxa" w:w="2100"/>
          </w:tcPr>
          <w:p>
            <w:pPr>
              <w:spacing w:line="240" w:lineRule="auto"/>
              <w:jc w:val="center"/>
            </w:pPr>
            <w:r>
              <w:rPr>
                <w:sz w:val="21"/>
              </w:rPr>
              <w:t>20.4%</w:t>
            </w:r>
          </w:p>
        </w:tc>
      </w:tr>
      <w:tr>
        <w:tc>
          <w:tcPr>
            <w:tcW w:type="dxa" w:w="2100"/>
          </w:tcPr>
          <w:p>
            <w:pPr>
              <w:spacing w:line="240" w:lineRule="auto"/>
              <w:jc w:val="left"/>
            </w:pPr>
            <w:r>
              <w:rPr>
                <w:sz w:val="21"/>
              </w:rPr>
              <w:t>12</w:t>
            </w:r>
          </w:p>
        </w:tc>
        <w:tc>
          <w:tcPr>
            <w:tcW w:type="dxa" w:w="2100"/>
          </w:tcPr>
          <w:p>
            <w:pPr>
              <w:spacing w:line="240" w:lineRule="auto"/>
            </w:pPr>
            <w:r>
              <w:rPr>
                <w:sz w:val="21"/>
              </w:rPr>
              <w:t>项目管理</w:t>
            </w:r>
          </w:p>
        </w:tc>
        <w:tc>
          <w:tcPr>
            <w:tcW w:type="dxa" w:w="2100"/>
          </w:tcPr>
          <w:p>
            <w:pPr>
              <w:spacing w:line="240" w:lineRule="auto"/>
              <w:jc w:val="center"/>
            </w:pPr>
            <w:r>
              <w:rPr>
                <w:sz w:val="21"/>
              </w:rPr>
              <w:t>21</w:t>
            </w:r>
          </w:p>
        </w:tc>
        <w:tc>
          <w:tcPr>
            <w:tcW w:type="dxa" w:w="2100"/>
          </w:tcPr>
          <w:p>
            <w:pPr>
              <w:spacing w:line="240" w:lineRule="auto"/>
              <w:jc w:val="center"/>
            </w:pPr>
            <w:r>
              <w:rPr>
                <w:sz w:val="21"/>
              </w:rPr>
              <w:t>20.4%</w:t>
            </w:r>
          </w:p>
        </w:tc>
      </w:tr>
    </w:tbl>
    <w:p>
      <w:pPr>
        <w:pStyle w:val="a3"/>
      </w:pPr>
      <w:r>
        <w:rPr>
          <w:sz w:val="18"/>
        </w:rPr>
        <w:t>注：一条招聘需求可同时命中多个能力项，故各项占比之和大于百分之百；与人工智能相关的要求中，要求判断产出质量者仅 6 个岗位（5.8%）。资料来源：103 条设计类岗位说明书，采集截至 2026 年 10 月 7 日。</w:t>
      </w:r>
    </w:p>
    <w:p>
      <w:pPr>
        <w:pStyle w:val="a3"/>
      </w:pPr>
    </w:p>
    <w:p>
      <w:pPr>
        <w:pStyle w:val="a3"/>
      </w:pPr>
      <w:r>
        <w:rPr>
          <w:b/>
          <w:sz w:val="24"/>
        </w:rPr>
        <w:t>国家与制度面</w:t>
      </w:r>
    </w:p>
    <w:p>
      <w:pPr>
        <w:pStyle w:val="a3"/>
        <w:ind w:firstLine="480"/>
      </w:pPr>
      <w:r>
        <w:t>国家与制度面的资料包括五年规划纲要、学校美育工作政策意见</w:t>
      </w:r>
      <w:r>
        <w:rPr>
          <w:vertAlign w:val="superscript"/>
        </w:rPr>
        <w:t>[11]</w:t>
      </w:r>
      <w:r>
        <w:t>、本科专业目录</w:t>
      </w:r>
      <w:r>
        <w:rPr>
          <w:vertAlign w:val="superscript"/>
        </w:rPr>
        <w:t>[12]</w:t>
      </w:r>
      <w:r>
        <w:t>与制造业设计能力提升专项行动计划</w:t>
      </w:r>
      <w:r>
        <w:rPr>
          <w:vertAlign w:val="superscript"/>
        </w:rPr>
        <w:t>[10]</w:t>
      </w:r>
      <w:r>
        <w:t>等。这类文本以国家与产业为主语，故编码以主题归纳为主，并对关键概念采取出现次数与段落数两种口径计数。开放式编码得到九类政策任务，其主轴编码归为战略定位、教育与人才任务、价值与文化方向以及技术与绿色议程四个主范畴，各类任务与代表性语句见表 J3。选择编码所得到的核心范畴是，国家话语属于任务型而非能力型，其中可直接转写为教育行动的仅有设计人才培养与教科人才一体推进两类。</w:t>
      </w:r>
    </w:p>
    <w:p>
      <w:pPr>
        <w:pStyle w:val="a3"/>
        <w:jc w:val="center"/>
      </w:pPr>
      <w:r>
        <w:rPr>
          <w:b/>
          <w:sz w:val="21"/>
        </w:rPr>
        <w:t>表 J3　国家与制度面的政策任务编码（节选）</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344"/>
        <w:gridCol w:w="2185"/>
        <w:gridCol w:w="4873"/>
      </w:tblGrid>
      <w:tr>
        <w:trPr>
          <w:tblHeader w:val="true"/>
        </w:trPr>
        <w:tc>
          <w:tcPr>
            <w:tcW w:type="dxa" w:w="2801"/>
            <w:tcBorders>
              <w:bottom w:val="single" w:sz="6" w:color="auto"/>
            </w:tcBorders>
          </w:tcPr>
          <w:p>
            <w:pPr>
              <w:spacing w:line="240" w:lineRule="auto"/>
              <w:jc w:val="center"/>
            </w:pPr>
            <w:r/>
            <w:r>
              <w:rPr>
                <w:b/>
                <w:sz w:val="21"/>
              </w:rPr>
              <w:t>主范畴</w:t>
            </w:r>
          </w:p>
        </w:tc>
        <w:tc>
          <w:tcPr>
            <w:tcW w:type="dxa" w:w="2801"/>
            <w:tcBorders>
              <w:bottom w:val="single" w:sz="6" w:color="auto"/>
            </w:tcBorders>
          </w:tcPr>
          <w:p>
            <w:pPr>
              <w:spacing w:line="240" w:lineRule="auto"/>
              <w:jc w:val="center"/>
            </w:pPr>
            <w:r/>
            <w:r>
              <w:rPr>
                <w:b/>
                <w:sz w:val="21"/>
              </w:rPr>
              <w:t>政策任务（编号）</w:t>
            </w:r>
          </w:p>
        </w:tc>
        <w:tc>
          <w:tcPr>
            <w:tcW w:type="dxa" w:w="2801"/>
            <w:tcBorders>
              <w:bottom w:val="single" w:sz="6" w:color="auto"/>
            </w:tcBorders>
          </w:tcPr>
          <w:p>
            <w:pPr>
              <w:spacing w:line="240" w:lineRule="auto"/>
              <w:jc w:val="center"/>
            </w:pPr>
            <w:r/>
            <w:r>
              <w:rPr>
                <w:b/>
                <w:sz w:val="21"/>
              </w:rPr>
              <w:t>代表性语句与文本来源</w:t>
            </w:r>
          </w:p>
        </w:tc>
      </w:tr>
      <w:tr>
        <w:tc>
          <w:tcPr>
            <w:tcW w:type="dxa" w:w="2801"/>
          </w:tcPr>
          <w:p>
            <w:pPr>
              <w:spacing w:line="240" w:lineRule="auto"/>
              <w:jc w:val="left"/>
            </w:pPr>
            <w:r>
              <w:rPr>
                <w:sz w:val="21"/>
              </w:rPr>
              <w:t>战略定位</w:t>
            </w:r>
          </w:p>
        </w:tc>
        <w:tc>
          <w:tcPr>
            <w:tcW w:type="dxa" w:w="2801"/>
          </w:tcPr>
          <w:p>
            <w:pPr>
              <w:spacing w:line="240" w:lineRule="auto"/>
            </w:pPr>
            <w:r>
              <w:rPr>
                <w:sz w:val="21"/>
              </w:rPr>
              <w:t>设计服务制造升级（P2）</w:t>
            </w:r>
          </w:p>
        </w:tc>
        <w:tc>
          <w:tcPr>
            <w:tcW w:type="dxa" w:w="2801"/>
          </w:tcPr>
          <w:p>
            <w:pPr>
              <w:spacing w:line="240" w:lineRule="auto"/>
            </w:pPr>
            <w:r>
              <w:rPr>
                <w:sz w:val="21"/>
              </w:rPr>
              <w:t>“设计能力不足仍是影响制造业转型升级的瓶颈问题”（制造业设计能力提升专项行动计划）</w:t>
            </w:r>
          </w:p>
        </w:tc>
      </w:tr>
      <w:tr>
        <w:tc>
          <w:tcPr>
            <w:tcW w:type="dxa" w:w="2801"/>
          </w:tcPr>
          <w:p>
            <w:pPr>
              <w:spacing w:line="240" w:lineRule="auto"/>
              <w:jc w:val="left"/>
            </w:pPr>
            <w:r>
              <w:rPr>
                <w:sz w:val="21"/>
              </w:rPr>
              <w:t>战略定位</w:t>
            </w:r>
          </w:p>
        </w:tc>
        <w:tc>
          <w:tcPr>
            <w:tcW w:type="dxa" w:w="2801"/>
          </w:tcPr>
          <w:p>
            <w:pPr>
              <w:spacing w:line="240" w:lineRule="auto"/>
            </w:pPr>
            <w:r>
              <w:rPr>
                <w:sz w:val="21"/>
              </w:rPr>
              <w:t>学科专业的制度性承认（P7）</w:t>
            </w:r>
          </w:p>
        </w:tc>
        <w:tc>
          <w:tcPr>
            <w:tcW w:type="dxa" w:w="2801"/>
          </w:tcPr>
          <w:p>
            <w:pPr>
              <w:spacing w:line="240" w:lineRule="auto"/>
            </w:pPr>
            <w:r>
              <w:rPr>
                <w:sz w:val="21"/>
              </w:rPr>
              <w:t>2025 年专业目录艺术学门类设计学类下设 15 个专业，其中 7 个为特设或国控（普通高等学校本科专业目录）</w:t>
            </w:r>
          </w:p>
        </w:tc>
      </w:tr>
      <w:tr>
        <w:tc>
          <w:tcPr>
            <w:tcW w:type="dxa" w:w="2801"/>
          </w:tcPr>
          <w:p>
            <w:pPr>
              <w:spacing w:line="240" w:lineRule="auto"/>
              <w:jc w:val="left"/>
            </w:pPr>
            <w:r>
              <w:rPr>
                <w:sz w:val="21"/>
              </w:rPr>
              <w:t>教育与人才任务</w:t>
            </w:r>
          </w:p>
        </w:tc>
        <w:tc>
          <w:tcPr>
            <w:tcW w:type="dxa" w:w="2801"/>
          </w:tcPr>
          <w:p>
            <w:pPr>
              <w:spacing w:line="240" w:lineRule="auto"/>
            </w:pPr>
            <w:r>
              <w:rPr>
                <w:sz w:val="21"/>
              </w:rPr>
              <w:t>设计人才培养（P3）</w:t>
            </w:r>
          </w:p>
        </w:tc>
        <w:tc>
          <w:tcPr>
            <w:tcW w:type="dxa" w:w="2801"/>
          </w:tcPr>
          <w:p>
            <w:pPr>
              <w:spacing w:line="240" w:lineRule="auto"/>
            </w:pPr>
            <w:r>
              <w:rPr>
                <w:sz w:val="21"/>
              </w:rPr>
              <w:t>“构建多学科交叉融合的设计高等教育体系”“推广 CDIO 工程教育模式”（五年规划纲要相关章节）</w:t>
            </w:r>
          </w:p>
        </w:tc>
      </w:tr>
      <w:tr>
        <w:tc>
          <w:tcPr>
            <w:tcW w:type="dxa" w:w="2801"/>
          </w:tcPr>
          <w:p>
            <w:pPr>
              <w:spacing w:line="240" w:lineRule="auto"/>
              <w:jc w:val="left"/>
            </w:pPr>
            <w:r>
              <w:rPr>
                <w:sz w:val="21"/>
              </w:rPr>
              <w:t>教育与人才任务</w:t>
            </w:r>
          </w:p>
        </w:tc>
        <w:tc>
          <w:tcPr>
            <w:tcW w:type="dxa" w:w="2801"/>
          </w:tcPr>
          <w:p>
            <w:pPr>
              <w:spacing w:line="240" w:lineRule="auto"/>
            </w:pPr>
            <w:r>
              <w:rPr>
                <w:sz w:val="21"/>
              </w:rPr>
              <w:t>教科人才一体推进（P5）</w:t>
            </w:r>
          </w:p>
        </w:tc>
        <w:tc>
          <w:tcPr>
            <w:tcW w:type="dxa" w:w="2801"/>
          </w:tcPr>
          <w:p>
            <w:pPr>
              <w:spacing w:line="240" w:lineRule="auto"/>
            </w:pPr>
            <w:r>
              <w:rPr>
                <w:sz w:val="21"/>
              </w:rPr>
              <w:t>“超常规布局人工智能……急需学科专业”“健全学科专业设置调整机制”（五年规划纲要相关章节）</w:t>
            </w:r>
          </w:p>
        </w:tc>
      </w:tr>
      <w:tr>
        <w:tc>
          <w:tcPr>
            <w:tcW w:type="dxa" w:w="2801"/>
          </w:tcPr>
          <w:p>
            <w:pPr>
              <w:spacing w:line="240" w:lineRule="auto"/>
              <w:jc w:val="left"/>
            </w:pPr>
            <w:r>
              <w:rPr>
                <w:sz w:val="21"/>
              </w:rPr>
              <w:t>价值与文化方向</w:t>
            </w:r>
          </w:p>
        </w:tc>
        <w:tc>
          <w:tcPr>
            <w:tcW w:type="dxa" w:w="2801"/>
          </w:tcPr>
          <w:p>
            <w:pPr>
              <w:spacing w:line="240" w:lineRule="auto"/>
            </w:pPr>
            <w:r>
              <w:rPr>
                <w:sz w:val="21"/>
              </w:rPr>
              <w:t>学校美育（P4）</w:t>
            </w:r>
          </w:p>
        </w:tc>
        <w:tc>
          <w:tcPr>
            <w:tcW w:type="dxa" w:w="2801"/>
          </w:tcPr>
          <w:p>
            <w:pPr>
              <w:spacing w:line="240" w:lineRule="auto"/>
            </w:pPr>
            <w:r>
              <w:rPr>
                <w:sz w:val="21"/>
              </w:rPr>
              <w:t>“学生修满公共艺术课程 2 个学分方能毕业”（关于学校美育工作的政策意见）</w:t>
            </w:r>
          </w:p>
        </w:tc>
      </w:tr>
      <w:tr>
        <w:tc>
          <w:tcPr>
            <w:tcW w:type="dxa" w:w="2801"/>
          </w:tcPr>
          <w:p>
            <w:pPr>
              <w:spacing w:line="240" w:lineRule="auto"/>
              <w:jc w:val="left"/>
            </w:pPr>
            <w:r>
              <w:rPr>
                <w:sz w:val="21"/>
              </w:rPr>
              <w:t>价值与文化方向</w:t>
            </w:r>
          </w:p>
        </w:tc>
        <w:tc>
          <w:tcPr>
            <w:tcW w:type="dxa" w:w="2801"/>
          </w:tcPr>
          <w:p>
            <w:pPr>
              <w:spacing w:line="240" w:lineRule="auto"/>
            </w:pPr>
            <w:r>
              <w:rPr>
                <w:sz w:val="21"/>
              </w:rPr>
              <w:t>文化强国与美学（P8）</w:t>
            </w:r>
          </w:p>
        </w:tc>
        <w:tc>
          <w:tcPr>
            <w:tcW w:type="dxa" w:w="2801"/>
          </w:tcPr>
          <w:p>
            <w:pPr>
              <w:spacing w:line="240" w:lineRule="auto"/>
            </w:pPr>
            <w:r>
              <w:rPr>
                <w:sz w:val="21"/>
              </w:rPr>
              <w:t>“推动城市建筑更好体现中华美学和时代风尚”（五年规划纲要相关章节）</w:t>
            </w:r>
          </w:p>
        </w:tc>
      </w:tr>
      <w:tr>
        <w:tc>
          <w:tcPr>
            <w:tcW w:type="dxa" w:w="2801"/>
          </w:tcPr>
          <w:p>
            <w:pPr>
              <w:spacing w:line="240" w:lineRule="auto"/>
              <w:jc w:val="left"/>
            </w:pPr>
            <w:r>
              <w:rPr>
                <w:sz w:val="21"/>
              </w:rPr>
              <w:t>技术与绿色议程</w:t>
            </w:r>
          </w:p>
        </w:tc>
        <w:tc>
          <w:tcPr>
            <w:tcW w:type="dxa" w:w="2801"/>
          </w:tcPr>
          <w:p>
            <w:pPr>
              <w:spacing w:line="240" w:lineRule="auto"/>
            </w:pPr>
            <w:r>
              <w:rPr>
                <w:sz w:val="21"/>
              </w:rPr>
              <w:t>人工智能优先布局（P6）</w:t>
            </w:r>
          </w:p>
        </w:tc>
        <w:tc>
          <w:tcPr>
            <w:tcW w:type="dxa" w:w="2801"/>
          </w:tcPr>
          <w:p>
            <w:pPr>
              <w:spacing w:line="240" w:lineRule="auto"/>
            </w:pPr>
            <w:r>
              <w:rPr>
                <w:sz w:val="21"/>
              </w:rPr>
              <w:t>“全面实施‘人工智能＋’行动”；“人工智能”词频由 6 次升至 53 次（五年规划纲要）</w:t>
            </w:r>
          </w:p>
        </w:tc>
      </w:tr>
      <w:tr>
        <w:tc>
          <w:tcPr>
            <w:tcW w:type="dxa" w:w="2801"/>
          </w:tcPr>
          <w:p>
            <w:pPr>
              <w:spacing w:line="240" w:lineRule="auto"/>
              <w:jc w:val="left"/>
            </w:pPr>
            <w:r>
              <w:rPr>
                <w:sz w:val="21"/>
              </w:rPr>
              <w:t>技术与绿色议程</w:t>
            </w:r>
          </w:p>
        </w:tc>
        <w:tc>
          <w:tcPr>
            <w:tcW w:type="dxa" w:w="2801"/>
          </w:tcPr>
          <w:p>
            <w:pPr>
              <w:spacing w:line="240" w:lineRule="auto"/>
            </w:pPr>
            <w:r>
              <w:rPr>
                <w:sz w:val="21"/>
              </w:rPr>
              <w:t>绿色转型与绿色设计（P9）</w:t>
            </w:r>
          </w:p>
        </w:tc>
        <w:tc>
          <w:tcPr>
            <w:tcW w:type="dxa" w:w="2801"/>
          </w:tcPr>
          <w:p>
            <w:pPr>
              <w:spacing w:line="240" w:lineRule="auto"/>
            </w:pPr>
            <w:r>
              <w:rPr>
                <w:sz w:val="21"/>
              </w:rPr>
              <w:t>“鼓励企业提高绿色设计和制造水平，降低产品全生命周期能源资源消耗”；“绿色”词频由 48 次升至 60 次</w:t>
            </w:r>
          </w:p>
        </w:tc>
      </w:tr>
    </w:tbl>
    <w:p>
      <w:pPr>
        <w:pStyle w:val="a3"/>
      </w:pPr>
      <w:r>
        <w:rPr>
          <w:sz w:val="18"/>
        </w:rPr>
        <w:t>注：本表为开放式编码节选，完整编码记录含九类政策任务；编码时保持主语警觉，不将政策任务转写为“学生应具备”的表述。资料来源：国家与制度文本 9 件。</w:t>
      </w:r>
    </w:p>
    <w:p>
      <w:pPr>
        <w:pStyle w:val="a3"/>
      </w:pPr>
    </w:p>
    <w:p>
      <w:pPr>
        <w:pStyle w:val="a3"/>
      </w:pPr>
      <w:r>
        <w:rPr>
          <w:b/>
          <w:sz w:val="24"/>
        </w:rPr>
        <w:t>环境与时代面</w:t>
      </w:r>
    </w:p>
    <w:p>
      <w:pPr>
        <w:pStyle w:val="a3"/>
        <w:ind w:firstLine="480"/>
      </w:pPr>
      <w:r>
        <w:t>环境与时代面的资料是国际组织发布的三期劳动力市场报告与趋势文献，其证据单位是主题、位次与词频，属性为前瞻叙述，把“预期”表述为“要求”即构成越界。开放式编码得到十个趋势主题，其主轴编码归为技能变动压力、人工智能重构、人的保留位、宏观议程与教育系统响应五个主范畴，主题与代表性事实见表 J4。选择编码所得到的核心范畴是，趋势话语对设计教育的净指向在于能力主张由制作转向判断与策展，而只有进入招聘文本的那一部分才构成已经兑现的证据，例如要求判断人工智能产出质量的 6 个岗位。</w:t>
      </w:r>
    </w:p>
    <w:p>
      <w:pPr>
        <w:pStyle w:val="a3"/>
        <w:jc w:val="center"/>
      </w:pPr>
      <w:r>
        <w:rPr>
          <w:b/>
          <w:sz w:val="21"/>
        </w:rPr>
        <w:t>表 J4　环境与时代面的趋势主题编码（节选）</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344"/>
        <w:gridCol w:w="2521"/>
        <w:gridCol w:w="4537"/>
      </w:tblGrid>
      <w:tr>
        <w:trPr>
          <w:tblHeader w:val="true"/>
        </w:trPr>
        <w:tc>
          <w:tcPr>
            <w:tcW w:type="dxa" w:w="2801"/>
            <w:tcBorders>
              <w:bottom w:val="single" w:sz="6" w:color="auto"/>
            </w:tcBorders>
          </w:tcPr>
          <w:p>
            <w:pPr>
              <w:spacing w:line="240" w:lineRule="auto"/>
              <w:jc w:val="center"/>
            </w:pPr>
            <w:r/>
            <w:r>
              <w:rPr>
                <w:b/>
                <w:sz w:val="21"/>
              </w:rPr>
              <w:t>主范畴</w:t>
            </w:r>
          </w:p>
        </w:tc>
        <w:tc>
          <w:tcPr>
            <w:tcW w:type="dxa" w:w="2801"/>
            <w:tcBorders>
              <w:bottom w:val="single" w:sz="6" w:color="auto"/>
            </w:tcBorders>
          </w:tcPr>
          <w:p>
            <w:pPr>
              <w:spacing w:line="240" w:lineRule="auto"/>
              <w:jc w:val="center"/>
            </w:pPr>
            <w:r/>
            <w:r>
              <w:rPr>
                <w:b/>
                <w:sz w:val="21"/>
              </w:rPr>
              <w:t>趋势主题（编号）</w:t>
            </w:r>
          </w:p>
        </w:tc>
        <w:tc>
          <w:tcPr>
            <w:tcW w:type="dxa" w:w="2801"/>
            <w:tcBorders>
              <w:bottom w:val="single" w:sz="6" w:color="auto"/>
            </w:tcBorders>
          </w:tcPr>
          <w:p>
            <w:pPr>
              <w:spacing w:line="240" w:lineRule="auto"/>
              <w:jc w:val="center"/>
            </w:pPr>
            <w:r/>
            <w:r>
              <w:rPr>
                <w:b/>
                <w:sz w:val="21"/>
              </w:rPr>
              <w:t>典型证据</w:t>
            </w:r>
          </w:p>
        </w:tc>
      </w:tr>
      <w:tr>
        <w:tc>
          <w:tcPr>
            <w:tcW w:type="dxa" w:w="2801"/>
          </w:tcPr>
          <w:p>
            <w:pPr>
              <w:spacing w:line="240" w:lineRule="auto"/>
              <w:jc w:val="left"/>
            </w:pPr>
            <w:r>
              <w:rPr>
                <w:sz w:val="21"/>
              </w:rPr>
              <w:t>技能变动压力</w:t>
            </w:r>
          </w:p>
        </w:tc>
        <w:tc>
          <w:tcPr>
            <w:tcW w:type="dxa" w:w="2801"/>
          </w:tcPr>
          <w:p>
            <w:pPr>
              <w:spacing w:line="240" w:lineRule="auto"/>
            </w:pPr>
            <w:r>
              <w:rPr>
                <w:sz w:val="21"/>
              </w:rPr>
              <w:t>技能过时成为常态（T1）</w:t>
            </w:r>
          </w:p>
        </w:tc>
        <w:tc>
          <w:tcPr>
            <w:tcW w:type="dxa" w:w="2801"/>
          </w:tcPr>
          <w:p>
            <w:pPr>
              <w:spacing w:line="240" w:lineRule="auto"/>
            </w:pPr>
            <w:r>
              <w:rPr>
                <w:sz w:val="21"/>
              </w:rPr>
              <w:t>雇主预期技能稳定率由 2016 年的 35% 变为 2025 年的 39%</w:t>
            </w:r>
          </w:p>
        </w:tc>
      </w:tr>
      <w:tr>
        <w:tc>
          <w:tcPr>
            <w:tcW w:type="dxa" w:w="2801"/>
          </w:tcPr>
          <w:p>
            <w:pPr>
              <w:spacing w:line="240" w:lineRule="auto"/>
              <w:jc w:val="left"/>
            </w:pPr>
            <w:r>
              <w:rPr>
                <w:sz w:val="21"/>
              </w:rPr>
              <w:t>技能变动压力</w:t>
            </w:r>
          </w:p>
        </w:tc>
        <w:tc>
          <w:tcPr>
            <w:tcW w:type="dxa" w:w="2801"/>
          </w:tcPr>
          <w:p>
            <w:pPr>
              <w:spacing w:line="240" w:lineRule="auto"/>
            </w:pPr>
            <w:r>
              <w:rPr>
                <w:sz w:val="21"/>
              </w:rPr>
              <w:t>学习制度化且不均（T7）</w:t>
            </w:r>
          </w:p>
        </w:tc>
        <w:tc>
          <w:tcPr>
            <w:tcW w:type="dxa" w:w="2801"/>
          </w:tcPr>
          <w:p>
            <w:pPr>
              <w:spacing w:line="240" w:lineRule="auto"/>
            </w:pPr>
            <w:r>
              <w:rPr>
                <w:sz w:val="21"/>
              </w:rPr>
              <w:t>upskill 词频由 33 次、207 次升至 700 次</w:t>
            </w:r>
          </w:p>
        </w:tc>
      </w:tr>
      <w:tr>
        <w:tc>
          <w:tcPr>
            <w:tcW w:type="dxa" w:w="2801"/>
          </w:tcPr>
          <w:p>
            <w:pPr>
              <w:spacing w:line="240" w:lineRule="auto"/>
              <w:jc w:val="left"/>
            </w:pPr>
            <w:r>
              <w:rPr>
                <w:sz w:val="21"/>
              </w:rPr>
              <w:t>技能变动压力</w:t>
            </w:r>
          </w:p>
        </w:tc>
        <w:tc>
          <w:tcPr>
            <w:tcW w:type="dxa" w:w="2801"/>
          </w:tcPr>
          <w:p>
            <w:pPr>
              <w:spacing w:line="240" w:lineRule="auto"/>
            </w:pPr>
            <w:r>
              <w:rPr>
                <w:sz w:val="21"/>
              </w:rPr>
              <w:t>再培训的系统性成本（T8）</w:t>
            </w:r>
          </w:p>
        </w:tc>
        <w:tc>
          <w:tcPr>
            <w:tcW w:type="dxa" w:w="2801"/>
          </w:tcPr>
          <w:p>
            <w:pPr>
              <w:spacing w:line="240" w:lineRule="auto"/>
            </w:pPr>
            <w:r>
              <w:rPr>
                <w:sz w:val="21"/>
              </w:rPr>
              <w:t>“reskilling fatigue is not a personal, but rather a systemic result”</w:t>
            </w:r>
          </w:p>
        </w:tc>
      </w:tr>
      <w:tr>
        <w:tc>
          <w:tcPr>
            <w:tcW w:type="dxa" w:w="2801"/>
          </w:tcPr>
          <w:p>
            <w:pPr>
              <w:spacing w:line="240" w:lineRule="auto"/>
              <w:jc w:val="left"/>
            </w:pPr>
            <w:r>
              <w:rPr>
                <w:sz w:val="21"/>
              </w:rPr>
              <w:t>人工智能重构</w:t>
            </w:r>
          </w:p>
        </w:tc>
        <w:tc>
          <w:tcPr>
            <w:tcW w:type="dxa" w:w="2801"/>
          </w:tcPr>
          <w:p>
            <w:pPr>
              <w:spacing w:line="240" w:lineRule="auto"/>
            </w:pPr>
            <w:r>
              <w:rPr>
                <w:sz w:val="21"/>
              </w:rPr>
              <w:t>人工智能素养进入主流（T2）</w:t>
            </w:r>
          </w:p>
        </w:tc>
        <w:tc>
          <w:tcPr>
            <w:tcW w:type="dxa" w:w="2801"/>
          </w:tcPr>
          <w:p>
            <w:pPr>
              <w:spacing w:line="240" w:lineRule="auto"/>
            </w:pPr>
            <w:r>
              <w:rPr>
                <w:sz w:val="21"/>
              </w:rPr>
              <w:t>“advanced prompt-writing skills and broader GenAI literacy”</w:t>
            </w:r>
          </w:p>
        </w:tc>
      </w:tr>
      <w:tr>
        <w:tc>
          <w:tcPr>
            <w:tcW w:type="dxa" w:w="2801"/>
          </w:tcPr>
          <w:p>
            <w:pPr>
              <w:spacing w:line="240" w:lineRule="auto"/>
              <w:jc w:val="left"/>
            </w:pPr>
            <w:r>
              <w:rPr>
                <w:sz w:val="21"/>
              </w:rPr>
              <w:t>人工智能重构</w:t>
            </w:r>
          </w:p>
        </w:tc>
        <w:tc>
          <w:tcPr>
            <w:tcW w:type="dxa" w:w="2801"/>
          </w:tcPr>
          <w:p>
            <w:pPr>
              <w:spacing w:line="240" w:lineRule="auto"/>
            </w:pPr>
            <w:r>
              <w:rPr>
                <w:sz w:val="21"/>
              </w:rPr>
              <w:t>设计角色重定位（T10）</w:t>
            </w:r>
          </w:p>
        </w:tc>
        <w:tc>
          <w:tcPr>
            <w:tcW w:type="dxa" w:w="2801"/>
          </w:tcPr>
          <w:p>
            <w:pPr>
              <w:spacing w:line="240" w:lineRule="auto"/>
            </w:pPr>
            <w:r>
              <w:rPr>
                <w:sz w:val="21"/>
              </w:rPr>
              <w:t>“From maker to curator… think, judge, and curate”</w:t>
            </w:r>
          </w:p>
        </w:tc>
      </w:tr>
      <w:tr>
        <w:tc>
          <w:tcPr>
            <w:tcW w:type="dxa" w:w="2801"/>
          </w:tcPr>
          <w:p>
            <w:pPr>
              <w:spacing w:line="240" w:lineRule="auto"/>
              <w:jc w:val="left"/>
            </w:pPr>
            <w:r>
              <w:rPr>
                <w:sz w:val="21"/>
              </w:rPr>
              <w:t>人的保留位</w:t>
            </w:r>
          </w:p>
        </w:tc>
        <w:tc>
          <w:tcPr>
            <w:tcW w:type="dxa" w:w="2801"/>
          </w:tcPr>
          <w:p>
            <w:pPr>
              <w:spacing w:line="240" w:lineRule="auto"/>
            </w:pPr>
            <w:r>
              <w:rPr>
                <w:sz w:val="21"/>
              </w:rPr>
              <w:t>抗自动化的认知（T3）</w:t>
            </w:r>
          </w:p>
        </w:tc>
        <w:tc>
          <w:tcPr>
            <w:tcW w:type="dxa" w:w="2801"/>
          </w:tcPr>
          <w:p>
            <w:pPr>
              <w:spacing w:line="240" w:lineRule="auto"/>
            </w:pPr>
            <w:r>
              <w:rPr>
                <w:sz w:val="21"/>
              </w:rPr>
              <w:t>“higher-order critical thinking”被引用为最不可自动化的技能</w:t>
            </w:r>
          </w:p>
        </w:tc>
      </w:tr>
      <w:tr>
        <w:tc>
          <w:tcPr>
            <w:tcW w:type="dxa" w:w="2801"/>
          </w:tcPr>
          <w:p>
            <w:pPr>
              <w:spacing w:line="240" w:lineRule="auto"/>
              <w:jc w:val="left"/>
            </w:pPr>
            <w:r>
              <w:rPr>
                <w:sz w:val="21"/>
              </w:rPr>
              <w:t>人的保留位</w:t>
            </w:r>
          </w:p>
        </w:tc>
        <w:tc>
          <w:tcPr>
            <w:tcW w:type="dxa" w:w="2801"/>
          </w:tcPr>
          <w:p>
            <w:pPr>
              <w:spacing w:line="240" w:lineRule="auto"/>
            </w:pPr>
            <w:r>
              <w:rPr>
                <w:sz w:val="21"/>
              </w:rPr>
              <w:t>人类专属能力（T4）</w:t>
            </w:r>
          </w:p>
        </w:tc>
        <w:tc>
          <w:tcPr>
            <w:tcW w:type="dxa" w:w="2801"/>
          </w:tcPr>
          <w:p>
            <w:pPr>
              <w:spacing w:line="240" w:lineRule="auto"/>
            </w:pPr>
            <w:r>
              <w:rPr>
                <w:sz w:val="21"/>
              </w:rPr>
              <w:t>共情与好奇并列核心技能第 7、8 位，各占 50%</w:t>
            </w:r>
          </w:p>
        </w:tc>
      </w:tr>
      <w:tr>
        <w:tc>
          <w:tcPr>
            <w:tcW w:type="dxa" w:w="2801"/>
          </w:tcPr>
          <w:p>
            <w:pPr>
              <w:spacing w:line="240" w:lineRule="auto"/>
              <w:jc w:val="left"/>
            </w:pPr>
            <w:r>
              <w:rPr>
                <w:sz w:val="21"/>
              </w:rPr>
              <w:t>宏观议程</w:t>
            </w:r>
          </w:p>
        </w:tc>
        <w:tc>
          <w:tcPr>
            <w:tcW w:type="dxa" w:w="2801"/>
          </w:tcPr>
          <w:p>
            <w:pPr>
              <w:spacing w:line="240" w:lineRule="auto"/>
            </w:pPr>
            <w:r>
              <w:rPr>
                <w:sz w:val="21"/>
              </w:rPr>
              <w:t>绿色议程爆发（T5）</w:t>
            </w:r>
          </w:p>
        </w:tc>
        <w:tc>
          <w:tcPr>
            <w:tcW w:type="dxa" w:w="2801"/>
          </w:tcPr>
          <w:p>
            <w:pPr>
              <w:spacing w:line="240" w:lineRule="auto"/>
            </w:pPr>
            <w:r>
              <w:rPr>
                <w:sz w:val="21"/>
              </w:rPr>
              <w:t>climate 词频 3、0、150；环境管理进入净增榜第 10 位</w:t>
            </w:r>
          </w:p>
        </w:tc>
      </w:tr>
      <w:tr>
        <w:tc>
          <w:tcPr>
            <w:tcW w:type="dxa" w:w="2801"/>
          </w:tcPr>
          <w:p>
            <w:pPr>
              <w:spacing w:line="240" w:lineRule="auto"/>
              <w:jc w:val="left"/>
            </w:pPr>
            <w:r>
              <w:rPr>
                <w:sz w:val="21"/>
              </w:rPr>
              <w:t>宏观议程</w:t>
            </w:r>
          </w:p>
        </w:tc>
        <w:tc>
          <w:tcPr>
            <w:tcW w:type="dxa" w:w="2801"/>
          </w:tcPr>
          <w:p>
            <w:pPr>
              <w:spacing w:line="240" w:lineRule="auto"/>
            </w:pPr>
            <w:r>
              <w:rPr>
                <w:sz w:val="21"/>
              </w:rPr>
              <w:t>人口的双分化（T6）</w:t>
            </w:r>
          </w:p>
        </w:tc>
        <w:tc>
          <w:tcPr>
            <w:tcW w:type="dxa" w:w="2801"/>
          </w:tcPr>
          <w:p>
            <w:pPr>
              <w:spacing w:line="240" w:lineRule="auto"/>
            </w:pPr>
            <w:r>
              <w:rPr>
                <w:sz w:val="21"/>
              </w:rPr>
              <w:t>aging 词频 4、0、126；照护与教育岗位此消彼长</w:t>
            </w:r>
          </w:p>
        </w:tc>
      </w:tr>
      <w:tr>
        <w:tc>
          <w:tcPr>
            <w:tcW w:type="dxa" w:w="2801"/>
          </w:tcPr>
          <w:p>
            <w:pPr>
              <w:spacing w:line="240" w:lineRule="auto"/>
              <w:jc w:val="left"/>
            </w:pPr>
            <w:r>
              <w:rPr>
                <w:sz w:val="21"/>
              </w:rPr>
              <w:t>教育系统响应</w:t>
            </w:r>
          </w:p>
        </w:tc>
        <w:tc>
          <w:tcPr>
            <w:tcW w:type="dxa" w:w="2801"/>
          </w:tcPr>
          <w:p>
            <w:pPr>
              <w:spacing w:line="240" w:lineRule="auto"/>
            </w:pPr>
            <w:r>
              <w:rPr>
                <w:sz w:val="21"/>
              </w:rPr>
              <w:t>教育系统的内部张力（T9）</w:t>
            </w:r>
          </w:p>
        </w:tc>
        <w:tc>
          <w:tcPr>
            <w:tcW w:type="dxa" w:w="2801"/>
          </w:tcPr>
          <w:p>
            <w:pPr>
              <w:spacing w:line="240" w:lineRule="auto"/>
            </w:pPr>
            <w:r>
              <w:rPr>
                <w:sz w:val="21"/>
              </w:rPr>
              <w:t>教育者工作坊：“两年后学生可能‘作弊’着读完高中来上学”</w:t>
            </w:r>
          </w:p>
        </w:tc>
      </w:tr>
    </w:tbl>
    <w:p>
      <w:pPr>
        <w:pStyle w:val="a3"/>
      </w:pPr>
      <w:r>
        <w:rPr>
          <w:sz w:val="18"/>
        </w:rPr>
        <w:t>注：本表为开放式编码节选，完整编码记录含十个趋势主题；词频以报告全文为分母，出自词边界扫描。资料来源：世界经济论坛《未来的工作》三期报告（2018、2020、2025）及趋势文献。</w:t>
      </w:r>
    </w:p>
    <w:p>
      <w:pPr>
        <w:pStyle w:val="a3"/>
      </w:pPr>
    </w:p>
    <w:p>
      <w:pPr>
        <w:pStyle w:val="a3"/>
      </w:pPr>
      <w:r>
        <w:rPr>
          <w:b/>
          <w:sz w:val="24"/>
        </w:rPr>
        <w:t>出口路径面</w:t>
      </w:r>
    </w:p>
    <w:p>
      <w:pPr>
        <w:pStyle w:val="a3"/>
        <w:ind w:firstLine="480"/>
      </w:pPr>
      <w:r>
        <w:t>出口路径面的资料是 2026 年国考职位表。开放式编码得到五种专业限制形态，岗位数分别为 16、50、27、228 与 59；主轴编码归为专业门槛、学历门槛与其他限制三类，其中点名具体设计专业的岗位仅 25 个，学历条件为“仅限本科”者 151 个，占 39.7%，见表 J5。选择编码所得到的核心范畴是，出口路径对“设计专业”几乎不设限，而对“研究生”反向设限，与之形成对照的是市场侧的学历门槛相对罕见。这一错位意味着公共部门以学历与专业名称作为分类依据，而市场更依赖可举证的能力与项目经历。</w:t>
      </w:r>
    </w:p>
    <w:p>
      <w:pPr>
        <w:pStyle w:val="a3"/>
        <w:jc w:val="center"/>
      </w:pPr>
      <w:r>
        <w:rPr>
          <w:b/>
          <w:sz w:val="21"/>
        </w:rPr>
        <w:t>表 J5　2026 年国考设计相关可报岗位的门槛类型</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1848"/>
        <w:gridCol w:w="2857"/>
        <w:gridCol w:w="1680"/>
        <w:gridCol w:w="2016"/>
      </w:tblGrid>
      <w:tr>
        <w:trPr>
          <w:tblHeader w:val="true"/>
        </w:trPr>
        <w:tc>
          <w:tcPr>
            <w:tcW w:type="dxa" w:w="2100"/>
            <w:tcBorders>
              <w:bottom w:val="single" w:sz="6" w:color="auto"/>
            </w:tcBorders>
          </w:tcPr>
          <w:p>
            <w:pPr>
              <w:spacing w:line="240" w:lineRule="auto"/>
              <w:jc w:val="center"/>
            </w:pPr>
            <w:r/>
            <w:r>
              <w:rPr>
                <w:b/>
                <w:sz w:val="21"/>
              </w:rPr>
              <w:t>门槛维度</w:t>
            </w:r>
          </w:p>
        </w:tc>
        <w:tc>
          <w:tcPr>
            <w:tcW w:type="dxa" w:w="2100"/>
            <w:tcBorders>
              <w:bottom w:val="single" w:sz="6" w:color="auto"/>
            </w:tcBorders>
          </w:tcPr>
          <w:p>
            <w:pPr>
              <w:spacing w:line="240" w:lineRule="auto"/>
              <w:jc w:val="center"/>
            </w:pPr>
            <w:r/>
            <w:r>
              <w:rPr>
                <w:b/>
                <w:sz w:val="21"/>
              </w:rPr>
              <w:t>限制形态</w:t>
            </w:r>
          </w:p>
        </w:tc>
        <w:tc>
          <w:tcPr>
            <w:tcW w:type="dxa" w:w="2100"/>
            <w:tcBorders>
              <w:bottom w:val="single" w:sz="6" w:color="auto"/>
            </w:tcBorders>
          </w:tcPr>
          <w:p>
            <w:pPr>
              <w:spacing w:line="240" w:lineRule="auto"/>
              <w:jc w:val="center"/>
            </w:pPr>
            <w:r/>
            <w:r>
              <w:rPr>
                <w:b/>
                <w:sz w:val="21"/>
              </w:rPr>
              <w:t>岗位数</w:t>
            </w:r>
          </w:p>
        </w:tc>
        <w:tc>
          <w:tcPr>
            <w:tcW w:type="dxa" w:w="2100"/>
            <w:tcBorders>
              <w:bottom w:val="single" w:sz="6" w:color="auto"/>
            </w:tcBorders>
          </w:tcPr>
          <w:p>
            <w:pPr>
              <w:spacing w:line="240" w:lineRule="auto"/>
              <w:jc w:val="center"/>
            </w:pPr>
            <w:r/>
            <w:r>
              <w:rPr>
                <w:b/>
                <w:sz w:val="21"/>
              </w:rPr>
              <w:t>占比（n=380）</w:t>
            </w:r>
          </w:p>
        </w:tc>
      </w:tr>
      <w:tr>
        <w:tc>
          <w:tcPr>
            <w:tcW w:type="dxa" w:w="2100"/>
          </w:tcPr>
          <w:p>
            <w:pPr>
              <w:spacing w:line="240" w:lineRule="auto"/>
              <w:jc w:val="left"/>
            </w:pPr>
            <w:r>
              <w:rPr>
                <w:sz w:val="21"/>
              </w:rPr>
              <w:t>专业门槛</w:t>
            </w:r>
          </w:p>
        </w:tc>
        <w:tc>
          <w:tcPr>
            <w:tcW w:type="dxa" w:w="2100"/>
          </w:tcPr>
          <w:p>
            <w:pPr>
              <w:spacing w:line="240" w:lineRule="auto"/>
            </w:pPr>
            <w:r>
              <w:rPr>
                <w:sz w:val="21"/>
              </w:rPr>
              <w:t>全门类列举</w:t>
            </w:r>
          </w:p>
        </w:tc>
        <w:tc>
          <w:tcPr>
            <w:tcW w:type="dxa" w:w="2100"/>
          </w:tcPr>
          <w:p>
            <w:pPr>
              <w:spacing w:line="240" w:lineRule="auto"/>
              <w:jc w:val="center"/>
            </w:pPr>
            <w:r>
              <w:rPr>
                <w:sz w:val="21"/>
              </w:rPr>
              <w:t>16</w:t>
            </w:r>
          </w:p>
        </w:tc>
        <w:tc>
          <w:tcPr>
            <w:tcW w:type="dxa" w:w="2100"/>
          </w:tcPr>
          <w:p>
            <w:pPr>
              <w:spacing w:line="240" w:lineRule="auto"/>
              <w:jc w:val="center"/>
            </w:pPr>
            <w:r>
              <w:rPr>
                <w:sz w:val="21"/>
              </w:rPr>
              <w:t>4.2%</w:t>
            </w:r>
          </w:p>
        </w:tc>
      </w:tr>
      <w:tr>
        <w:tc>
          <w:tcPr>
            <w:tcW w:type="dxa" w:w="2100"/>
          </w:tcPr>
          <w:p>
            <w:pPr>
              <w:spacing w:line="240" w:lineRule="auto"/>
              <w:jc w:val="left"/>
            </w:pPr>
            <w:r>
              <w:rPr>
                <w:sz w:val="21"/>
              </w:rPr>
              <w:t>专业门槛</w:t>
            </w:r>
          </w:p>
        </w:tc>
        <w:tc>
          <w:tcPr>
            <w:tcW w:type="dxa" w:w="2100"/>
          </w:tcPr>
          <w:p>
            <w:pPr>
              <w:spacing w:line="240" w:lineRule="auto"/>
            </w:pPr>
            <w:r>
              <w:rPr>
                <w:sz w:val="21"/>
              </w:rPr>
              <w:t>六位专业代码</w:t>
            </w:r>
          </w:p>
        </w:tc>
        <w:tc>
          <w:tcPr>
            <w:tcW w:type="dxa" w:w="2100"/>
          </w:tcPr>
          <w:p>
            <w:pPr>
              <w:spacing w:line="240" w:lineRule="auto"/>
              <w:jc w:val="center"/>
            </w:pPr>
            <w:r>
              <w:rPr>
                <w:sz w:val="21"/>
              </w:rPr>
              <w:t>50</w:t>
            </w:r>
          </w:p>
        </w:tc>
        <w:tc>
          <w:tcPr>
            <w:tcW w:type="dxa" w:w="2100"/>
          </w:tcPr>
          <w:p>
            <w:pPr>
              <w:spacing w:line="240" w:lineRule="auto"/>
              <w:jc w:val="center"/>
            </w:pPr>
            <w:r>
              <w:rPr>
                <w:sz w:val="21"/>
              </w:rPr>
              <w:t>13.2%</w:t>
            </w:r>
          </w:p>
        </w:tc>
      </w:tr>
      <w:tr>
        <w:tc>
          <w:tcPr>
            <w:tcW w:type="dxa" w:w="2100"/>
          </w:tcPr>
          <w:p>
            <w:pPr>
              <w:spacing w:line="240" w:lineRule="auto"/>
              <w:jc w:val="left"/>
            </w:pPr>
            <w:r>
              <w:rPr>
                <w:sz w:val="21"/>
              </w:rPr>
              <w:t>专业门槛</w:t>
            </w:r>
          </w:p>
        </w:tc>
        <w:tc>
          <w:tcPr>
            <w:tcW w:type="dxa" w:w="2100"/>
          </w:tcPr>
          <w:p>
            <w:pPr>
              <w:spacing w:line="240" w:lineRule="auto"/>
            </w:pPr>
            <w:r>
              <w:rPr>
                <w:sz w:val="21"/>
              </w:rPr>
              <w:t>类目码与排除式表述</w:t>
            </w:r>
          </w:p>
        </w:tc>
        <w:tc>
          <w:tcPr>
            <w:tcW w:type="dxa" w:w="2100"/>
          </w:tcPr>
          <w:p>
            <w:pPr>
              <w:spacing w:line="240" w:lineRule="auto"/>
              <w:jc w:val="center"/>
            </w:pPr>
            <w:r>
              <w:rPr>
                <w:sz w:val="21"/>
              </w:rPr>
              <w:t>27</w:t>
            </w:r>
          </w:p>
        </w:tc>
        <w:tc>
          <w:tcPr>
            <w:tcW w:type="dxa" w:w="2100"/>
          </w:tcPr>
          <w:p>
            <w:pPr>
              <w:spacing w:line="240" w:lineRule="auto"/>
              <w:jc w:val="center"/>
            </w:pPr>
            <w:r>
              <w:rPr>
                <w:sz w:val="21"/>
              </w:rPr>
              <w:t>7.1%</w:t>
            </w:r>
          </w:p>
        </w:tc>
      </w:tr>
      <w:tr>
        <w:tc>
          <w:tcPr>
            <w:tcW w:type="dxa" w:w="2100"/>
          </w:tcPr>
          <w:p>
            <w:pPr>
              <w:spacing w:line="240" w:lineRule="auto"/>
              <w:jc w:val="left"/>
            </w:pPr>
            <w:r>
              <w:rPr>
                <w:sz w:val="21"/>
              </w:rPr>
              <w:t>专业门槛</w:t>
            </w:r>
          </w:p>
        </w:tc>
        <w:tc>
          <w:tcPr>
            <w:tcW w:type="dxa" w:w="2100"/>
          </w:tcPr>
          <w:p>
            <w:pPr>
              <w:spacing w:line="240" w:lineRule="auto"/>
            </w:pPr>
            <w:r>
              <w:rPr>
                <w:sz w:val="21"/>
              </w:rPr>
              <w:t>逐个写出专业名称</w:t>
            </w:r>
          </w:p>
        </w:tc>
        <w:tc>
          <w:tcPr>
            <w:tcW w:type="dxa" w:w="2100"/>
          </w:tcPr>
          <w:p>
            <w:pPr>
              <w:spacing w:line="240" w:lineRule="auto"/>
              <w:jc w:val="center"/>
            </w:pPr>
            <w:r>
              <w:rPr>
                <w:sz w:val="21"/>
              </w:rPr>
              <w:t>228</w:t>
            </w:r>
          </w:p>
        </w:tc>
        <w:tc>
          <w:tcPr>
            <w:tcW w:type="dxa" w:w="2100"/>
          </w:tcPr>
          <w:p>
            <w:pPr>
              <w:spacing w:line="240" w:lineRule="auto"/>
              <w:jc w:val="center"/>
            </w:pPr>
            <w:r>
              <w:rPr>
                <w:sz w:val="21"/>
              </w:rPr>
              <w:t>60.0%</w:t>
            </w:r>
          </w:p>
        </w:tc>
      </w:tr>
      <w:tr>
        <w:tc>
          <w:tcPr>
            <w:tcW w:type="dxa" w:w="2100"/>
          </w:tcPr>
          <w:p>
            <w:pPr>
              <w:spacing w:line="240" w:lineRule="auto"/>
              <w:jc w:val="left"/>
            </w:pPr>
            <w:r>
              <w:rPr>
                <w:sz w:val="21"/>
              </w:rPr>
              <w:t>专业门槛</w:t>
            </w:r>
          </w:p>
        </w:tc>
        <w:tc>
          <w:tcPr>
            <w:tcW w:type="dxa" w:w="2100"/>
          </w:tcPr>
          <w:p>
            <w:pPr>
              <w:spacing w:line="240" w:lineRule="auto"/>
            </w:pPr>
            <w:r>
              <w:rPr>
                <w:sz w:val="21"/>
              </w:rPr>
              <w:t>宽泛表述（相关专业）</w:t>
            </w:r>
          </w:p>
        </w:tc>
        <w:tc>
          <w:tcPr>
            <w:tcW w:type="dxa" w:w="2100"/>
          </w:tcPr>
          <w:p>
            <w:pPr>
              <w:spacing w:line="240" w:lineRule="auto"/>
              <w:jc w:val="center"/>
            </w:pPr>
            <w:r>
              <w:rPr>
                <w:sz w:val="21"/>
              </w:rPr>
              <w:t>59</w:t>
            </w:r>
          </w:p>
        </w:tc>
        <w:tc>
          <w:tcPr>
            <w:tcW w:type="dxa" w:w="2100"/>
          </w:tcPr>
          <w:p>
            <w:pPr>
              <w:spacing w:line="240" w:lineRule="auto"/>
              <w:jc w:val="center"/>
            </w:pPr>
            <w:r>
              <w:rPr>
                <w:sz w:val="21"/>
              </w:rPr>
              <w:t>15.5%</w:t>
            </w:r>
          </w:p>
        </w:tc>
      </w:tr>
      <w:tr>
        <w:tc>
          <w:tcPr>
            <w:tcW w:type="dxa" w:w="2100"/>
          </w:tcPr>
          <w:p>
            <w:pPr>
              <w:spacing w:line="240" w:lineRule="auto"/>
              <w:jc w:val="left"/>
            </w:pPr>
            <w:r>
              <w:rPr>
                <w:sz w:val="21"/>
              </w:rPr>
              <w:t>专业门槛</w:t>
            </w:r>
          </w:p>
        </w:tc>
        <w:tc>
          <w:tcPr>
            <w:tcW w:type="dxa" w:w="2100"/>
          </w:tcPr>
          <w:p>
            <w:pPr>
              <w:spacing w:line="240" w:lineRule="auto"/>
            </w:pPr>
            <w:r>
              <w:rPr>
                <w:sz w:val="21"/>
              </w:rPr>
              <w:t>小计</w:t>
            </w:r>
          </w:p>
        </w:tc>
        <w:tc>
          <w:tcPr>
            <w:tcW w:type="dxa" w:w="2100"/>
          </w:tcPr>
          <w:p>
            <w:pPr>
              <w:spacing w:line="240" w:lineRule="auto"/>
              <w:jc w:val="center"/>
            </w:pPr>
            <w:r>
              <w:rPr>
                <w:sz w:val="21"/>
              </w:rPr>
              <w:t>380</w:t>
            </w:r>
          </w:p>
        </w:tc>
        <w:tc>
          <w:tcPr>
            <w:tcW w:type="dxa" w:w="2100"/>
          </w:tcPr>
          <w:p>
            <w:pPr>
              <w:spacing w:line="240" w:lineRule="auto"/>
              <w:jc w:val="center"/>
            </w:pPr>
            <w:r>
              <w:rPr>
                <w:sz w:val="21"/>
              </w:rPr>
              <w:t>100.0%</w:t>
            </w:r>
          </w:p>
        </w:tc>
      </w:tr>
      <w:tr>
        <w:tc>
          <w:tcPr>
            <w:tcW w:type="dxa" w:w="2100"/>
          </w:tcPr>
          <w:p>
            <w:pPr>
              <w:spacing w:line="240" w:lineRule="auto"/>
              <w:jc w:val="left"/>
            </w:pPr>
            <w:r>
              <w:rPr>
                <w:sz w:val="21"/>
              </w:rPr>
              <w:t>学历门槛</w:t>
            </w:r>
          </w:p>
        </w:tc>
        <w:tc>
          <w:tcPr>
            <w:tcW w:type="dxa" w:w="2100"/>
          </w:tcPr>
          <w:p>
            <w:pPr>
              <w:spacing w:line="240" w:lineRule="auto"/>
            </w:pPr>
            <w:r>
              <w:rPr>
                <w:sz w:val="21"/>
              </w:rPr>
              <w:t>仅限本科</w:t>
            </w:r>
          </w:p>
        </w:tc>
        <w:tc>
          <w:tcPr>
            <w:tcW w:type="dxa" w:w="2100"/>
          </w:tcPr>
          <w:p>
            <w:pPr>
              <w:spacing w:line="240" w:lineRule="auto"/>
              <w:jc w:val="center"/>
            </w:pPr>
            <w:r>
              <w:rPr>
                <w:sz w:val="21"/>
              </w:rPr>
              <w:t>151</w:t>
            </w:r>
          </w:p>
        </w:tc>
        <w:tc>
          <w:tcPr>
            <w:tcW w:type="dxa" w:w="2100"/>
          </w:tcPr>
          <w:p>
            <w:pPr>
              <w:spacing w:line="240" w:lineRule="auto"/>
              <w:jc w:val="center"/>
            </w:pPr>
            <w:r>
              <w:rPr>
                <w:sz w:val="21"/>
              </w:rPr>
              <w:t>39.7%</w:t>
            </w:r>
          </w:p>
        </w:tc>
      </w:tr>
      <w:tr>
        <w:tc>
          <w:tcPr>
            <w:tcW w:type="dxa" w:w="2100"/>
          </w:tcPr>
          <w:p>
            <w:pPr>
              <w:spacing w:line="240" w:lineRule="auto"/>
              <w:jc w:val="left"/>
            </w:pPr>
            <w:r>
              <w:rPr>
                <w:sz w:val="21"/>
              </w:rPr>
              <w:t>特殊情形</w:t>
            </w:r>
          </w:p>
        </w:tc>
        <w:tc>
          <w:tcPr>
            <w:tcW w:type="dxa" w:w="2100"/>
          </w:tcPr>
          <w:p>
            <w:pPr>
              <w:spacing w:line="240" w:lineRule="auto"/>
            </w:pPr>
            <w:r>
              <w:rPr>
                <w:sz w:val="21"/>
              </w:rPr>
              <w:t>点名具体艺术设计专业</w:t>
            </w:r>
          </w:p>
        </w:tc>
        <w:tc>
          <w:tcPr>
            <w:tcW w:type="dxa" w:w="2100"/>
          </w:tcPr>
          <w:p>
            <w:pPr>
              <w:spacing w:line="240" w:lineRule="auto"/>
              <w:jc w:val="center"/>
            </w:pPr>
            <w:r>
              <w:rPr>
                <w:sz w:val="21"/>
              </w:rPr>
              <w:t>25</w:t>
            </w:r>
          </w:p>
        </w:tc>
        <w:tc>
          <w:tcPr>
            <w:tcW w:type="dxa" w:w="2100"/>
          </w:tcPr>
          <w:p>
            <w:pPr>
              <w:spacing w:line="240" w:lineRule="auto"/>
              <w:jc w:val="center"/>
            </w:pPr>
            <w:r>
              <w:rPr>
                <w:sz w:val="21"/>
              </w:rPr>
              <w:t>6.6%</w:t>
            </w:r>
          </w:p>
        </w:tc>
      </w:tr>
      <w:tr>
        <w:tc>
          <w:tcPr>
            <w:tcW w:type="dxa" w:w="2100"/>
          </w:tcPr>
          <w:p>
            <w:pPr>
              <w:spacing w:line="240" w:lineRule="auto"/>
              <w:jc w:val="left"/>
            </w:pPr>
            <w:r>
              <w:rPr>
                <w:sz w:val="21"/>
              </w:rPr>
              <w:t>其他限制</w:t>
            </w:r>
          </w:p>
        </w:tc>
        <w:tc>
          <w:tcPr>
            <w:tcW w:type="dxa" w:w="2100"/>
          </w:tcPr>
          <w:p>
            <w:pPr>
              <w:spacing w:line="240" w:lineRule="auto"/>
            </w:pPr>
            <w:r>
              <w:rPr>
                <w:sz w:val="21"/>
              </w:rPr>
              <w:t>政治面貌、基层工作经历等</w:t>
            </w:r>
          </w:p>
        </w:tc>
        <w:tc>
          <w:tcPr>
            <w:tcW w:type="dxa" w:w="2100"/>
          </w:tcPr>
          <w:p>
            <w:pPr>
              <w:spacing w:line="240" w:lineRule="auto"/>
            </w:pPr>
            <w:r>
              <w:rPr>
                <w:sz w:val="21"/>
              </w:rPr>
              <w:t>未逐项统计</w:t>
            </w:r>
          </w:p>
        </w:tc>
        <w:tc>
          <w:tcPr>
            <w:tcW w:type="dxa" w:w="2100"/>
          </w:tcPr>
          <w:p>
            <w:pPr>
              <w:spacing w:line="240" w:lineRule="auto"/>
              <w:jc w:val="center"/>
            </w:pPr>
            <w:r>
              <w:rPr>
                <w:sz w:val="21"/>
              </w:rPr>
              <w:t>—</w:t>
            </w:r>
          </w:p>
        </w:tc>
      </w:tr>
    </w:tbl>
    <w:p>
      <w:pPr>
        <w:pStyle w:val="a3"/>
      </w:pPr>
      <w:r>
        <w:rPr>
          <w:sz w:val="18"/>
        </w:rPr>
        <w:t>注：专业门槛五种形态互斥，合计为设计相关可报岗位 380 个；学历门槛与特殊情形属另一维度，占比以同一分母 380 计算，不与专业门槛相加，故各行占比之和大于百分之百。资料来源：2026 年国家公务员考试职位表。</w:t>
      </w:r>
    </w:p>
    <w:p>
      <w:pPr>
        <w:pStyle w:val="a3"/>
      </w:pPr>
    </w:p>
    <w:p>
      <w:pPr>
        <w:pStyle w:val="3"/>
      </w:pPr>
      <w:r>
        <w:t>教育供给侧</w:t>
      </w:r>
    </w:p>
    <w:p>
      <w:pPr>
        <w:pStyle w:val="a3"/>
      </w:pPr>
      <w:r>
        <w:rPr>
          <w:b/>
          <w:sz w:val="24"/>
        </w:rPr>
        <w:t>资料构成与编码方法</w:t>
      </w:r>
    </w:p>
    <w:p>
      <w:pPr>
        <w:pStyle w:val="a3"/>
        <w:ind w:firstLine="480"/>
      </w:pPr>
      <w:r>
        <w:t>教育供给侧的观测对象是国内外 16 所院校的设计类研究生培养方案，其中 14 所取得课程名称一级的数据；观测单位是课程名称，本章判断因此以名义层为限。课程名称按智能与技术、方法与流程、理论与史论、实践与项目、人文与社会、管理与商业、技法与媒介与公共必修与语言八类范畴归类，随后编制跨源对照矩阵，把 28 项能力与供给、国家、时代三类文本逐格对映，并另设框架外范畴的登记。</w:t>
      </w:r>
    </w:p>
    <w:p>
      <w:pPr>
        <w:pStyle w:val="a3"/>
      </w:pPr>
      <w:r>
        <w:rPr>
          <w:b/>
          <w:sz w:val="24"/>
        </w:rPr>
        <w:t>课程范畴分布与年份对照</w:t>
      </w:r>
    </w:p>
    <w:p>
      <w:pPr>
        <w:pStyle w:val="a3"/>
        <w:ind w:firstLine="480"/>
      </w:pPr>
      <w:r>
        <w:t>实践与项目类课程在 14 所院校中全部命中，技法与媒介类在 13 所院校命中；智能与技术类并非普遍配置，本学院 2026 级与中央美术学院 2022 级的课程名义层精确匹配为零，同济大学在 2025 级 135700 硕士口径下以 21 门领先；“设计系统”与“组件库”一类课程名称未见对应专课。年份对照方面，湖南大学同名者仅 2 门，中央美术学院字面同名者为 0，米兰理工大学对照行数由 184 降至 157，Aalto 大学为仅见 58 门、同名 57 门、仅见 55 门。国内院校以新增课程名称回应技术与产业议题，国外院校则以模块重组回应，结果见表 J6。</w:t>
      </w:r>
    </w:p>
    <w:p>
      <w:pPr>
        <w:pStyle w:val="a3"/>
        <w:jc w:val="center"/>
      </w:pPr>
      <w:r>
        <w:rPr>
          <w:b/>
          <w:sz w:val="21"/>
        </w:rPr>
        <w:t>表 J6　16 所院校的课程范畴分布与年份对照</w:t>
      </w:r>
    </w:p>
    <w:tbl>
      <w:tblPr>
        <w:tblStyle w:val="afb"/>
        <w:tblW w:type="pct" w:w="5000"/>
        <w:tblBorders>
          <w:top w:val="single" w:sz="12" w:color="auto"/>
          <w:left w:val="none" w:sz="0" w:color="auto"/>
          <w:bottom w:val="single" w:sz="12" w:color="auto"/>
          <w:right w:val="none" w:sz="0" w:color="auto"/>
          <w:insideH w:val="none" w:sz="0" w:color="auto"/>
          <w:insideV w:val="none" w:sz="0" w:color="auto"/>
        </w:tblBorders>
        <w:tblLayout w:type="fixed"/>
        <w:tblLook w:firstColumn="1" w:firstRow="1" w:lastColumn="0" w:lastRow="0" w:noHBand="0" w:noVBand="1" w:val="04A0"/>
      </w:tblPr>
      <w:tblGrid>
        <w:gridCol w:w="2185"/>
        <w:gridCol w:w="4201"/>
        <w:gridCol w:w="2016"/>
      </w:tblGrid>
      <w:tr>
        <w:trPr>
          <w:tblHeader w:val="true"/>
        </w:trPr>
        <w:tc>
          <w:tcPr>
            <w:tcW w:type="dxa" w:w="2801"/>
            <w:tcBorders>
              <w:bottom w:val="single" w:sz="6" w:color="auto"/>
            </w:tcBorders>
          </w:tcPr>
          <w:p>
            <w:pPr>
              <w:spacing w:line="240" w:lineRule="auto"/>
              <w:jc w:val="center"/>
            </w:pPr>
            <w:r/>
            <w:r>
              <w:rPr>
                <w:b/>
                <w:sz w:val="21"/>
              </w:rPr>
              <w:t>观测项</w:t>
            </w:r>
          </w:p>
        </w:tc>
        <w:tc>
          <w:tcPr>
            <w:tcW w:type="dxa" w:w="2801"/>
            <w:tcBorders>
              <w:bottom w:val="single" w:sz="6" w:color="auto"/>
            </w:tcBorders>
          </w:tcPr>
          <w:p>
            <w:pPr>
              <w:spacing w:line="240" w:lineRule="auto"/>
              <w:jc w:val="center"/>
            </w:pPr>
            <w:r/>
            <w:r>
              <w:rPr>
                <w:b/>
                <w:sz w:val="21"/>
              </w:rPr>
              <w:t>观测结果</w:t>
            </w:r>
          </w:p>
        </w:tc>
        <w:tc>
          <w:tcPr>
            <w:tcW w:type="dxa" w:w="2801"/>
            <w:tcBorders>
              <w:bottom w:val="single" w:sz="6" w:color="auto"/>
            </w:tcBorders>
          </w:tcPr>
          <w:p>
            <w:pPr>
              <w:spacing w:line="240" w:lineRule="auto"/>
              <w:jc w:val="center"/>
            </w:pPr>
            <w:r/>
            <w:r>
              <w:rPr>
                <w:b/>
                <w:sz w:val="21"/>
              </w:rPr>
              <w:t>口径</w:t>
            </w:r>
          </w:p>
        </w:tc>
      </w:tr>
      <w:tr>
        <w:tc>
          <w:tcPr>
            <w:tcW w:type="dxa" w:w="2801"/>
          </w:tcPr>
          <w:p>
            <w:pPr>
              <w:spacing w:line="240" w:lineRule="auto"/>
              <w:jc w:val="left"/>
            </w:pPr>
            <w:r>
              <w:rPr>
                <w:sz w:val="21"/>
              </w:rPr>
              <w:t>实践与项目类</w:t>
            </w:r>
          </w:p>
        </w:tc>
        <w:tc>
          <w:tcPr>
            <w:tcW w:type="dxa" w:w="2801"/>
          </w:tcPr>
          <w:p>
            <w:pPr>
              <w:spacing w:line="240" w:lineRule="auto"/>
            </w:pPr>
            <w:r>
              <w:rPr>
                <w:sz w:val="21"/>
              </w:rPr>
              <w:t>14 所院校全部命中</w:t>
            </w:r>
          </w:p>
        </w:tc>
        <w:tc>
          <w:tcPr>
            <w:tcW w:type="dxa" w:w="2801"/>
          </w:tcPr>
          <w:p>
            <w:pPr>
              <w:spacing w:line="240" w:lineRule="auto"/>
            </w:pPr>
            <w:r>
              <w:rPr>
                <w:sz w:val="21"/>
              </w:rPr>
              <w:t>课程名称关键词匹配</w:t>
            </w:r>
          </w:p>
        </w:tc>
      </w:tr>
      <w:tr>
        <w:tc>
          <w:tcPr>
            <w:tcW w:type="dxa" w:w="2801"/>
          </w:tcPr>
          <w:p>
            <w:pPr>
              <w:spacing w:line="240" w:lineRule="auto"/>
              <w:jc w:val="left"/>
            </w:pPr>
            <w:r>
              <w:rPr>
                <w:sz w:val="21"/>
              </w:rPr>
              <w:t>技法与媒介类</w:t>
            </w:r>
          </w:p>
        </w:tc>
        <w:tc>
          <w:tcPr>
            <w:tcW w:type="dxa" w:w="2801"/>
          </w:tcPr>
          <w:p>
            <w:pPr>
              <w:spacing w:line="240" w:lineRule="auto"/>
            </w:pPr>
            <w:r>
              <w:rPr>
                <w:sz w:val="21"/>
              </w:rPr>
              <w:t>13 所院校命中</w:t>
            </w:r>
          </w:p>
        </w:tc>
        <w:tc>
          <w:tcPr>
            <w:tcW w:type="dxa" w:w="2801"/>
          </w:tcPr>
          <w:p>
            <w:pPr>
              <w:spacing w:line="240" w:lineRule="auto"/>
            </w:pPr>
            <w:r>
              <w:rPr>
                <w:sz w:val="21"/>
              </w:rPr>
              <w:t>课程名称关键词匹配</w:t>
            </w:r>
          </w:p>
        </w:tc>
      </w:tr>
      <w:tr>
        <w:tc>
          <w:tcPr>
            <w:tcW w:type="dxa" w:w="2801"/>
          </w:tcPr>
          <w:p>
            <w:pPr>
              <w:spacing w:line="240" w:lineRule="auto"/>
              <w:jc w:val="left"/>
            </w:pPr>
            <w:r>
              <w:rPr>
                <w:sz w:val="21"/>
              </w:rPr>
              <w:t>智能与技术类</w:t>
            </w:r>
          </w:p>
        </w:tc>
        <w:tc>
          <w:tcPr>
            <w:tcW w:type="dxa" w:w="2801"/>
          </w:tcPr>
          <w:p>
            <w:pPr>
              <w:spacing w:line="240" w:lineRule="auto"/>
            </w:pPr>
            <w:r>
              <w:rPr>
                <w:sz w:val="21"/>
              </w:rPr>
              <w:t>非普遍配置；本学院 2026 级与中央美术学院 2022 级精确匹配为零；同济大学 2025 级 135700 硕士口径 21 门</w:t>
            </w:r>
          </w:p>
        </w:tc>
        <w:tc>
          <w:tcPr>
            <w:tcW w:type="dxa" w:w="2801"/>
          </w:tcPr>
          <w:p>
            <w:pPr>
              <w:spacing w:line="240" w:lineRule="auto"/>
            </w:pPr>
            <w:r>
              <w:rPr>
                <w:sz w:val="21"/>
              </w:rPr>
              <w:t>同一学校不同口径为 5 至 17 门</w:t>
            </w:r>
          </w:p>
        </w:tc>
      </w:tr>
      <w:tr>
        <w:tc>
          <w:tcPr>
            <w:tcW w:type="dxa" w:w="2801"/>
          </w:tcPr>
          <w:p>
            <w:pPr>
              <w:spacing w:line="240" w:lineRule="auto"/>
              <w:jc w:val="left"/>
            </w:pPr>
            <w:r>
              <w:rPr>
                <w:sz w:val="21"/>
              </w:rPr>
              <w:t>设计系统与组件库类专课</w:t>
            </w:r>
          </w:p>
        </w:tc>
        <w:tc>
          <w:tcPr>
            <w:tcW w:type="dxa" w:w="2801"/>
          </w:tcPr>
          <w:p>
            <w:pPr>
              <w:spacing w:line="240" w:lineRule="auto"/>
            </w:pPr>
            <w:r>
              <w:rPr>
                <w:sz w:val="21"/>
              </w:rPr>
              <w:t>14 所院校未见对应专课</w:t>
            </w:r>
          </w:p>
        </w:tc>
        <w:tc>
          <w:tcPr>
            <w:tcW w:type="dxa" w:w="2801"/>
          </w:tcPr>
          <w:p>
            <w:pPr>
              <w:spacing w:line="240" w:lineRule="auto"/>
            </w:pPr>
            <w:r>
              <w:rPr>
                <w:sz w:val="21"/>
              </w:rPr>
              <w:t>精确匹配</w:t>
            </w:r>
          </w:p>
        </w:tc>
      </w:tr>
      <w:tr>
        <w:tc>
          <w:tcPr>
            <w:tcW w:type="dxa" w:w="2801"/>
          </w:tcPr>
          <w:p>
            <w:pPr>
              <w:spacing w:line="240" w:lineRule="auto"/>
              <w:jc w:val="left"/>
            </w:pPr>
            <w:r>
              <w:rPr>
                <w:sz w:val="21"/>
              </w:rPr>
              <w:t>湖南大学纵向对照</w:t>
            </w:r>
          </w:p>
        </w:tc>
        <w:tc>
          <w:tcPr>
            <w:tcW w:type="dxa" w:w="2801"/>
          </w:tcPr>
          <w:p>
            <w:pPr>
              <w:spacing w:line="240" w:lineRule="auto"/>
            </w:pPr>
            <w:r>
              <w:rPr>
                <w:sz w:val="21"/>
              </w:rPr>
              <w:t>2019 级与 2026 级课程名相同者 2 门</w:t>
            </w:r>
          </w:p>
        </w:tc>
        <w:tc>
          <w:tcPr>
            <w:tcW w:type="dxa" w:w="2801"/>
          </w:tcPr>
          <w:p>
            <w:pPr>
              <w:spacing w:line="240" w:lineRule="auto"/>
            </w:pPr>
            <w:r>
              <w:rPr>
                <w:sz w:val="21"/>
              </w:rPr>
              <w:t>同名课程</w:t>
            </w:r>
          </w:p>
        </w:tc>
      </w:tr>
      <w:tr>
        <w:tc>
          <w:tcPr>
            <w:tcW w:type="dxa" w:w="2801"/>
          </w:tcPr>
          <w:p>
            <w:pPr>
              <w:spacing w:line="240" w:lineRule="auto"/>
              <w:jc w:val="left"/>
            </w:pPr>
            <w:r>
              <w:rPr>
                <w:sz w:val="21"/>
              </w:rPr>
              <w:t>中央美术学院纵向对照</w:t>
            </w:r>
          </w:p>
        </w:tc>
        <w:tc>
          <w:tcPr>
            <w:tcW w:type="dxa" w:w="2801"/>
          </w:tcPr>
          <w:p>
            <w:pPr>
              <w:spacing w:line="240" w:lineRule="auto"/>
            </w:pPr>
            <w:r>
              <w:rPr>
                <w:sz w:val="21"/>
              </w:rPr>
              <w:t>2022 级与 2024 级字面同名者 0</w:t>
            </w:r>
          </w:p>
        </w:tc>
        <w:tc>
          <w:tcPr>
            <w:tcW w:type="dxa" w:w="2801"/>
          </w:tcPr>
          <w:p>
            <w:pPr>
              <w:spacing w:line="240" w:lineRule="auto"/>
            </w:pPr>
            <w:r>
              <w:rPr>
                <w:sz w:val="21"/>
              </w:rPr>
              <w:t>两侧报告口径不同，不可比</w:t>
            </w:r>
          </w:p>
        </w:tc>
      </w:tr>
      <w:tr>
        <w:tc>
          <w:tcPr>
            <w:tcW w:type="dxa" w:w="2801"/>
          </w:tcPr>
          <w:p>
            <w:pPr>
              <w:spacing w:line="240" w:lineRule="auto"/>
              <w:jc w:val="left"/>
            </w:pPr>
            <w:r>
              <w:rPr>
                <w:sz w:val="21"/>
              </w:rPr>
              <w:t>米兰理工大学纵向对照</w:t>
            </w:r>
          </w:p>
        </w:tc>
        <w:tc>
          <w:tcPr>
            <w:tcW w:type="dxa" w:w="2801"/>
          </w:tcPr>
          <w:p>
            <w:pPr>
              <w:spacing w:line="240" w:lineRule="auto"/>
            </w:pPr>
            <w:r>
              <w:rPr>
                <w:sz w:val="21"/>
              </w:rPr>
              <w:t>课程名对照行数由 184 降至 157</w:t>
            </w:r>
          </w:p>
        </w:tc>
        <w:tc>
          <w:tcPr>
            <w:tcW w:type="dxa" w:w="2801"/>
          </w:tcPr>
          <w:p>
            <w:pPr>
              <w:spacing w:line="240" w:lineRule="auto"/>
            </w:pPr>
            <w:r>
              <w:rPr>
                <w:sz w:val="21"/>
              </w:rPr>
              <w:t>表格行数，非课程门数</w:t>
            </w:r>
          </w:p>
        </w:tc>
      </w:tr>
      <w:tr>
        <w:tc>
          <w:tcPr>
            <w:tcW w:type="dxa" w:w="2801"/>
          </w:tcPr>
          <w:p>
            <w:pPr>
              <w:spacing w:line="240" w:lineRule="auto"/>
              <w:jc w:val="left"/>
            </w:pPr>
            <w:r>
              <w:rPr>
                <w:sz w:val="21"/>
              </w:rPr>
              <w:t>Aalto 大学纵向对照</w:t>
            </w:r>
          </w:p>
        </w:tc>
        <w:tc>
          <w:tcPr>
            <w:tcW w:type="dxa" w:w="2801"/>
          </w:tcPr>
          <w:p>
            <w:pPr>
              <w:spacing w:line="240" w:lineRule="auto"/>
            </w:pPr>
            <w:r>
              <w:rPr>
                <w:sz w:val="21"/>
              </w:rPr>
              <w:t>仅见 58 门、同名 57 门、仅见 55 门</w:t>
            </w:r>
          </w:p>
        </w:tc>
        <w:tc>
          <w:tcPr>
            <w:tcW w:type="dxa" w:w="2801"/>
          </w:tcPr>
          <w:p>
            <w:pPr>
              <w:spacing w:line="240" w:lineRule="auto"/>
            </w:pPr>
            <w:r>
              <w:rPr>
                <w:sz w:val="21"/>
              </w:rPr>
              <w:t>按课程名称计算</w:t>
            </w:r>
          </w:p>
        </w:tc>
      </w:tr>
      <w:tr>
        <w:tc>
          <w:tcPr>
            <w:tcW w:type="dxa" w:w="2801"/>
          </w:tcPr>
          <w:p>
            <w:pPr>
              <w:spacing w:line="240" w:lineRule="auto"/>
              <w:jc w:val="left"/>
            </w:pPr>
            <w:r>
              <w:rPr>
                <w:sz w:val="21"/>
              </w:rPr>
              <w:t>调整方式</w:t>
            </w:r>
          </w:p>
        </w:tc>
        <w:tc>
          <w:tcPr>
            <w:tcW w:type="dxa" w:w="2801"/>
          </w:tcPr>
          <w:p>
            <w:pPr>
              <w:spacing w:line="240" w:lineRule="auto"/>
            </w:pPr>
            <w:r>
              <w:rPr>
                <w:sz w:val="21"/>
              </w:rPr>
              <w:t>国内院校以新增课程名称为主，国外院校以模块重组为主</w:t>
            </w:r>
          </w:p>
        </w:tc>
        <w:tc>
          <w:tcPr>
            <w:tcW w:type="dxa" w:w="2801"/>
          </w:tcPr>
          <w:p>
            <w:pPr>
              <w:spacing w:line="240" w:lineRule="auto"/>
            </w:pPr>
            <w:r>
              <w:rPr>
                <w:sz w:val="21"/>
              </w:rPr>
              <w:t>课名差异不等于课程取消</w:t>
            </w:r>
          </w:p>
        </w:tc>
      </w:tr>
    </w:tbl>
    <w:p>
      <w:pPr>
        <w:pStyle w:val="a3"/>
      </w:pPr>
      <w:r>
        <w:rPr>
          <w:sz w:val="18"/>
        </w:rPr>
        <w:t>注：观测单位为课程名称，不含教学大纲与教学内容，涉及供给的判断均以名义层为限；国内外学分体系不同，其数值不作跨校比较。资料来源：16 所院校培养方案（其中 14 所取得课程名称数据）。</w:t>
      </w:r>
    </w:p>
    <w:p>
      <w:pPr>
        <w:pStyle w:val="a3"/>
      </w:pPr>
    </w:p>
    <w:p>
      <w:pPr>
        <w:pStyle w:val="a3"/>
      </w:pPr>
      <w:r>
        <w:rPr>
          <w:b/>
          <w:sz w:val="24"/>
        </w:rPr>
        <w:t>缺口判定结果</w:t>
      </w:r>
    </w:p>
    <w:p>
      <w:pPr>
        <w:pStyle w:val="a3"/>
        <w:ind w:firstLine="480"/>
      </w:pPr>
      <w:r>
        <w:t>缺口判定的结果为：系统化设计意识在供给、国家、时代三类文本中均无对应，而该项同时具备两端证据，即要求侧的 39 条岗位与职责侧任务谱中的 35 句、27 个岗位；市场与竞品研究只有相关级别的泛载体；框架外范畴共 14 条，其中绿色设计由国家文本与趋势报告两处证据同时提出，而招聘文本 103 条经逐条核查无一真正命中，矩阵节选见附录 F 表 F1。上述结果以两项限定为前提：课程名义层的判定不等于教学内容的判定；零对应的判定目前只有矩阵一方的记录。从组织社会学的角度看，智能与技术类课程的非普遍配置同时受制于师资结构、实验条件与课程重置成本，模块重组因而往往比增设新课更易推行；课程体系亦具有文化资本的分配功能，哪些能力被赋予课程身份、哪些留给实习或自学，决定了学生所能获得的制度化资本的类型</w:t>
      </w:r>
      <w:r>
        <w:rPr>
          <w:vertAlign w:val="superscript"/>
        </w:rPr>
        <w:t>[5]</w:t>
      </w:r>
      <w:r>
        <w:t>。</w:t>
      </w:r>
    </w:p>
    <w:sectPr w:rsidR="006963C4" w:rsidRPr="00F71A8D" w:rsidSect="00E40D0E">
      <w:pgSz w:w="11906" w:h="16838" w:code="9"/>
      <w:pgMar w:top="1440" w:right="1440" w:bottom="1440" w:left="2064"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i dollar" w:date="2025-09-24T00:25:00Z" w:initials="hd">
    <w:p w14:paraId="0AF5E686" w14:textId="77777777" w:rsidR="0052339B" w:rsidRDefault="0052339B" w:rsidP="0052339B">
      <w:pPr>
        <w:pStyle w:val="af9"/>
      </w:pPr>
      <w:r>
        <w:rPr>
          <w:rStyle w:val="af8"/>
        </w:rPr>
        <w:annotationRef/>
      </w:r>
      <w:r>
        <w:rPr>
          <w:rFonts w:hint="eastAsia"/>
        </w:rPr>
        <w:t>有很大的提升空间</w:t>
      </w:r>
    </w:p>
    <w:p w14:paraId="169963F2" w14:textId="77777777" w:rsidR="0052339B" w:rsidRDefault="0052339B" w:rsidP="0052339B">
      <w:pPr>
        <w:pStyle w:val="af9"/>
      </w:pPr>
      <w:r>
        <w:rPr>
          <w:rFonts w:hint="eastAsia"/>
        </w:rPr>
        <w:t>包括规范性，缺少很多数据的引用</w:t>
      </w:r>
    </w:p>
    <w:p w14:paraId="53A806CD" w14:textId="77777777" w:rsidR="0052339B" w:rsidRDefault="0052339B" w:rsidP="0052339B">
      <w:pPr>
        <w:pStyle w:val="af9"/>
      </w:pPr>
      <w:r>
        <w:rPr>
          <w:rFonts w:hint="eastAsia"/>
        </w:rPr>
        <w:t>并且，没有谈明白，物流的复杂（包括快递、外卖等等）</w:t>
      </w:r>
    </w:p>
  </w:comment>
  <w:comment w:id="3" w:author="hi dollar" w:date="2025-09-24T00:32:00Z" w:initials="hd">
    <w:p w14:paraId="2C976BBE" w14:textId="77777777" w:rsidR="0052339B" w:rsidRDefault="0052339B" w:rsidP="0052339B">
      <w:pPr>
        <w:pStyle w:val="af9"/>
      </w:pPr>
      <w:r>
        <w:rPr>
          <w:rStyle w:val="af8"/>
        </w:rPr>
        <w:annotationRef/>
      </w:r>
      <w:r>
        <w:rPr>
          <w:rFonts w:hint="eastAsia"/>
          <w:color w:val="1A1C1E"/>
          <w:highlight w:val="white"/>
        </w:rPr>
        <w:t>体现文献梳理能力</w:t>
      </w:r>
      <w:r>
        <w:rPr>
          <w:rFonts w:hint="eastAsia"/>
        </w:rPr>
        <w:t>的部分</w:t>
      </w:r>
    </w:p>
    <w:p w14:paraId="5E0C7EDD" w14:textId="77777777" w:rsidR="0052339B" w:rsidRDefault="0052339B" w:rsidP="0052339B">
      <w:pPr>
        <w:pStyle w:val="af9"/>
      </w:pPr>
      <w:r>
        <w:rPr>
          <w:rFonts w:hint="eastAsia"/>
        </w:rPr>
        <w:t>如作修改，能否结合更新颖的</w:t>
      </w:r>
      <w:r>
        <w:rPr>
          <w:rFonts w:hint="eastAsia"/>
        </w:rPr>
        <w:t xml:space="preserve"> </w:t>
      </w:r>
      <w:r>
        <w:rPr>
          <w:rFonts w:hint="eastAsia"/>
          <w:b/>
          <w:bCs/>
          <w:color w:val="1A1C1E"/>
          <w:highlight w:val="white"/>
        </w:rPr>
        <w:t>人机交互、用户体验、服务设计与社会技术系统</w:t>
      </w:r>
      <w:r>
        <w:rPr>
          <w:rFonts w:hint="eastAsia"/>
        </w:rPr>
        <w:t xml:space="preserve"> </w:t>
      </w:r>
      <w:r>
        <w:rPr>
          <w:rFonts w:hint="eastAsia"/>
        </w:rPr>
        <w:t>的相关知识或者文献</w:t>
      </w:r>
    </w:p>
  </w:comment>
  <w:comment w:id="4" w:author="hi dollar" w:date="2025-09-24T09:26:00Z" w:initials="hd">
    <w:p w14:paraId="4CEA1548" w14:textId="77777777" w:rsidR="00650F40" w:rsidRDefault="00650F40" w:rsidP="00650F40">
      <w:pPr>
        <w:pStyle w:val="af9"/>
      </w:pPr>
      <w:r>
        <w:rPr>
          <w:rStyle w:val="af8"/>
        </w:rPr>
        <w:annotationRef/>
      </w:r>
      <w:r>
        <w:rPr>
          <w:rFonts w:hint="eastAsia"/>
        </w:rPr>
        <w:t>设计目的仍不明确，这里有意模糊</w:t>
      </w:r>
    </w:p>
    <w:p w14:paraId="39FAF40C" w14:textId="77777777" w:rsidR="00650F40" w:rsidRDefault="00650F40" w:rsidP="00650F40">
      <w:pPr>
        <w:pStyle w:val="af9"/>
      </w:pPr>
      <w:r>
        <w:rPr>
          <w:rFonts w:hint="eastAsia"/>
        </w:rPr>
        <w:t>要把目光投向未来的设计实践（分析是为发现问题服务的，也是为未来的设计实践服务的），这个项目要作为一个单纯的产品设计项目（设备</w:t>
      </w:r>
      <w:r>
        <w:t>/</w:t>
      </w:r>
      <w:r>
        <w:rPr>
          <w:rFonts w:hint="eastAsia"/>
        </w:rPr>
        <w:t>产品本身的设计），还是要作为一个产品服务系统设计的项目</w:t>
      </w:r>
    </w:p>
  </w:comment>
  <w:comment w:id="6" w:author="hi dollar" w:date="2025-09-24T09:27:00Z" w:initials="hd">
    <w:p w14:paraId="41A87760" w14:textId="77777777" w:rsidR="00650F40" w:rsidRDefault="00650F40" w:rsidP="00650F40">
      <w:pPr>
        <w:pStyle w:val="af9"/>
      </w:pPr>
      <w:r>
        <w:rPr>
          <w:rStyle w:val="af8"/>
        </w:rPr>
        <w:annotationRef/>
      </w:r>
      <w:r>
        <w:rPr>
          <w:rFonts w:hint="eastAsia"/>
        </w:rPr>
        <w:t>是不是只有这些相关概念和文献？</w:t>
      </w:r>
    </w:p>
    <w:p w14:paraId="339144D8" w14:textId="77777777" w:rsidR="00650F40" w:rsidRDefault="00650F40" w:rsidP="00650F40">
      <w:pPr>
        <w:pStyle w:val="af9"/>
      </w:pPr>
      <w:r>
        <w:rPr>
          <w:rFonts w:hint="eastAsia"/>
        </w:rPr>
        <w:t>——远远不止，应该根据研究方向来进行探讨</w:t>
      </w:r>
    </w:p>
  </w:comment>
  <w:comment w:id="9" w:author="hi dollar" w:date="2025-09-24T09:32:00Z" w:initials="hd">
    <w:p w14:paraId="2C9733C3" w14:textId="77777777" w:rsidR="00650F40" w:rsidRDefault="00650F40" w:rsidP="00650F40">
      <w:pPr>
        <w:pStyle w:val="af9"/>
      </w:pPr>
      <w:r>
        <w:rPr>
          <w:rStyle w:val="af8"/>
        </w:rPr>
        <w:annotationRef/>
      </w:r>
      <w:r>
        <w:rPr>
          <w:rFonts w:hint="eastAsia"/>
        </w:rPr>
        <w:t>该理论就很值得去掉，并找一个更好的</w:t>
      </w:r>
    </w:p>
  </w:comment>
  <w:comment w:id="11" w:author="hi dollar" w:date="2025-09-24T09:36:00Z" w:initials="hd">
    <w:p w14:paraId="21FA5BF2" w14:textId="77777777" w:rsidR="00FA6B96" w:rsidRDefault="00FA6B96" w:rsidP="00FA6B96">
      <w:pPr>
        <w:pStyle w:val="af9"/>
      </w:pPr>
      <w:r>
        <w:rPr>
          <w:rStyle w:val="af8"/>
        </w:rPr>
        <w:annotationRef/>
      </w:r>
      <w:r>
        <w:rPr>
          <w:rFonts w:hint="eastAsia"/>
        </w:rPr>
        <w:t>“信任”这个话题很大、很多，需要更微观的视角</w:t>
      </w:r>
    </w:p>
  </w:comment>
  <w:comment w:id="15" w:author="hi dollar" w:date="2025-09-24T09:40:00Z" w:initials="hd">
    <w:p w14:paraId="6D5CE7EE" w14:textId="77777777" w:rsidR="00FA6B96" w:rsidRDefault="00FA6B96" w:rsidP="00FA6B96">
      <w:pPr>
        <w:pStyle w:val="af9"/>
      </w:pPr>
      <w:r>
        <w:rPr>
          <w:rStyle w:val="af8"/>
        </w:rPr>
        <w:annotationRef/>
      </w:r>
      <w:r>
        <w:rPr>
          <w:rFonts w:hint="eastAsia"/>
          <w:color w:val="1A1C1E"/>
          <w:highlight w:val="white"/>
        </w:rPr>
        <w:t>将“社交焦虑”、“努力期望”和“基础设施”都归为“态度”的子维度。从心理学和用户研究的角度看，这三个概念的层次和性质是不同的。</w:t>
      </w:r>
      <w:r>
        <w:t xml:space="preserve"> </w:t>
      </w:r>
    </w:p>
  </w:comment>
  <w:comment w:id="16" w:author="hi dollar" w:date="2025-09-24T09:40:00Z" w:initials="hd">
    <w:p w14:paraId="3858461F" w14:textId="77777777" w:rsidR="00FA6B96" w:rsidRDefault="00FA6B96" w:rsidP="00FA6B96">
      <w:pPr>
        <w:pStyle w:val="af9"/>
      </w:pPr>
      <w:r>
        <w:rPr>
          <w:rStyle w:val="af8"/>
        </w:rPr>
        <w:annotationRef/>
      </w:r>
      <w:r>
        <w:rPr>
          <w:rFonts w:hint="eastAsia"/>
          <w:b/>
          <w:bCs/>
          <w:color w:val="1A1C1E"/>
          <w:highlight w:val="white"/>
        </w:rPr>
        <w:t> </w:t>
      </w:r>
      <w:r>
        <w:rPr>
          <w:rFonts w:hint="eastAsia"/>
          <w:b/>
          <w:bCs/>
          <w:color w:val="1A1C1E"/>
          <w:highlight w:val="white"/>
        </w:rPr>
        <w:t>“态度”构念的操作化过于宽泛，导致后续的结果不够适配模型</w:t>
      </w:r>
    </w:p>
  </w:comment>
  <w:comment w:id="17" w:author="hi dollar" w:date="2025-09-24T09:43:00Z" w:initials="hd">
    <w:p w14:paraId="6DCE02B4" w14:textId="77777777" w:rsidR="00FA6B96" w:rsidRDefault="00FA6B96" w:rsidP="00FA6B96">
      <w:pPr>
        <w:pStyle w:val="af9"/>
        <w:numPr>
          <w:ilvl w:val="0"/>
          <w:numId w:val="26"/>
        </w:numPr>
        <w:ind w:left="360"/>
      </w:pPr>
      <w:r>
        <w:rPr>
          <w:rStyle w:val="af8"/>
        </w:rPr>
        <w:annotationRef/>
      </w:r>
      <w:r>
        <w:rPr>
          <w:rFonts w:hint="eastAsia"/>
          <w:b/>
          <w:bCs/>
          <w:color w:val="1A1C1E"/>
          <w:highlight w:val="white"/>
        </w:rPr>
        <w:t>社交焦虑</w:t>
      </w:r>
      <w:r>
        <w:rPr>
          <w:rFonts w:hint="eastAsia"/>
          <w:color w:val="1A1C1E"/>
          <w:highlight w:val="white"/>
        </w:rPr>
        <w:t>：更接近于一种稳定的人格特质（</w:t>
      </w:r>
      <w:r>
        <w:rPr>
          <w:rFonts w:hint="eastAsia"/>
          <w:color w:val="1A1C1E"/>
          <w:highlight w:val="white"/>
        </w:rPr>
        <w:t>Trait</w:t>
      </w:r>
      <w:r>
        <w:rPr>
          <w:rFonts w:hint="eastAsia"/>
          <w:color w:val="1A1C1E"/>
          <w:highlight w:val="white"/>
        </w:rPr>
        <w:t>）。</w:t>
      </w:r>
    </w:p>
    <w:p w14:paraId="134AA104" w14:textId="77777777" w:rsidR="00FA6B96" w:rsidRDefault="00FA6B96" w:rsidP="00FA6B96">
      <w:pPr>
        <w:pStyle w:val="af9"/>
        <w:numPr>
          <w:ilvl w:val="0"/>
          <w:numId w:val="26"/>
        </w:numPr>
        <w:ind w:left="360"/>
      </w:pPr>
      <w:r>
        <w:rPr>
          <w:rFonts w:hint="eastAsia"/>
          <w:b/>
          <w:bCs/>
          <w:color w:val="1A1C1E"/>
          <w:highlight w:val="white"/>
        </w:rPr>
        <w:t>努力期望</w:t>
      </w:r>
      <w:r>
        <w:rPr>
          <w:rFonts w:hint="eastAsia"/>
          <w:color w:val="1A1C1E"/>
          <w:highlight w:val="white"/>
        </w:rPr>
        <w:t>：是一种对系统“易用性”的认知评价（</w:t>
      </w:r>
      <w:r>
        <w:rPr>
          <w:rFonts w:hint="eastAsia"/>
          <w:color w:val="1A1C1E"/>
          <w:highlight w:val="white"/>
        </w:rPr>
        <w:t>Cognitive Belief</w:t>
      </w:r>
      <w:r>
        <w:rPr>
          <w:rFonts w:hint="eastAsia"/>
          <w:color w:val="1A1C1E"/>
          <w:highlight w:val="white"/>
        </w:rPr>
        <w:t>），源于</w:t>
      </w:r>
      <w:r>
        <w:rPr>
          <w:rFonts w:hint="eastAsia"/>
          <w:color w:val="1A1C1E"/>
          <w:highlight w:val="white"/>
        </w:rPr>
        <w:t>UTAUT</w:t>
      </w:r>
      <w:r>
        <w:rPr>
          <w:rFonts w:hint="eastAsia"/>
          <w:color w:val="1A1C1E"/>
          <w:highlight w:val="white"/>
        </w:rPr>
        <w:t>模型。</w:t>
      </w:r>
    </w:p>
    <w:p w14:paraId="62CD87CB" w14:textId="77777777" w:rsidR="00FA6B96" w:rsidRDefault="00FA6B96" w:rsidP="00FA6B96">
      <w:pPr>
        <w:pStyle w:val="af9"/>
        <w:numPr>
          <w:ilvl w:val="0"/>
          <w:numId w:val="26"/>
        </w:numPr>
        <w:ind w:left="360"/>
      </w:pPr>
      <w:r>
        <w:rPr>
          <w:rFonts w:hint="eastAsia"/>
          <w:b/>
          <w:bCs/>
          <w:color w:val="1A1C1E"/>
          <w:highlight w:val="white"/>
        </w:rPr>
        <w:t>基础设施</w:t>
      </w:r>
      <w:r>
        <w:rPr>
          <w:rFonts w:hint="eastAsia"/>
          <w:color w:val="1A1C1E"/>
          <w:highlight w:val="white"/>
        </w:rPr>
        <w:t>：是一种对外部“环境条件”的感知（</w:t>
      </w:r>
      <w:r>
        <w:rPr>
          <w:rFonts w:hint="eastAsia"/>
          <w:color w:val="1A1C1E"/>
          <w:highlight w:val="white"/>
        </w:rPr>
        <w:t>Perceived Environmental Condition</w:t>
      </w:r>
      <w:r>
        <w:rPr>
          <w:rFonts w:hint="eastAsia"/>
          <w:color w:val="1A1C1E"/>
          <w:highlight w:val="white"/>
        </w:rPr>
        <w:t>）。</w:t>
      </w:r>
    </w:p>
  </w:comment>
  <w:comment w:id="18" w:author="hi dollar" w:date="2025-09-24T09:50:00Z" w:initials="hd">
    <w:p w14:paraId="11EE1914" w14:textId="77777777" w:rsidR="009A4C64" w:rsidRDefault="009A4C64" w:rsidP="009A4C64">
      <w:pPr>
        <w:pStyle w:val="af9"/>
      </w:pPr>
      <w:r>
        <w:rPr>
          <w:rStyle w:val="af8"/>
        </w:rPr>
        <w:annotationRef/>
      </w:r>
      <w:r>
        <w:rPr>
          <w:rFonts w:hint="eastAsia"/>
        </w:rPr>
        <w:t>修改建议：</w:t>
      </w:r>
    </w:p>
    <w:p w14:paraId="7644DE38" w14:textId="77777777" w:rsidR="009A4C64" w:rsidRDefault="009A4C64" w:rsidP="009A4C64">
      <w:pPr>
        <w:pStyle w:val="af9"/>
      </w:pPr>
      <w:r>
        <w:t>1.</w:t>
      </w:r>
      <w:r>
        <w:rPr>
          <w:rFonts w:hint="eastAsia"/>
          <w:color w:val="1A1C1E"/>
          <w:highlight w:val="white"/>
        </w:rPr>
        <w:t>在研究架构和讨论部分</w:t>
      </w:r>
      <w:r>
        <w:rPr>
          <w:rFonts w:hint="eastAsia"/>
        </w:rPr>
        <w:t>，</w:t>
      </w:r>
      <w:r>
        <w:rPr>
          <w:rFonts w:hint="eastAsia"/>
          <w:color w:val="1A1C1E"/>
          <w:highlight w:val="white"/>
        </w:rPr>
        <w:t>承认当前模型中将这三者捆绑为“态度”是一种简化的处理方式</w:t>
      </w:r>
      <w:r>
        <w:t xml:space="preserve"> </w:t>
      </w:r>
    </w:p>
    <w:p w14:paraId="5F9C697F" w14:textId="77777777" w:rsidR="009A4C64" w:rsidRDefault="009A4C64" w:rsidP="009A4C64">
      <w:pPr>
        <w:pStyle w:val="af9"/>
      </w:pPr>
      <w:r>
        <w:rPr>
          <w:rFonts w:hint="eastAsia"/>
        </w:rPr>
        <w:t>2.</w:t>
      </w:r>
      <w:r>
        <w:rPr>
          <w:rFonts w:hint="eastAsia"/>
        </w:rPr>
        <w:t>或许，</w:t>
      </w:r>
      <w:r>
        <w:rPr>
          <w:rFonts w:hint="eastAsia"/>
          <w:color w:val="1A1C1E"/>
          <w:highlight w:val="white"/>
        </w:rPr>
        <w:t>在未来的研究展望中，可以提出一个更精细化的模型：将“社交焦虑”等视为前因变量（</w:t>
      </w:r>
      <w:r>
        <w:rPr>
          <w:rFonts w:hint="eastAsia"/>
          <w:color w:val="1A1C1E"/>
          <w:highlight w:val="white"/>
        </w:rPr>
        <w:t>Antecedents</w:t>
      </w:r>
      <w:r>
        <w:rPr>
          <w:rFonts w:hint="eastAsia"/>
          <w:color w:val="1A1C1E"/>
          <w:highlight w:val="white"/>
        </w:rPr>
        <w:t>），它们共同影响一个更纯粹的、整体性的“对无人配送的态度”，然后再由这个纯粹的态度去影响后续的价值感知和信任。这样的模型在逻辑上更清晰，也更能指导设计。</w:t>
      </w:r>
      <w:r>
        <w:t xml:space="preserve"> </w:t>
      </w:r>
    </w:p>
  </w:comment>
  <w:comment w:id="35" w:author="hi dollar" w:date="2025-09-24T09:57:00Z" w:initials="hd">
    <w:p w14:paraId="714F376E" w14:textId="77777777" w:rsidR="00306CA0" w:rsidRDefault="00306CA0" w:rsidP="00306CA0">
      <w:pPr>
        <w:pStyle w:val="af9"/>
      </w:pPr>
      <w:r>
        <w:rPr>
          <w:rStyle w:val="af8"/>
        </w:rPr>
        <w:annotationRef/>
      </w:r>
      <w:r>
        <w:rPr>
          <w:rFonts w:hint="eastAsia"/>
        </w:rPr>
        <w:t>效度分析结果有问题——并且，在后续的挽救和弥补措施上，也有问题</w:t>
      </w:r>
    </w:p>
    <w:p w14:paraId="7F8B226F" w14:textId="77777777" w:rsidR="00306CA0" w:rsidRDefault="00306CA0" w:rsidP="00306CA0">
      <w:pPr>
        <w:pStyle w:val="af9"/>
      </w:pPr>
      <w:r>
        <w:rPr>
          <w:rFonts w:hint="eastAsia"/>
          <w:color w:val="1A1C1E"/>
          <w:highlight w:val="white"/>
        </w:rPr>
        <w:t>在第</w:t>
      </w:r>
      <w:r>
        <w:rPr>
          <w:rFonts w:hint="eastAsia"/>
          <w:color w:val="1A1C1E"/>
          <w:highlight w:val="white"/>
        </w:rPr>
        <w:t>22</w:t>
      </w:r>
      <w:r>
        <w:rPr>
          <w:rFonts w:hint="eastAsia"/>
          <w:color w:val="1A1C1E"/>
          <w:highlight w:val="white"/>
        </w:rPr>
        <w:t>页提到“因为探索性因子分析效果不好，故用验证性因子分析</w:t>
      </w:r>
      <w:r>
        <w:rPr>
          <w:rFonts w:hint="eastAsia"/>
          <w:color w:val="1A1C1E"/>
          <w:highlight w:val="white"/>
        </w:rPr>
        <w:t>CFA</w:t>
      </w:r>
      <w:r>
        <w:rPr>
          <w:rFonts w:hint="eastAsia"/>
          <w:color w:val="1A1C1E"/>
          <w:highlight w:val="white"/>
        </w:rPr>
        <w:t>代替探索性因子分析</w:t>
      </w:r>
      <w:r>
        <w:rPr>
          <w:rFonts w:hint="eastAsia"/>
          <w:color w:val="1A1C1E"/>
          <w:highlight w:val="white"/>
        </w:rPr>
        <w:t>EFA</w:t>
      </w:r>
      <w:r>
        <w:rPr>
          <w:rFonts w:hint="eastAsia"/>
          <w:color w:val="1A1C1E"/>
          <w:highlight w:val="white"/>
        </w:rPr>
        <w:t>检验量表效度”。这是一个概念错误</w:t>
      </w:r>
      <w:r>
        <w:rPr>
          <w:rFonts w:hint="eastAsia"/>
          <w:b/>
          <w:bCs/>
          <w:color w:val="1A1C1E"/>
          <w:highlight w:val="white"/>
        </w:rPr>
        <w:t>。</w:t>
      </w:r>
      <w:r>
        <w:rPr>
          <w:rFonts w:hint="eastAsia"/>
          <w:color w:val="1A1C1E"/>
          <w:highlight w:val="white"/>
        </w:rPr>
        <w:t> EFA</w:t>
      </w:r>
      <w:r>
        <w:rPr>
          <w:rFonts w:hint="eastAsia"/>
          <w:color w:val="1A1C1E"/>
          <w:highlight w:val="white"/>
        </w:rPr>
        <w:t>和</w:t>
      </w:r>
      <w:r>
        <w:rPr>
          <w:rFonts w:hint="eastAsia"/>
          <w:color w:val="1A1C1E"/>
          <w:highlight w:val="white"/>
        </w:rPr>
        <w:t>CFA</w:t>
      </w:r>
      <w:r>
        <w:rPr>
          <w:rFonts w:hint="eastAsia"/>
          <w:color w:val="1A1C1E"/>
          <w:highlight w:val="white"/>
        </w:rPr>
        <w:t>是两种目的完全不同的分析方法，不存在“替代”关系。</w:t>
      </w:r>
      <w:r>
        <w:t xml:space="preserve"> </w:t>
      </w:r>
    </w:p>
  </w:comment>
  <w:comment w:id="37" w:author="hi dollar" w:date="2025-09-24T10:04:00Z" w:initials="hd">
    <w:p w14:paraId="1926A523" w14:textId="77777777" w:rsidR="00306CA0" w:rsidRDefault="00306CA0" w:rsidP="00306CA0">
      <w:pPr>
        <w:pStyle w:val="af9"/>
      </w:pPr>
      <w:r>
        <w:rPr>
          <w:rStyle w:val="af8"/>
        </w:rPr>
        <w:annotationRef/>
      </w:r>
      <w:r>
        <w:rPr>
          <w:rFonts w:hint="eastAsia"/>
          <w:b/>
          <w:bCs/>
          <w:color w:val="1A1C1E"/>
          <w:highlight w:val="white"/>
        </w:rPr>
        <w:t>EFA (</w:t>
      </w:r>
      <w:r>
        <w:rPr>
          <w:rFonts w:hint="eastAsia"/>
          <w:b/>
          <w:bCs/>
          <w:color w:val="1A1C1E"/>
          <w:highlight w:val="white"/>
        </w:rPr>
        <w:t>探索性</w:t>
      </w:r>
      <w:r>
        <w:rPr>
          <w:rFonts w:hint="eastAsia"/>
          <w:b/>
          <w:bCs/>
          <w:color w:val="1A1C1E"/>
          <w:highlight w:val="white"/>
        </w:rPr>
        <w:t>)</w:t>
      </w:r>
      <w:r>
        <w:rPr>
          <w:rFonts w:hint="eastAsia"/>
          <w:color w:val="1A1C1E"/>
          <w:highlight w:val="white"/>
        </w:rPr>
        <w:t>：当你对数据的内在结构不确定时使用，它的目的是让数据自己“说话”，告诉你这些题项自然地聚合成几个因子。你的</w:t>
      </w:r>
      <w:r>
        <w:rPr>
          <w:rFonts w:hint="eastAsia"/>
          <w:color w:val="1A1C1E"/>
          <w:highlight w:val="white"/>
        </w:rPr>
        <w:t>EFA</w:t>
      </w:r>
      <w:r>
        <w:rPr>
          <w:rFonts w:hint="eastAsia"/>
          <w:color w:val="1A1C1E"/>
          <w:highlight w:val="white"/>
        </w:rPr>
        <w:t>结果显示，所有题项只分成了两个维度，这说明在你的受访者感知中，这些复杂的概念（感知价值、信任、态度等）并没有被清晰地区分开，而是高度相关的</w:t>
      </w:r>
    </w:p>
    <w:p w14:paraId="7A99FB9D" w14:textId="77777777" w:rsidR="00306CA0" w:rsidRDefault="00306CA0" w:rsidP="00306CA0">
      <w:pPr>
        <w:pStyle w:val="af9"/>
      </w:pPr>
      <w:r>
        <w:rPr>
          <w:rFonts w:hint="eastAsia"/>
        </w:rPr>
        <w:t>故有两个解决方案——</w:t>
      </w:r>
    </w:p>
    <w:p w14:paraId="0056B651" w14:textId="77777777" w:rsidR="00306CA0" w:rsidRDefault="00306CA0" w:rsidP="00306CA0">
      <w:pPr>
        <w:pStyle w:val="af9"/>
      </w:pPr>
      <w:r>
        <w:t>1.</w:t>
      </w:r>
      <w:r>
        <w:rPr>
          <w:rFonts w:hint="eastAsia"/>
        </w:rPr>
        <w:t>重新发放问卷</w:t>
      </w:r>
    </w:p>
    <w:p w14:paraId="7C26344D" w14:textId="77777777" w:rsidR="00306CA0" w:rsidRDefault="00306CA0" w:rsidP="00306CA0">
      <w:pPr>
        <w:pStyle w:val="af9"/>
      </w:pPr>
      <w:r>
        <w:t>2.</w:t>
      </w:r>
      <w:r>
        <w:rPr>
          <w:rFonts w:hint="eastAsia"/>
        </w:rPr>
        <w:t>修改开始的理论模型设计</w:t>
      </w:r>
    </w:p>
  </w:comment>
  <w:comment w:id="38" w:author="hi dollar" w:date="2025-09-24T10:11:00Z" w:initials="hd">
    <w:p w14:paraId="6FC907B1" w14:textId="77777777" w:rsidR="005735C6" w:rsidRDefault="0093367E" w:rsidP="005735C6">
      <w:pPr>
        <w:pStyle w:val="af9"/>
      </w:pPr>
      <w:r>
        <w:rPr>
          <w:rStyle w:val="af8"/>
        </w:rPr>
        <w:annotationRef/>
      </w:r>
      <w:r w:rsidR="005735C6">
        <w:rPr>
          <w:rFonts w:hint="eastAsia"/>
          <w:color w:val="1A1C1E"/>
          <w:highlight w:val="white"/>
        </w:rPr>
        <w:t>不要回避或否定</w:t>
      </w:r>
      <w:r w:rsidR="005735C6">
        <w:rPr>
          <w:rFonts w:hint="eastAsia"/>
          <w:color w:val="1A1C1E"/>
          <w:highlight w:val="white"/>
        </w:rPr>
        <w:t>EFA</w:t>
      </w:r>
      <w:r w:rsidR="005735C6">
        <w:rPr>
          <w:rFonts w:hint="eastAsia"/>
          <w:color w:val="1A1C1E"/>
          <w:highlight w:val="white"/>
        </w:rPr>
        <w:t>的结果。你应该在</w:t>
      </w:r>
      <w:r w:rsidR="005735C6">
        <w:rPr>
          <w:rFonts w:hint="eastAsia"/>
          <w:color w:val="1A1C1E"/>
          <w:highlight w:val="white"/>
        </w:rPr>
        <w:t>4.2.1</w:t>
      </w:r>
      <w:r w:rsidR="005735C6">
        <w:rPr>
          <w:rFonts w:hint="eastAsia"/>
          <w:color w:val="1A1C1E"/>
          <w:highlight w:val="white"/>
        </w:rPr>
        <w:t>节完整地报告它，并进行深入讨论。这个结果恰恰揭示了用户感知的“整体性”。用户不会在脑子里清晰地区分“这是功能价值”、“那是情感信任”，他们更可能形成一个总体的“这东西好用</w:t>
      </w:r>
      <w:r w:rsidR="005735C6">
        <w:rPr>
          <w:rFonts w:hint="eastAsia"/>
          <w:color w:val="1A1C1E"/>
          <w:highlight w:val="white"/>
        </w:rPr>
        <w:t>/</w:t>
      </w:r>
      <w:r w:rsidR="005735C6">
        <w:rPr>
          <w:rFonts w:hint="eastAsia"/>
          <w:color w:val="1A1C1E"/>
          <w:highlight w:val="white"/>
        </w:rPr>
        <w:t>靠谱”的综合印象。</w:t>
      </w:r>
      <w:r w:rsidR="005735C6">
        <w:t xml:space="preserve"> </w:t>
      </w:r>
    </w:p>
  </w:comment>
  <w:comment w:id="39" w:author="hi dollar" w:date="2025-09-24T10:18:00Z" w:initials="hd">
    <w:p w14:paraId="649C834E" w14:textId="33417955" w:rsidR="005735C6" w:rsidRDefault="005735C6" w:rsidP="005735C6">
      <w:pPr>
        <w:pStyle w:val="af9"/>
      </w:pPr>
      <w:r>
        <w:rPr>
          <w:rStyle w:val="af8"/>
        </w:rPr>
        <w:annotationRef/>
      </w:r>
      <w:r>
        <w:rPr>
          <w:rFonts w:hint="eastAsia"/>
          <w:color w:val="1A1C1E"/>
          <w:highlight w:val="white"/>
        </w:rPr>
        <w:t>应该说明：“尽管</w:t>
      </w:r>
      <w:r>
        <w:rPr>
          <w:rFonts w:hint="eastAsia"/>
          <w:color w:val="1A1C1E"/>
          <w:highlight w:val="white"/>
        </w:rPr>
        <w:t>EFA</w:t>
      </w:r>
      <w:r>
        <w:rPr>
          <w:rFonts w:hint="eastAsia"/>
          <w:color w:val="1A1C1E"/>
          <w:highlight w:val="white"/>
        </w:rPr>
        <w:t>显示各构念间存在高度相关性（区分效度不佳），但为了从理论上验证我们预设的</w:t>
      </w:r>
      <w:r>
        <w:rPr>
          <w:rFonts w:hint="eastAsia"/>
          <w:color w:val="1A1C1E"/>
          <w:highlight w:val="white"/>
        </w:rPr>
        <w:t>S-O-R</w:t>
      </w:r>
      <w:r>
        <w:rPr>
          <w:rFonts w:hint="eastAsia"/>
          <w:color w:val="1A1C1E"/>
          <w:highlight w:val="white"/>
        </w:rPr>
        <w:t>和</w:t>
      </w:r>
      <w:r>
        <w:rPr>
          <w:rFonts w:hint="eastAsia"/>
          <w:color w:val="1A1C1E"/>
          <w:highlight w:val="white"/>
        </w:rPr>
        <w:t>ABC</w:t>
      </w:r>
      <w:r>
        <w:rPr>
          <w:rFonts w:hint="eastAsia"/>
          <w:color w:val="1A1C1E"/>
          <w:highlight w:val="white"/>
        </w:rPr>
        <w:t>模型框架，我们接下来采用</w:t>
      </w:r>
      <w:r>
        <w:rPr>
          <w:rFonts w:hint="eastAsia"/>
          <w:color w:val="1A1C1E"/>
          <w:highlight w:val="white"/>
        </w:rPr>
        <w:t>CFA</w:t>
      </w:r>
      <w:r>
        <w:rPr>
          <w:rFonts w:hint="eastAsia"/>
          <w:color w:val="1A1C1E"/>
          <w:highlight w:val="white"/>
        </w:rPr>
        <w:t>进行模型拟合度检验。”</w:t>
      </w:r>
      <w:r>
        <w:rPr>
          <w:rFonts w:hint="eastAsia"/>
          <w:color w:val="1A1C1E"/>
          <w:highlight w:val="white"/>
        </w:rPr>
        <w:t xml:space="preserve"> </w:t>
      </w:r>
      <w:r>
        <w:rPr>
          <w:rFonts w:hint="eastAsia"/>
          <w:color w:val="1A1C1E"/>
          <w:highlight w:val="white"/>
        </w:rPr>
        <w:t>这样逻辑就通顺了。</w:t>
      </w:r>
      <w:r>
        <w:t xml:space="preserve"> </w:t>
      </w:r>
    </w:p>
  </w:comment>
  <w:comment w:id="41" w:author="hi dollar" w:date="2025-09-24T10:05:00Z" w:initials="hd">
    <w:p w14:paraId="0F338F1B" w14:textId="5036D7C3" w:rsidR="00306CA0" w:rsidRDefault="00306CA0" w:rsidP="00306CA0">
      <w:pPr>
        <w:pStyle w:val="af9"/>
      </w:pPr>
      <w:r>
        <w:rPr>
          <w:rStyle w:val="af8"/>
        </w:rPr>
        <w:annotationRef/>
      </w:r>
      <w:r>
        <w:rPr>
          <w:rFonts w:hint="eastAsia"/>
          <w:b/>
          <w:bCs/>
          <w:color w:val="1A1C1E"/>
          <w:highlight w:val="white"/>
        </w:rPr>
        <w:t>CFA (</w:t>
      </w:r>
      <w:r>
        <w:rPr>
          <w:rFonts w:hint="eastAsia"/>
          <w:b/>
          <w:bCs/>
          <w:color w:val="1A1C1E"/>
          <w:highlight w:val="white"/>
        </w:rPr>
        <w:t>验证性</w:t>
      </w:r>
      <w:r>
        <w:rPr>
          <w:rFonts w:hint="eastAsia"/>
          <w:b/>
          <w:bCs/>
          <w:color w:val="1A1C1E"/>
          <w:highlight w:val="white"/>
        </w:rPr>
        <w:t>)</w:t>
      </w:r>
      <w:r>
        <w:rPr>
          <w:rFonts w:hint="eastAsia"/>
          <w:color w:val="1A1C1E"/>
          <w:highlight w:val="white"/>
        </w:rPr>
        <w:t>：当你有一个成熟的理论模型，并希望检验你的数据是否支持这个预设模型时使用</w:t>
      </w:r>
      <w:r>
        <w:t xml:space="preserve"> </w:t>
      </w:r>
    </w:p>
  </w:comment>
  <w:comment w:id="42" w:author="hi dollar" w:date="2025-09-24T10:17:00Z" w:initials="hd">
    <w:p w14:paraId="3C7281A9" w14:textId="77777777" w:rsidR="005735C6" w:rsidRDefault="005735C6" w:rsidP="005735C6">
      <w:pPr>
        <w:pStyle w:val="af9"/>
      </w:pPr>
      <w:r>
        <w:rPr>
          <w:rStyle w:val="af8"/>
        </w:rPr>
        <w:annotationRef/>
      </w:r>
      <w:r>
        <w:rPr>
          <w:rFonts w:hint="eastAsia"/>
          <w:color w:val="1A1C1E"/>
          <w:highlight w:val="white"/>
        </w:rPr>
        <w:t>在后续的讨论中（</w:t>
      </w:r>
      <w:r>
        <w:rPr>
          <w:rFonts w:hint="eastAsia"/>
          <w:color w:val="1A1C1E"/>
          <w:highlight w:val="white"/>
        </w:rPr>
        <w:t>4.2.3</w:t>
      </w:r>
      <w:r>
        <w:rPr>
          <w:rFonts w:hint="eastAsia"/>
          <w:color w:val="1A1C1E"/>
          <w:highlight w:val="white"/>
        </w:rPr>
        <w:t>节及第五章），必须加入对“区分效度不足”的讨论。这本身就是一个极具价值的设计洞察——对于用户而言，无人配送的体验是一个整体，功能、情感、信任等要素是交织在一起、互相影响的，设计时不能孤立地看待它们。</w:t>
      </w:r>
      <w:r>
        <w:t xml:space="preserve"> </w:t>
      </w:r>
    </w:p>
  </w:comment>
  <w:comment w:id="63" w:author="hi dollar" w:date="2025-09-24T10:34:00Z" w:initials="hd">
    <w:p w14:paraId="3263C075" w14:textId="77777777" w:rsidR="00DF0EE0" w:rsidRDefault="00DF0EE0" w:rsidP="00DF0EE0">
      <w:pPr>
        <w:pStyle w:val="af9"/>
      </w:pPr>
      <w:r>
        <w:rPr>
          <w:rStyle w:val="af8"/>
        </w:rPr>
        <w:annotationRef/>
      </w:r>
      <w:r>
        <w:rPr>
          <w:rFonts w:hint="eastAsia"/>
          <w:color w:val="1A1C1E"/>
          <w:highlight w:val="white"/>
        </w:rPr>
        <w:t>建议略显通用，例如“提升功能价值”、“优化享乐价值”</w:t>
      </w:r>
      <w:r>
        <w:rPr>
          <w:rFonts w:hint="eastAsia"/>
        </w:rPr>
        <w:t xml:space="preserve"> </w:t>
      </w:r>
      <w:r>
        <w:rPr>
          <w:rFonts w:hint="eastAsia"/>
        </w:rPr>
        <w:t>，就是废话</w:t>
      </w:r>
    </w:p>
  </w:comment>
  <w:comment w:id="64" w:author="hi dollar" w:date="2025-09-24T10:34:00Z" w:initials="hd">
    <w:p w14:paraId="311E2991" w14:textId="77777777" w:rsidR="00DF0EE0" w:rsidRDefault="00DF0EE0" w:rsidP="00DF0EE0">
      <w:pPr>
        <w:pStyle w:val="af9"/>
      </w:pPr>
      <w:r>
        <w:rPr>
          <w:rStyle w:val="af8"/>
        </w:rPr>
        <w:annotationRef/>
      </w:r>
      <w:r>
        <w:rPr>
          <w:rFonts w:hint="eastAsia"/>
        </w:rPr>
        <w:t>为了更直观，应该</w:t>
      </w:r>
      <w:r>
        <w:rPr>
          <w:rFonts w:hint="eastAsia"/>
          <w:color w:val="1A1C1E"/>
          <w:highlight w:val="white"/>
        </w:rPr>
        <w:t>将每一条建议与一个具体的数据发现挂钩</w:t>
      </w:r>
      <w:r>
        <w:t xml:space="preserve"> </w:t>
      </w:r>
    </w:p>
  </w:comment>
  <w:comment w:id="65" w:author="hi dollar" w:date="2025-09-24T10:39:00Z" w:initials="hd">
    <w:p w14:paraId="76588747" w14:textId="77777777" w:rsidR="00B82AAD" w:rsidRDefault="00B82AAD" w:rsidP="00B82AAD">
      <w:pPr>
        <w:pStyle w:val="af9"/>
      </w:pPr>
      <w:r>
        <w:rPr>
          <w:rStyle w:val="af8"/>
        </w:rPr>
        <w:annotationRef/>
      </w:r>
      <w:r>
        <w:rPr>
          <w:rFonts w:hint="eastAsia"/>
          <w:color w:val="1A1C1E"/>
          <w:highlight w:val="white"/>
        </w:rPr>
        <w:t>最终得出的设计建议显得宽泛而缺乏新意，比如“强化用户感知价值”、“降低努力期望”等。这些建议不需要做如此复杂的模型也能得出</w:t>
      </w:r>
      <w:r>
        <w:t xml:space="preserve"> </w:t>
      </w:r>
    </w:p>
  </w:comment>
  <w:comment w:id="67" w:author="hi dollar" w:date="2025-09-24T10:43:00Z" w:initials="hd">
    <w:p w14:paraId="11A87CAD" w14:textId="77777777" w:rsidR="00B82AAD" w:rsidRDefault="00B82AAD" w:rsidP="00B82AAD">
      <w:pPr>
        <w:pStyle w:val="af9"/>
      </w:pPr>
      <w:r>
        <w:rPr>
          <w:rStyle w:val="af8"/>
        </w:rPr>
        <w:annotationRef/>
      </w:r>
      <w:r>
        <w:rPr>
          <w:rFonts w:hint="eastAsia"/>
          <w:color w:val="1A1C1E"/>
          <w:highlight w:val="white"/>
        </w:rPr>
        <w:t>一份优秀的数据分析报告，其价值在于揭示非显而易见的洞察。</w:t>
      </w:r>
    </w:p>
    <w:p w14:paraId="67958B6B" w14:textId="77777777" w:rsidR="00B82AAD" w:rsidRDefault="00B82AAD" w:rsidP="00B82AAD">
      <w:pPr>
        <w:pStyle w:val="af9"/>
      </w:pPr>
      <w:r>
        <w:rPr>
          <w:rFonts w:hint="eastAsia"/>
          <w:color w:val="1A1C1E"/>
          <w:highlight w:val="white"/>
        </w:rPr>
        <w:t>例如，我们的数据本可以告诉我们一个更深刻的故事：“在无人配送的初期体验阶段，用户的功能、情感、信任感知是高度融合的整体印象，设计者若试图孤立地优化其中一点，很可能徒劳无功。</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806CD" w15:done="0"/>
  <w15:commentEx w15:paraId="5E0C7EDD" w15:done="0"/>
  <w15:commentEx w15:paraId="39FAF40C" w15:done="0"/>
  <w15:commentEx w15:paraId="339144D8" w15:done="0"/>
  <w15:commentEx w15:paraId="2C9733C3" w15:done="0"/>
  <w15:commentEx w15:paraId="21FA5BF2" w15:done="0"/>
  <w15:commentEx w15:paraId="6D5CE7EE" w15:done="0"/>
  <w15:commentEx w15:paraId="3858461F" w15:paraIdParent="6D5CE7EE" w15:done="0"/>
  <w15:commentEx w15:paraId="62CD87CB" w15:paraIdParent="6D5CE7EE" w15:done="0"/>
  <w15:commentEx w15:paraId="5F9C697F" w15:paraIdParent="6D5CE7EE" w15:done="0"/>
  <w15:commentEx w15:paraId="7F8B226F" w15:done="0"/>
  <w15:commentEx w15:paraId="7C26344D" w15:done="0"/>
  <w15:commentEx w15:paraId="6FC907B1" w15:done="0"/>
  <w15:commentEx w15:paraId="649C834E" w15:paraIdParent="6FC907B1" w15:done="0"/>
  <w15:commentEx w15:paraId="0F338F1B" w15:done="0"/>
  <w15:commentEx w15:paraId="3C7281A9" w15:paraIdParent="0F338F1B" w15:done="0"/>
  <w15:commentEx w15:paraId="3263C075" w15:done="0"/>
  <w15:commentEx w15:paraId="311E2991" w15:paraIdParent="3263C075" w15:done="0"/>
  <w15:commentEx w15:paraId="76588747" w15:paraIdParent="3263C075" w15:done="0"/>
  <w15:commentEx w15:paraId="67958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E28EE" w16cex:dateUtc="2025-09-23T16:25:00Z"/>
  <w16cex:commentExtensible w16cex:durableId="6C459D60" w16cex:dateUtc="2025-09-23T16:32:00Z"/>
  <w16cex:commentExtensible w16cex:durableId="7042C2D6" w16cex:dateUtc="2025-09-24T01:26:00Z"/>
  <w16cex:commentExtensible w16cex:durableId="46F83E56" w16cex:dateUtc="2025-09-24T01:27:00Z"/>
  <w16cex:commentExtensible w16cex:durableId="04305E04" w16cex:dateUtc="2025-09-24T01:32:00Z"/>
  <w16cex:commentExtensible w16cex:durableId="5EE01119" w16cex:dateUtc="2025-09-24T01:36:00Z"/>
  <w16cex:commentExtensible w16cex:durableId="7050B014" w16cex:dateUtc="2025-09-24T01:40:00Z"/>
  <w16cex:commentExtensible w16cex:durableId="1F118458" w16cex:dateUtc="2025-09-24T01:40:00Z"/>
  <w16cex:commentExtensible w16cex:durableId="60B7F122" w16cex:dateUtc="2025-09-24T01:43:00Z"/>
  <w16cex:commentExtensible w16cex:durableId="738D7C6B" w16cex:dateUtc="2025-09-24T01:50:00Z"/>
  <w16cex:commentExtensible w16cex:durableId="047CCC0F" w16cex:dateUtc="2025-09-24T01:57:00Z"/>
  <w16cex:commentExtensible w16cex:durableId="3C638053" w16cex:dateUtc="2025-09-24T02:04:00Z"/>
  <w16cex:commentExtensible w16cex:durableId="72BA2B6C" w16cex:dateUtc="2025-09-24T02:11:00Z"/>
  <w16cex:commentExtensible w16cex:durableId="7CD87D98" w16cex:dateUtc="2025-09-24T02:18:00Z"/>
  <w16cex:commentExtensible w16cex:durableId="5A823C5E" w16cex:dateUtc="2025-09-24T02:05:00Z"/>
  <w16cex:commentExtensible w16cex:durableId="37ACFCCD" w16cex:dateUtc="2025-09-24T02:17:00Z"/>
  <w16cex:commentExtensible w16cex:durableId="51CF10EF" w16cex:dateUtc="2025-09-24T02:34:00Z"/>
  <w16cex:commentExtensible w16cex:durableId="1B9E474B" w16cex:dateUtc="2025-09-24T02:34:00Z"/>
  <w16cex:commentExtensible w16cex:durableId="20ADC5E8" w16cex:dateUtc="2025-09-24T02:39:00Z"/>
  <w16cex:commentExtensible w16cex:durableId="29FCBC83" w16cex:dateUtc="2025-09-24T0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806CD" w16cid:durableId="295E28EE"/>
  <w16cid:commentId w16cid:paraId="5E0C7EDD" w16cid:durableId="6C459D60"/>
  <w16cid:commentId w16cid:paraId="39FAF40C" w16cid:durableId="7042C2D6"/>
  <w16cid:commentId w16cid:paraId="339144D8" w16cid:durableId="46F83E56"/>
  <w16cid:commentId w16cid:paraId="2C9733C3" w16cid:durableId="04305E04"/>
  <w16cid:commentId w16cid:paraId="21FA5BF2" w16cid:durableId="5EE01119"/>
  <w16cid:commentId w16cid:paraId="6D5CE7EE" w16cid:durableId="7050B014"/>
  <w16cid:commentId w16cid:paraId="3858461F" w16cid:durableId="1F118458"/>
  <w16cid:commentId w16cid:paraId="62CD87CB" w16cid:durableId="60B7F122"/>
  <w16cid:commentId w16cid:paraId="5F9C697F" w16cid:durableId="738D7C6B"/>
  <w16cid:commentId w16cid:paraId="7F8B226F" w16cid:durableId="047CCC0F"/>
  <w16cid:commentId w16cid:paraId="7C26344D" w16cid:durableId="3C638053"/>
  <w16cid:commentId w16cid:paraId="6FC907B1" w16cid:durableId="72BA2B6C"/>
  <w16cid:commentId w16cid:paraId="649C834E" w16cid:durableId="7CD87D98"/>
  <w16cid:commentId w16cid:paraId="0F338F1B" w16cid:durableId="5A823C5E"/>
  <w16cid:commentId w16cid:paraId="3C7281A9" w16cid:durableId="37ACFCCD"/>
  <w16cid:commentId w16cid:paraId="3263C075" w16cid:durableId="51CF10EF"/>
  <w16cid:commentId w16cid:paraId="311E2991" w16cid:durableId="1B9E474B"/>
  <w16cid:commentId w16cid:paraId="76588747" w16cid:durableId="20ADC5E8"/>
  <w16cid:commentId w16cid:paraId="67958B6B" w16cid:durableId="29FCBC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572C2" w14:textId="77777777" w:rsidR="006B3F7D" w:rsidRDefault="006B3F7D" w:rsidP="00D459EE">
      <w:r>
        <w:separator/>
      </w:r>
    </w:p>
  </w:endnote>
  <w:endnote w:type="continuationSeparator" w:id="0">
    <w:p w14:paraId="5D041604" w14:textId="77777777" w:rsidR="006B3F7D" w:rsidRDefault="006B3F7D" w:rsidP="00D45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98E4" w14:textId="77777777" w:rsidR="006B3F7D" w:rsidRDefault="006B3F7D" w:rsidP="00D459EE">
      <w:r>
        <w:separator/>
      </w:r>
    </w:p>
  </w:footnote>
  <w:footnote w:type="continuationSeparator" w:id="0">
    <w:p w14:paraId="198473B5" w14:textId="77777777" w:rsidR="006B3F7D" w:rsidRDefault="006B3F7D" w:rsidP="00D45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2FAB"/>
    <w:multiLevelType w:val="multilevel"/>
    <w:tmpl w:val="C37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62D4"/>
    <w:multiLevelType w:val="multilevel"/>
    <w:tmpl w:val="30D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45D1"/>
    <w:multiLevelType w:val="multilevel"/>
    <w:tmpl w:val="6914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91193"/>
    <w:multiLevelType w:val="multilevel"/>
    <w:tmpl w:val="CF72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0043F"/>
    <w:multiLevelType w:val="multilevel"/>
    <w:tmpl w:val="3A2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F39D5"/>
    <w:multiLevelType w:val="multilevel"/>
    <w:tmpl w:val="9EF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5329"/>
    <w:multiLevelType w:val="hybridMultilevel"/>
    <w:tmpl w:val="35E29814"/>
    <w:lvl w:ilvl="0" w:tplc="E12E5D1C">
      <w:start w:val="1"/>
      <w:numFmt w:val="bullet"/>
      <w:lvlText w:val=""/>
      <w:lvlJc w:val="left"/>
      <w:pPr>
        <w:ind w:left="1080" w:hanging="360"/>
      </w:pPr>
      <w:rPr>
        <w:rFonts w:ascii="Symbol" w:hAnsi="Symbol"/>
      </w:rPr>
    </w:lvl>
    <w:lvl w:ilvl="1" w:tplc="97A8A7D4">
      <w:start w:val="1"/>
      <w:numFmt w:val="bullet"/>
      <w:lvlText w:val=""/>
      <w:lvlJc w:val="left"/>
      <w:pPr>
        <w:ind w:left="1080" w:hanging="360"/>
      </w:pPr>
      <w:rPr>
        <w:rFonts w:ascii="Symbol" w:hAnsi="Symbol"/>
      </w:rPr>
    </w:lvl>
    <w:lvl w:ilvl="2" w:tplc="1E4A8310">
      <w:start w:val="1"/>
      <w:numFmt w:val="bullet"/>
      <w:lvlText w:val=""/>
      <w:lvlJc w:val="left"/>
      <w:pPr>
        <w:ind w:left="1080" w:hanging="360"/>
      </w:pPr>
      <w:rPr>
        <w:rFonts w:ascii="Symbol" w:hAnsi="Symbol"/>
      </w:rPr>
    </w:lvl>
    <w:lvl w:ilvl="3" w:tplc="7066613A">
      <w:start w:val="1"/>
      <w:numFmt w:val="bullet"/>
      <w:lvlText w:val=""/>
      <w:lvlJc w:val="left"/>
      <w:pPr>
        <w:ind w:left="1080" w:hanging="360"/>
      </w:pPr>
      <w:rPr>
        <w:rFonts w:ascii="Symbol" w:hAnsi="Symbol"/>
      </w:rPr>
    </w:lvl>
    <w:lvl w:ilvl="4" w:tplc="69789224">
      <w:start w:val="1"/>
      <w:numFmt w:val="bullet"/>
      <w:lvlText w:val=""/>
      <w:lvlJc w:val="left"/>
      <w:pPr>
        <w:ind w:left="1080" w:hanging="360"/>
      </w:pPr>
      <w:rPr>
        <w:rFonts w:ascii="Symbol" w:hAnsi="Symbol"/>
      </w:rPr>
    </w:lvl>
    <w:lvl w:ilvl="5" w:tplc="14321658">
      <w:start w:val="1"/>
      <w:numFmt w:val="bullet"/>
      <w:lvlText w:val=""/>
      <w:lvlJc w:val="left"/>
      <w:pPr>
        <w:ind w:left="1080" w:hanging="360"/>
      </w:pPr>
      <w:rPr>
        <w:rFonts w:ascii="Symbol" w:hAnsi="Symbol"/>
      </w:rPr>
    </w:lvl>
    <w:lvl w:ilvl="6" w:tplc="B410419C">
      <w:start w:val="1"/>
      <w:numFmt w:val="bullet"/>
      <w:lvlText w:val=""/>
      <w:lvlJc w:val="left"/>
      <w:pPr>
        <w:ind w:left="1080" w:hanging="360"/>
      </w:pPr>
      <w:rPr>
        <w:rFonts w:ascii="Symbol" w:hAnsi="Symbol"/>
      </w:rPr>
    </w:lvl>
    <w:lvl w:ilvl="7" w:tplc="7A440618">
      <w:start w:val="1"/>
      <w:numFmt w:val="bullet"/>
      <w:lvlText w:val=""/>
      <w:lvlJc w:val="left"/>
      <w:pPr>
        <w:ind w:left="1080" w:hanging="360"/>
      </w:pPr>
      <w:rPr>
        <w:rFonts w:ascii="Symbol" w:hAnsi="Symbol"/>
      </w:rPr>
    </w:lvl>
    <w:lvl w:ilvl="8" w:tplc="0D944A10">
      <w:start w:val="1"/>
      <w:numFmt w:val="bullet"/>
      <w:lvlText w:val=""/>
      <w:lvlJc w:val="left"/>
      <w:pPr>
        <w:ind w:left="1080" w:hanging="360"/>
      </w:pPr>
      <w:rPr>
        <w:rFonts w:ascii="Symbol" w:hAnsi="Symbol"/>
      </w:rPr>
    </w:lvl>
  </w:abstractNum>
  <w:abstractNum w:abstractNumId="7" w15:restartNumberingAfterBreak="0">
    <w:nsid w:val="42190967"/>
    <w:multiLevelType w:val="multilevel"/>
    <w:tmpl w:val="B67A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44B9C"/>
    <w:multiLevelType w:val="hybridMultilevel"/>
    <w:tmpl w:val="EAC41E1A"/>
    <w:lvl w:ilvl="0" w:tplc="5DD065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4443036"/>
    <w:multiLevelType w:val="multilevel"/>
    <w:tmpl w:val="89E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6701C"/>
    <w:multiLevelType w:val="hybridMultilevel"/>
    <w:tmpl w:val="EB70A964"/>
    <w:lvl w:ilvl="0" w:tplc="E57091B2">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92E4029"/>
    <w:multiLevelType w:val="multilevel"/>
    <w:tmpl w:val="684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41986"/>
    <w:multiLevelType w:val="hybridMultilevel"/>
    <w:tmpl w:val="E56ABAAE"/>
    <w:lvl w:ilvl="0" w:tplc="52B432D2">
      <w:start w:val="1"/>
      <w:numFmt w:val="decimal"/>
      <w:lvlText w:val=" [%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59C097E"/>
    <w:multiLevelType w:val="hybridMultilevel"/>
    <w:tmpl w:val="8FFE95A6"/>
    <w:lvl w:ilvl="0" w:tplc="5844A20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1A2BED"/>
    <w:multiLevelType w:val="hybridMultilevel"/>
    <w:tmpl w:val="7E8E9794"/>
    <w:lvl w:ilvl="0" w:tplc="9EEEB6E0">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0E45C03"/>
    <w:multiLevelType w:val="multilevel"/>
    <w:tmpl w:val="2F8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27496"/>
    <w:multiLevelType w:val="multilevel"/>
    <w:tmpl w:val="2C0A0B6A"/>
    <w:name w:val="equation"/>
    <w:styleLink w:val="a"/>
    <w:lvl w:ilvl="0">
      <w:start w:val="1"/>
      <w:numFmt w:val="chineseCountingThousand"/>
      <w:pStyle w:val="1"/>
      <w:suff w:val="space"/>
      <w:lvlText w:val="第%1章"/>
      <w:lvlJc w:val="left"/>
      <w:pPr>
        <w:ind w:left="0" w:firstLine="0"/>
      </w:pPr>
      <w:rPr>
        <w:rFonts w:asciiTheme="majorHAnsi" w:eastAsia="黑体" w:hAnsiTheme="majorHAnsi" w:hint="eastAsia"/>
      </w:rPr>
    </w:lvl>
    <w:lvl w:ilvl="1">
      <w:start w:val="1"/>
      <w:numFmt w:val="decimal"/>
      <w:pStyle w:val="2"/>
      <w:isLgl/>
      <w:suff w:val="space"/>
      <w:lvlText w:val="%1.%2"/>
      <w:lvlJc w:val="left"/>
      <w:pPr>
        <w:ind w:left="0" w:firstLine="0"/>
      </w:pPr>
      <w:rPr>
        <w:rFonts w:asciiTheme="majorHAnsi" w:eastAsia="宋体" w:hAnsiTheme="majorHAnsi" w:hint="eastAsia"/>
      </w:rPr>
    </w:lvl>
    <w:lvl w:ilvl="2">
      <w:start w:val="1"/>
      <w:numFmt w:val="decimal"/>
      <w:pStyle w:val="3"/>
      <w:isLgl/>
      <w:suff w:val="space"/>
      <w:lvlText w:val="%1.%2.%3"/>
      <w:lvlJc w:val="left"/>
      <w:pPr>
        <w:ind w:left="0" w:firstLine="0"/>
      </w:pPr>
      <w:rPr>
        <w:rFonts w:asciiTheme="majorHAnsi" w:eastAsia="宋体" w:hAnsiTheme="majorHAnsi" w:hint="eastAsia"/>
      </w:rPr>
    </w:lvl>
    <w:lvl w:ilvl="3">
      <w:start w:val="1"/>
      <w:numFmt w:val="decimal"/>
      <w:lvlRestart w:val="1"/>
      <w:pStyle w:val="a0"/>
      <w:isLgl/>
      <w:suff w:val="space"/>
      <w:lvlText w:val="图%1-%4"/>
      <w:lvlJc w:val="left"/>
      <w:pPr>
        <w:ind w:left="0" w:firstLine="0"/>
      </w:pPr>
      <w:rPr>
        <w:rFonts w:asciiTheme="minorHAnsi" w:eastAsia="宋体" w:hAnsiTheme="minorHAnsi" w:hint="eastAsia"/>
      </w:rPr>
    </w:lvl>
    <w:lvl w:ilvl="4">
      <w:start w:val="1"/>
      <w:numFmt w:val="decimal"/>
      <w:lvlRestart w:val="1"/>
      <w:pStyle w:val="a1"/>
      <w:isLgl/>
      <w:suff w:val="space"/>
      <w:lvlText w:val="表%1-%5"/>
      <w:lvlJc w:val="left"/>
      <w:pPr>
        <w:ind w:left="0" w:firstLine="0"/>
      </w:pPr>
      <w:rPr>
        <w:rFonts w:asciiTheme="minorHAnsi" w:eastAsia="宋体" w:hAnsiTheme="minorHAnsi" w:hint="eastAsia"/>
      </w:rPr>
    </w:lvl>
    <w:lvl w:ilvl="5">
      <w:start w:val="1"/>
      <w:numFmt w:val="decimal"/>
      <w:suff w:val="space"/>
      <w:lvlText w:val="%1.%2.%3.%4.%5.%6"/>
      <w:lvlJc w:val="left"/>
      <w:pPr>
        <w:ind w:left="0" w:firstLine="0"/>
      </w:pPr>
      <w:rPr>
        <w:rFonts w:asciiTheme="minorHAnsi" w:eastAsia="宋体" w:hAnsiTheme="minorHAnsi" w:hint="eastAsia"/>
      </w:rPr>
    </w:lvl>
    <w:lvl w:ilvl="6">
      <w:start w:val="1"/>
      <w:numFmt w:val="decimal"/>
      <w:suff w:val="space"/>
      <w:lvlText w:val="%1.%2.%3.%4.%5.%6.%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eastAsia"/>
      </w:rPr>
    </w:lvl>
    <w:lvl w:ilvl="8">
      <w:start w:val="1"/>
      <w:numFmt w:val="decimal"/>
      <w:lvlText w:val="%1.%2.%3.%4.%5.%6.%7.%8.%9"/>
      <w:lvlJc w:val="left"/>
      <w:pPr>
        <w:ind w:left="0" w:firstLine="0"/>
      </w:pPr>
      <w:rPr>
        <w:rFonts w:hint="eastAsia"/>
      </w:rPr>
    </w:lvl>
  </w:abstractNum>
  <w:abstractNum w:abstractNumId="17" w15:restartNumberingAfterBreak="0">
    <w:nsid w:val="6A0875A8"/>
    <w:multiLevelType w:val="multilevel"/>
    <w:tmpl w:val="158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D34D7"/>
    <w:multiLevelType w:val="multilevel"/>
    <w:tmpl w:val="C24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F2FA4"/>
    <w:multiLevelType w:val="multilevel"/>
    <w:tmpl w:val="DA8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A3757"/>
    <w:multiLevelType w:val="multilevel"/>
    <w:tmpl w:val="960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15447"/>
    <w:multiLevelType w:val="multilevel"/>
    <w:tmpl w:val="B86C9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BC4784"/>
    <w:multiLevelType w:val="hybridMultilevel"/>
    <w:tmpl w:val="97E24A16"/>
    <w:lvl w:ilvl="0" w:tplc="73C85B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63135686">
    <w:abstractNumId w:val="16"/>
  </w:num>
  <w:num w:numId="2" w16cid:durableId="18276719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75985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92955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4642870">
    <w:abstractNumId w:val="7"/>
  </w:num>
  <w:num w:numId="6" w16cid:durableId="1882666089">
    <w:abstractNumId w:val="18"/>
  </w:num>
  <w:num w:numId="7" w16cid:durableId="1381981465">
    <w:abstractNumId w:val="2"/>
  </w:num>
  <w:num w:numId="8" w16cid:durableId="1869638399">
    <w:abstractNumId w:val="1"/>
  </w:num>
  <w:num w:numId="9" w16cid:durableId="1282607931">
    <w:abstractNumId w:val="17"/>
  </w:num>
  <w:num w:numId="10" w16cid:durableId="376440970">
    <w:abstractNumId w:val="3"/>
  </w:num>
  <w:num w:numId="11" w16cid:durableId="884294558">
    <w:abstractNumId w:val="4"/>
  </w:num>
  <w:num w:numId="12" w16cid:durableId="753624531">
    <w:abstractNumId w:val="20"/>
  </w:num>
  <w:num w:numId="13" w16cid:durableId="438255357">
    <w:abstractNumId w:val="8"/>
  </w:num>
  <w:num w:numId="14" w16cid:durableId="387192929">
    <w:abstractNumId w:val="14"/>
  </w:num>
  <w:num w:numId="15" w16cid:durableId="181070857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0365325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74626826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4050966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939737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69772816">
    <w:abstractNumId w:val="13"/>
  </w:num>
  <w:num w:numId="21" w16cid:durableId="1317221448">
    <w:abstractNumId w:val="12"/>
  </w:num>
  <w:num w:numId="22" w16cid:durableId="396628680">
    <w:abstractNumId w:val="10"/>
  </w:num>
  <w:num w:numId="23" w16cid:durableId="737240273">
    <w:abstractNumId w:val="21"/>
  </w:num>
  <w:num w:numId="24" w16cid:durableId="1746755721">
    <w:abstractNumId w:val="22"/>
  </w:num>
  <w:num w:numId="25" w16cid:durableId="1234925763">
    <w:abstractNumId w:val="11"/>
  </w:num>
  <w:num w:numId="26" w16cid:durableId="175520232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 dollar">
    <w15:presenceInfo w15:providerId="Windows Live" w15:userId="e654e82d663417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35"/>
    <w:rsid w:val="00000365"/>
    <w:rsid w:val="000054B3"/>
    <w:rsid w:val="0000556A"/>
    <w:rsid w:val="0001019F"/>
    <w:rsid w:val="00020E57"/>
    <w:rsid w:val="00021A39"/>
    <w:rsid w:val="000239C7"/>
    <w:rsid w:val="00044B74"/>
    <w:rsid w:val="00065553"/>
    <w:rsid w:val="00085468"/>
    <w:rsid w:val="00092BD8"/>
    <w:rsid w:val="00092F37"/>
    <w:rsid w:val="00093729"/>
    <w:rsid w:val="000A16AA"/>
    <w:rsid w:val="000E262E"/>
    <w:rsid w:val="000E2956"/>
    <w:rsid w:val="000E2D1D"/>
    <w:rsid w:val="000E35E6"/>
    <w:rsid w:val="000F5C52"/>
    <w:rsid w:val="00136637"/>
    <w:rsid w:val="001411A1"/>
    <w:rsid w:val="00163C91"/>
    <w:rsid w:val="00181C2D"/>
    <w:rsid w:val="001842D6"/>
    <w:rsid w:val="00195BD2"/>
    <w:rsid w:val="001C3F6D"/>
    <w:rsid w:val="001E6312"/>
    <w:rsid w:val="001F35CB"/>
    <w:rsid w:val="001F5010"/>
    <w:rsid w:val="00210CEA"/>
    <w:rsid w:val="002350C6"/>
    <w:rsid w:val="0024021C"/>
    <w:rsid w:val="00241960"/>
    <w:rsid w:val="00255344"/>
    <w:rsid w:val="00257612"/>
    <w:rsid w:val="00265345"/>
    <w:rsid w:val="00266409"/>
    <w:rsid w:val="0027760F"/>
    <w:rsid w:val="0028799C"/>
    <w:rsid w:val="00295533"/>
    <w:rsid w:val="002A2D9A"/>
    <w:rsid w:val="002C091F"/>
    <w:rsid w:val="002C66E7"/>
    <w:rsid w:val="002E0A15"/>
    <w:rsid w:val="00300468"/>
    <w:rsid w:val="00301FB9"/>
    <w:rsid w:val="00306CA0"/>
    <w:rsid w:val="00323AB0"/>
    <w:rsid w:val="00341A39"/>
    <w:rsid w:val="003573DC"/>
    <w:rsid w:val="00357ECD"/>
    <w:rsid w:val="0036036B"/>
    <w:rsid w:val="00367678"/>
    <w:rsid w:val="003749AC"/>
    <w:rsid w:val="00380055"/>
    <w:rsid w:val="0038116D"/>
    <w:rsid w:val="003811BE"/>
    <w:rsid w:val="003A14F1"/>
    <w:rsid w:val="003A2A90"/>
    <w:rsid w:val="003A3734"/>
    <w:rsid w:val="00401374"/>
    <w:rsid w:val="00434C35"/>
    <w:rsid w:val="004603FE"/>
    <w:rsid w:val="0047652F"/>
    <w:rsid w:val="004821BE"/>
    <w:rsid w:val="004B0F68"/>
    <w:rsid w:val="004B17E1"/>
    <w:rsid w:val="004D4663"/>
    <w:rsid w:val="004F5529"/>
    <w:rsid w:val="00515E7E"/>
    <w:rsid w:val="0052339B"/>
    <w:rsid w:val="0053381C"/>
    <w:rsid w:val="005512BB"/>
    <w:rsid w:val="00553759"/>
    <w:rsid w:val="005735C6"/>
    <w:rsid w:val="00594048"/>
    <w:rsid w:val="005B6BFC"/>
    <w:rsid w:val="005C27ED"/>
    <w:rsid w:val="005C35D6"/>
    <w:rsid w:val="005D1BBC"/>
    <w:rsid w:val="005E67A1"/>
    <w:rsid w:val="005F1986"/>
    <w:rsid w:val="005F27BF"/>
    <w:rsid w:val="005F7837"/>
    <w:rsid w:val="006108F3"/>
    <w:rsid w:val="0061349D"/>
    <w:rsid w:val="00613ADD"/>
    <w:rsid w:val="00613EB4"/>
    <w:rsid w:val="006241C1"/>
    <w:rsid w:val="00643226"/>
    <w:rsid w:val="00650F40"/>
    <w:rsid w:val="00657957"/>
    <w:rsid w:val="00694715"/>
    <w:rsid w:val="00695AA1"/>
    <w:rsid w:val="006963C4"/>
    <w:rsid w:val="006B3F7D"/>
    <w:rsid w:val="006C5C2A"/>
    <w:rsid w:val="006C792F"/>
    <w:rsid w:val="00732CEF"/>
    <w:rsid w:val="00734F16"/>
    <w:rsid w:val="00737678"/>
    <w:rsid w:val="00740C32"/>
    <w:rsid w:val="00750B05"/>
    <w:rsid w:val="0075481D"/>
    <w:rsid w:val="00755E13"/>
    <w:rsid w:val="00766776"/>
    <w:rsid w:val="007703FE"/>
    <w:rsid w:val="007752A2"/>
    <w:rsid w:val="007851B2"/>
    <w:rsid w:val="007A6F98"/>
    <w:rsid w:val="007A7D7B"/>
    <w:rsid w:val="007B00AD"/>
    <w:rsid w:val="007B3B10"/>
    <w:rsid w:val="007B7CEE"/>
    <w:rsid w:val="007C344D"/>
    <w:rsid w:val="007D34E9"/>
    <w:rsid w:val="007D751F"/>
    <w:rsid w:val="007E1A19"/>
    <w:rsid w:val="007E2920"/>
    <w:rsid w:val="007F1867"/>
    <w:rsid w:val="008041FB"/>
    <w:rsid w:val="0081073A"/>
    <w:rsid w:val="00814DC2"/>
    <w:rsid w:val="008602EA"/>
    <w:rsid w:val="0088790B"/>
    <w:rsid w:val="0089677E"/>
    <w:rsid w:val="008A473B"/>
    <w:rsid w:val="008A5D7C"/>
    <w:rsid w:val="008A7AA6"/>
    <w:rsid w:val="008A7BC7"/>
    <w:rsid w:val="008C6901"/>
    <w:rsid w:val="008F65E6"/>
    <w:rsid w:val="0090635B"/>
    <w:rsid w:val="009117E3"/>
    <w:rsid w:val="009323D3"/>
    <w:rsid w:val="0093367E"/>
    <w:rsid w:val="00953F30"/>
    <w:rsid w:val="00957339"/>
    <w:rsid w:val="009725D1"/>
    <w:rsid w:val="00981DA9"/>
    <w:rsid w:val="009A4C64"/>
    <w:rsid w:val="009E1B99"/>
    <w:rsid w:val="009E54CD"/>
    <w:rsid w:val="009F42A9"/>
    <w:rsid w:val="00A14F16"/>
    <w:rsid w:val="00A30650"/>
    <w:rsid w:val="00A35D15"/>
    <w:rsid w:val="00A3620B"/>
    <w:rsid w:val="00A76D99"/>
    <w:rsid w:val="00A86AD0"/>
    <w:rsid w:val="00A9668D"/>
    <w:rsid w:val="00AA2C88"/>
    <w:rsid w:val="00AD78BD"/>
    <w:rsid w:val="00AF425B"/>
    <w:rsid w:val="00B06B3A"/>
    <w:rsid w:val="00B079D4"/>
    <w:rsid w:val="00B105C0"/>
    <w:rsid w:val="00B147B3"/>
    <w:rsid w:val="00B22DDC"/>
    <w:rsid w:val="00B4249A"/>
    <w:rsid w:val="00B469CE"/>
    <w:rsid w:val="00B604AE"/>
    <w:rsid w:val="00B61A55"/>
    <w:rsid w:val="00B74589"/>
    <w:rsid w:val="00B82307"/>
    <w:rsid w:val="00B82AAD"/>
    <w:rsid w:val="00BB4D41"/>
    <w:rsid w:val="00BB6843"/>
    <w:rsid w:val="00BD71E4"/>
    <w:rsid w:val="00BE6E86"/>
    <w:rsid w:val="00BF38F5"/>
    <w:rsid w:val="00C10B15"/>
    <w:rsid w:val="00C11C51"/>
    <w:rsid w:val="00C26688"/>
    <w:rsid w:val="00C2732C"/>
    <w:rsid w:val="00C54FE5"/>
    <w:rsid w:val="00C91170"/>
    <w:rsid w:val="00C95FE0"/>
    <w:rsid w:val="00CA50EF"/>
    <w:rsid w:val="00CB13E0"/>
    <w:rsid w:val="00CB77C1"/>
    <w:rsid w:val="00CF14AD"/>
    <w:rsid w:val="00CF406C"/>
    <w:rsid w:val="00D02325"/>
    <w:rsid w:val="00D0741C"/>
    <w:rsid w:val="00D23FF4"/>
    <w:rsid w:val="00D32AC8"/>
    <w:rsid w:val="00D43195"/>
    <w:rsid w:val="00D459EE"/>
    <w:rsid w:val="00D542DD"/>
    <w:rsid w:val="00D60DD8"/>
    <w:rsid w:val="00D76C59"/>
    <w:rsid w:val="00D8718D"/>
    <w:rsid w:val="00DC39F0"/>
    <w:rsid w:val="00DE11E2"/>
    <w:rsid w:val="00DE1C0D"/>
    <w:rsid w:val="00DF0EE0"/>
    <w:rsid w:val="00E402E6"/>
    <w:rsid w:val="00E40D0E"/>
    <w:rsid w:val="00E62AAF"/>
    <w:rsid w:val="00E674A6"/>
    <w:rsid w:val="00E75C59"/>
    <w:rsid w:val="00E83250"/>
    <w:rsid w:val="00E85FA9"/>
    <w:rsid w:val="00E9057D"/>
    <w:rsid w:val="00EA3317"/>
    <w:rsid w:val="00EB5C34"/>
    <w:rsid w:val="00EB6A3D"/>
    <w:rsid w:val="00EC7846"/>
    <w:rsid w:val="00ED0BF0"/>
    <w:rsid w:val="00EF2906"/>
    <w:rsid w:val="00F12DEB"/>
    <w:rsid w:val="00F16545"/>
    <w:rsid w:val="00F34885"/>
    <w:rsid w:val="00F400DD"/>
    <w:rsid w:val="00F71A8D"/>
    <w:rsid w:val="00F90F7B"/>
    <w:rsid w:val="00F92371"/>
    <w:rsid w:val="00FA3289"/>
    <w:rsid w:val="00FA5F5B"/>
    <w:rsid w:val="00FA6B96"/>
    <w:rsid w:val="00FB0F0D"/>
    <w:rsid w:val="00FC0F56"/>
    <w:rsid w:val="00FD2856"/>
    <w:rsid w:val="00FE641A"/>
    <w:rsid w:val="00FE7624"/>
    <w:rsid w:val="00FF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460D"/>
  <w15:chartTrackingRefBased/>
  <w15:docId w15:val="{959ED03B-FDDC-4944-8C30-99EAA8AD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1"/>
    <w:qFormat/>
    <w:rsid w:val="004B17E1"/>
    <w:pPr>
      <w:widowControl w:val="0"/>
      <w:jc w:val="both"/>
    </w:pPr>
    <w:rPr>
      <w:sz w:val="24"/>
    </w:rPr>
  </w:style>
  <w:style w:type="paragraph" w:styleId="1">
    <w:name w:val="heading 1"/>
    <w:basedOn w:val="a2"/>
    <w:next w:val="a3"/>
    <w:link w:val="10"/>
    <w:autoRedefine/>
    <w:uiPriority w:val="9"/>
    <w:qFormat/>
    <w:rsid w:val="004B17E1"/>
    <w:pPr>
      <w:keepNext/>
      <w:keepLines/>
      <w:widowControl/>
      <w:numPr>
        <w:numId w:val="1"/>
      </w:numPr>
      <w:spacing w:before="160" w:after="160" w:line="360" w:lineRule="auto"/>
      <w:jc w:val="center"/>
      <w:outlineLvl w:val="0"/>
    </w:pPr>
    <w:rPr>
      <w:rFonts w:asciiTheme="majorHAnsi" w:eastAsiaTheme="majorEastAsia" w:hAnsiTheme="majorHAnsi"/>
      <w:bCs/>
      <w:kern w:val="44"/>
      <w:sz w:val="36"/>
      <w:szCs w:val="44"/>
    </w:rPr>
  </w:style>
  <w:style w:type="paragraph" w:styleId="2">
    <w:name w:val="heading 2"/>
    <w:basedOn w:val="a2"/>
    <w:next w:val="a3"/>
    <w:link w:val="20"/>
    <w:uiPriority w:val="9"/>
    <w:qFormat/>
    <w:rsid w:val="00210CEA"/>
    <w:pPr>
      <w:keepNext/>
      <w:keepLines/>
      <w:widowControl/>
      <w:numPr>
        <w:ilvl w:val="1"/>
        <w:numId w:val="1"/>
      </w:numPr>
      <w:spacing w:before="120" w:line="360" w:lineRule="auto"/>
      <w:jc w:val="left"/>
      <w:outlineLvl w:val="1"/>
    </w:pPr>
    <w:rPr>
      <w:rFonts w:asciiTheme="majorHAnsi" w:eastAsiaTheme="majorEastAsia" w:hAnsiTheme="majorHAnsi" w:cstheme="majorBidi"/>
      <w:bCs/>
      <w:sz w:val="30"/>
      <w:szCs w:val="32"/>
    </w:rPr>
  </w:style>
  <w:style w:type="paragraph" w:styleId="3">
    <w:name w:val="heading 3"/>
    <w:basedOn w:val="a2"/>
    <w:next w:val="a3"/>
    <w:link w:val="30"/>
    <w:uiPriority w:val="9"/>
    <w:qFormat/>
    <w:rsid w:val="00210CEA"/>
    <w:pPr>
      <w:keepNext/>
      <w:keepLines/>
      <w:widowControl/>
      <w:numPr>
        <w:ilvl w:val="2"/>
        <w:numId w:val="1"/>
      </w:numPr>
      <w:spacing w:line="360" w:lineRule="auto"/>
      <w:jc w:val="left"/>
      <w:outlineLvl w:val="2"/>
    </w:pPr>
    <w:rPr>
      <w:rFonts w:asciiTheme="majorHAnsi" w:eastAsiaTheme="majorEastAsia" w:hAnsiTheme="majorHAnsi"/>
      <w:bCs/>
      <w:sz w:val="28"/>
      <w:szCs w:val="32"/>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2"/>
    <w:link w:val="a8"/>
    <w:uiPriority w:val="99"/>
    <w:unhideWhenUsed/>
    <w:rsid w:val="00D459EE"/>
    <w:pPr>
      <w:tabs>
        <w:tab w:val="center" w:pos="4153"/>
        <w:tab w:val="right" w:pos="8306"/>
      </w:tabs>
      <w:snapToGrid w:val="0"/>
      <w:jc w:val="center"/>
    </w:pPr>
    <w:rPr>
      <w:sz w:val="18"/>
      <w:szCs w:val="18"/>
    </w:rPr>
  </w:style>
  <w:style w:type="character" w:customStyle="1" w:styleId="a8">
    <w:name w:val="页眉 字符"/>
    <w:basedOn w:val="a4"/>
    <w:link w:val="a7"/>
    <w:uiPriority w:val="99"/>
    <w:rsid w:val="00D459EE"/>
    <w:rPr>
      <w:sz w:val="18"/>
      <w:szCs w:val="18"/>
    </w:rPr>
  </w:style>
  <w:style w:type="paragraph" w:styleId="a9">
    <w:name w:val="footer"/>
    <w:basedOn w:val="a2"/>
    <w:link w:val="aa"/>
    <w:uiPriority w:val="99"/>
    <w:unhideWhenUsed/>
    <w:rsid w:val="00D459EE"/>
    <w:pPr>
      <w:tabs>
        <w:tab w:val="center" w:pos="4153"/>
        <w:tab w:val="right" w:pos="8306"/>
      </w:tabs>
      <w:snapToGrid w:val="0"/>
      <w:jc w:val="left"/>
    </w:pPr>
    <w:rPr>
      <w:sz w:val="18"/>
      <w:szCs w:val="18"/>
    </w:rPr>
  </w:style>
  <w:style w:type="character" w:customStyle="1" w:styleId="aa">
    <w:name w:val="页脚 字符"/>
    <w:basedOn w:val="a4"/>
    <w:link w:val="a9"/>
    <w:uiPriority w:val="99"/>
    <w:rsid w:val="00D459EE"/>
    <w:rPr>
      <w:sz w:val="18"/>
      <w:szCs w:val="18"/>
    </w:rPr>
  </w:style>
  <w:style w:type="paragraph" w:customStyle="1" w:styleId="a3">
    <w:name w:val="论文正文"/>
    <w:basedOn w:val="a2"/>
    <w:link w:val="ab"/>
    <w:qFormat/>
    <w:rsid w:val="00ED0BF0"/>
    <w:pPr>
      <w:spacing w:line="360" w:lineRule="auto"/>
      <w:ind w:firstLineChars="200" w:firstLine="200"/>
    </w:pPr>
  </w:style>
  <w:style w:type="character" w:customStyle="1" w:styleId="10">
    <w:name w:val="标题 1 字符"/>
    <w:basedOn w:val="a4"/>
    <w:link w:val="1"/>
    <w:uiPriority w:val="9"/>
    <w:rsid w:val="004B17E1"/>
    <w:rPr>
      <w:rFonts w:asciiTheme="majorHAnsi" w:eastAsiaTheme="majorEastAsia" w:hAnsiTheme="majorHAnsi"/>
      <w:bCs/>
      <w:kern w:val="44"/>
      <w:sz w:val="36"/>
      <w:szCs w:val="44"/>
    </w:rPr>
  </w:style>
  <w:style w:type="character" w:customStyle="1" w:styleId="20">
    <w:name w:val="标题 2 字符"/>
    <w:basedOn w:val="a4"/>
    <w:link w:val="2"/>
    <w:uiPriority w:val="9"/>
    <w:rsid w:val="001E6312"/>
    <w:rPr>
      <w:rFonts w:asciiTheme="majorHAnsi" w:eastAsiaTheme="majorEastAsia" w:hAnsiTheme="majorHAnsi" w:cstheme="majorBidi"/>
      <w:bCs/>
      <w:sz w:val="30"/>
      <w:szCs w:val="32"/>
    </w:rPr>
  </w:style>
  <w:style w:type="character" w:customStyle="1" w:styleId="30">
    <w:name w:val="标题 3 字符"/>
    <w:basedOn w:val="a4"/>
    <w:link w:val="3"/>
    <w:uiPriority w:val="9"/>
    <w:rsid w:val="002E0A15"/>
    <w:rPr>
      <w:rFonts w:asciiTheme="majorHAnsi" w:eastAsiaTheme="majorEastAsia" w:hAnsiTheme="majorHAnsi"/>
      <w:bCs/>
      <w:sz w:val="28"/>
      <w:szCs w:val="32"/>
    </w:rPr>
  </w:style>
  <w:style w:type="paragraph" w:customStyle="1" w:styleId="a0">
    <w:name w:val="图片标签"/>
    <w:basedOn w:val="a2"/>
    <w:next w:val="a3"/>
    <w:link w:val="ac"/>
    <w:uiPriority w:val="1"/>
    <w:qFormat/>
    <w:rsid w:val="00210CEA"/>
    <w:pPr>
      <w:numPr>
        <w:ilvl w:val="3"/>
        <w:numId w:val="1"/>
      </w:numPr>
      <w:spacing w:afterLines="25" w:after="25"/>
      <w:jc w:val="center"/>
    </w:pPr>
    <w:rPr>
      <w:sz w:val="21"/>
    </w:rPr>
  </w:style>
  <w:style w:type="character" w:customStyle="1" w:styleId="ac">
    <w:name w:val="图片标签 字符"/>
    <w:basedOn w:val="a4"/>
    <w:link w:val="a0"/>
    <w:uiPriority w:val="1"/>
    <w:rsid w:val="00B4249A"/>
  </w:style>
  <w:style w:type="paragraph" w:customStyle="1" w:styleId="ad">
    <w:name w:val="论文图片"/>
    <w:basedOn w:val="a2"/>
    <w:next w:val="a0"/>
    <w:link w:val="ae"/>
    <w:autoRedefine/>
    <w:uiPriority w:val="1"/>
    <w:qFormat/>
    <w:rsid w:val="00B61A55"/>
    <w:pPr>
      <w:keepNext/>
      <w:jc w:val="center"/>
    </w:pPr>
  </w:style>
  <w:style w:type="character" w:customStyle="1" w:styleId="ae">
    <w:name w:val="论文图片 字符"/>
    <w:basedOn w:val="a4"/>
    <w:link w:val="ad"/>
    <w:uiPriority w:val="1"/>
    <w:rsid w:val="00B61A55"/>
    <w:rPr>
      <w:sz w:val="24"/>
    </w:rPr>
  </w:style>
  <w:style w:type="character" w:customStyle="1" w:styleId="ab">
    <w:name w:val="论文正文 字符"/>
    <w:basedOn w:val="a4"/>
    <w:link w:val="a3"/>
    <w:rsid w:val="00A14F16"/>
    <w:rPr>
      <w:sz w:val="24"/>
    </w:rPr>
  </w:style>
  <w:style w:type="paragraph" w:customStyle="1" w:styleId="a1">
    <w:name w:val="表格标签"/>
    <w:basedOn w:val="a2"/>
    <w:next w:val="a2"/>
    <w:link w:val="af"/>
    <w:uiPriority w:val="1"/>
    <w:qFormat/>
    <w:rsid w:val="00210CEA"/>
    <w:pPr>
      <w:keepNext/>
      <w:numPr>
        <w:ilvl w:val="4"/>
        <w:numId w:val="1"/>
      </w:numPr>
      <w:spacing w:beforeLines="25" w:before="25"/>
      <w:jc w:val="center"/>
    </w:pPr>
    <w:rPr>
      <w:sz w:val="21"/>
    </w:rPr>
  </w:style>
  <w:style w:type="character" w:customStyle="1" w:styleId="af">
    <w:name w:val="表格标签 字符"/>
    <w:basedOn w:val="a4"/>
    <w:link w:val="a1"/>
    <w:uiPriority w:val="1"/>
    <w:rsid w:val="00195BD2"/>
  </w:style>
  <w:style w:type="table" w:styleId="af0">
    <w:name w:val="Table Grid"/>
    <w:basedOn w:val="a5"/>
    <w:uiPriority w:val="39"/>
    <w:rsid w:val="00896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列表样式"/>
    <w:basedOn w:val="a6"/>
    <w:uiPriority w:val="99"/>
    <w:rsid w:val="00210CEA"/>
    <w:pPr>
      <w:numPr>
        <w:numId w:val="1"/>
      </w:numPr>
    </w:pPr>
  </w:style>
  <w:style w:type="paragraph" w:styleId="TOC">
    <w:name w:val="TOC Heading"/>
    <w:basedOn w:val="1"/>
    <w:next w:val="a2"/>
    <w:uiPriority w:val="39"/>
    <w:unhideWhenUsed/>
    <w:qFormat/>
    <w:rsid w:val="0089677E"/>
    <w:pPr>
      <w:numPr>
        <w:numId w:val="0"/>
      </w:numPr>
      <w:spacing w:before="240" w:after="0" w:line="259" w:lineRule="auto"/>
      <w:jc w:val="left"/>
      <w:outlineLvl w:val="9"/>
    </w:pPr>
    <w:rPr>
      <w:rFonts w:cstheme="majorBidi"/>
      <w:bCs w:val="0"/>
      <w:color w:val="2F5496" w:themeColor="accent1" w:themeShade="BF"/>
      <w:kern w:val="0"/>
      <w:sz w:val="32"/>
      <w:szCs w:val="32"/>
      <w14:ligatures w14:val="none"/>
    </w:rPr>
  </w:style>
  <w:style w:type="paragraph" w:styleId="TOC2">
    <w:name w:val="toc 2"/>
    <w:basedOn w:val="a2"/>
    <w:next w:val="a2"/>
    <w:autoRedefine/>
    <w:uiPriority w:val="39"/>
    <w:unhideWhenUsed/>
    <w:rsid w:val="0089677E"/>
    <w:pPr>
      <w:widowControl/>
      <w:spacing w:after="100" w:line="259" w:lineRule="auto"/>
      <w:ind w:left="220"/>
      <w:jc w:val="left"/>
    </w:pPr>
    <w:rPr>
      <w:rFonts w:cs="Times New Roman"/>
      <w:kern w:val="0"/>
      <w:sz w:val="22"/>
      <w:szCs w:val="22"/>
      <w14:ligatures w14:val="none"/>
    </w:rPr>
  </w:style>
  <w:style w:type="paragraph" w:styleId="TOC1">
    <w:name w:val="toc 1"/>
    <w:basedOn w:val="a2"/>
    <w:next w:val="a2"/>
    <w:autoRedefine/>
    <w:uiPriority w:val="39"/>
    <w:unhideWhenUsed/>
    <w:rsid w:val="0089677E"/>
    <w:pPr>
      <w:widowControl/>
      <w:spacing w:after="100" w:line="259" w:lineRule="auto"/>
      <w:jc w:val="left"/>
    </w:pPr>
    <w:rPr>
      <w:rFonts w:cs="Times New Roman"/>
      <w:kern w:val="0"/>
      <w:sz w:val="22"/>
      <w:szCs w:val="22"/>
      <w14:ligatures w14:val="none"/>
    </w:rPr>
  </w:style>
  <w:style w:type="table" w:customStyle="1" w:styleId="-">
    <w:name w:val="论文表格-三线表"/>
    <w:basedOn w:val="a5"/>
    <w:uiPriority w:val="99"/>
    <w:rsid w:val="0089677E"/>
    <w:pPr>
      <w:spacing w:before="20" w:after="20"/>
      <w:jc w:val="center"/>
    </w:pPr>
    <w:tblPr>
      <w:jc w:val="center"/>
      <w:tblBorders>
        <w:bottom w:val="single" w:sz="12" w:space="0" w:color="auto"/>
      </w:tblBorders>
      <w:tblCellMar>
        <w:left w:w="0" w:type="dxa"/>
        <w:right w:w="0" w:type="dxa"/>
      </w:tblCellMar>
    </w:tblPr>
    <w:trPr>
      <w:jc w:val="center"/>
    </w:tr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styleId="TOC3">
    <w:name w:val="toc 3"/>
    <w:basedOn w:val="a2"/>
    <w:next w:val="a2"/>
    <w:autoRedefine/>
    <w:uiPriority w:val="39"/>
    <w:unhideWhenUsed/>
    <w:rsid w:val="0089677E"/>
    <w:pPr>
      <w:widowControl/>
      <w:spacing w:after="100" w:line="259" w:lineRule="auto"/>
      <w:ind w:left="440"/>
      <w:jc w:val="left"/>
    </w:pPr>
    <w:rPr>
      <w:rFonts w:cs="Times New Roman"/>
      <w:kern w:val="0"/>
      <w:sz w:val="22"/>
      <w:szCs w:val="22"/>
      <w14:ligatures w14:val="none"/>
    </w:rPr>
  </w:style>
  <w:style w:type="paragraph" w:customStyle="1" w:styleId="af1">
    <w:name w:val="论文公式"/>
    <w:basedOn w:val="a2"/>
    <w:next w:val="a3"/>
    <w:link w:val="af2"/>
    <w:qFormat/>
    <w:rsid w:val="00ED0BF0"/>
    <w:pPr>
      <w:tabs>
        <w:tab w:val="center" w:pos="4200"/>
        <w:tab w:val="right" w:pos="8400"/>
      </w:tabs>
    </w:pPr>
  </w:style>
  <w:style w:type="character" w:customStyle="1" w:styleId="af2">
    <w:name w:val="论文公式 字符"/>
    <w:basedOn w:val="ab"/>
    <w:link w:val="af1"/>
    <w:rsid w:val="00CB77C1"/>
    <w:rPr>
      <w:sz w:val="24"/>
    </w:rPr>
  </w:style>
  <w:style w:type="character" w:styleId="af3">
    <w:name w:val="Placeholder Text"/>
    <w:basedOn w:val="a4"/>
    <w:uiPriority w:val="99"/>
    <w:semiHidden/>
    <w:rsid w:val="00ED0BF0"/>
    <w:rPr>
      <w:color w:val="666666"/>
    </w:rPr>
  </w:style>
  <w:style w:type="paragraph" w:styleId="af4">
    <w:name w:val="caption"/>
    <w:basedOn w:val="a2"/>
    <w:next w:val="a2"/>
    <w:autoRedefine/>
    <w:uiPriority w:val="35"/>
    <w:unhideWhenUsed/>
    <w:qFormat/>
    <w:rsid w:val="001842D6"/>
    <w:rPr>
      <w:rFonts w:asciiTheme="majorHAnsi" w:hAnsiTheme="majorHAnsi" w:cstheme="majorBidi"/>
      <w:sz w:val="21"/>
      <w:szCs w:val="20"/>
    </w:rPr>
  </w:style>
  <w:style w:type="paragraph" w:styleId="af5">
    <w:name w:val="table of figures"/>
    <w:basedOn w:val="a2"/>
    <w:next w:val="a2"/>
    <w:uiPriority w:val="99"/>
    <w:unhideWhenUsed/>
    <w:rsid w:val="007B00AD"/>
    <w:pPr>
      <w:ind w:leftChars="200" w:left="200" w:hangingChars="200" w:hanging="200"/>
    </w:pPr>
  </w:style>
  <w:style w:type="paragraph" w:styleId="af6">
    <w:name w:val="Title"/>
    <w:basedOn w:val="a2"/>
    <w:next w:val="a2"/>
    <w:link w:val="af7"/>
    <w:uiPriority w:val="10"/>
    <w:qFormat/>
    <w:rsid w:val="000F5C52"/>
    <w:pPr>
      <w:spacing w:before="240" w:after="60"/>
      <w:jc w:val="center"/>
      <w:outlineLvl w:val="0"/>
    </w:pPr>
    <w:rPr>
      <w:rFonts w:asciiTheme="majorHAnsi" w:eastAsiaTheme="majorEastAsia" w:hAnsiTheme="majorHAnsi" w:cstheme="majorBidi"/>
      <w:b/>
      <w:bCs/>
      <w:sz w:val="32"/>
      <w:szCs w:val="32"/>
    </w:rPr>
  </w:style>
  <w:style w:type="character" w:customStyle="1" w:styleId="af7">
    <w:name w:val="标题 字符"/>
    <w:basedOn w:val="a4"/>
    <w:link w:val="af6"/>
    <w:uiPriority w:val="10"/>
    <w:rsid w:val="000F5C52"/>
    <w:rPr>
      <w:rFonts w:asciiTheme="majorHAnsi" w:eastAsiaTheme="majorEastAsia" w:hAnsiTheme="majorHAnsi" w:cstheme="majorBidi"/>
      <w:b/>
      <w:bCs/>
      <w:sz w:val="32"/>
      <w:szCs w:val="32"/>
    </w:rPr>
  </w:style>
  <w:style w:type="character" w:styleId="af8">
    <w:name w:val="annotation reference"/>
    <w:basedOn w:val="a4"/>
    <w:uiPriority w:val="99"/>
    <w:semiHidden/>
    <w:unhideWhenUsed/>
    <w:rsid w:val="00D0741C"/>
    <w:rPr>
      <w:sz w:val="21"/>
      <w:szCs w:val="21"/>
    </w:rPr>
  </w:style>
  <w:style w:type="paragraph" w:styleId="af9">
    <w:name w:val="annotation text"/>
    <w:basedOn w:val="a2"/>
    <w:link w:val="afa"/>
    <w:uiPriority w:val="99"/>
    <w:unhideWhenUsed/>
    <w:rsid w:val="00D0741C"/>
    <w:pPr>
      <w:jc w:val="left"/>
    </w:pPr>
    <w:rPr>
      <w:sz w:val="21"/>
      <w:szCs w:val="22"/>
    </w:rPr>
  </w:style>
  <w:style w:type="character" w:customStyle="1" w:styleId="afa">
    <w:name w:val="批注文字 字符"/>
    <w:basedOn w:val="a4"/>
    <w:link w:val="af9"/>
    <w:uiPriority w:val="99"/>
    <w:rsid w:val="00D0741C"/>
    <w:rPr>
      <w:szCs w:val="22"/>
    </w:rPr>
  </w:style>
  <w:style w:type="table" w:customStyle="1" w:styleId="afb">
    <w:name w:val="三线表"/>
    <w:basedOn w:val="a5"/>
    <w:uiPriority w:val="99"/>
    <w:rsid w:val="001C3F6D"/>
    <w:rPr>
      <w:rFonts w:eastAsia="微软雅黑"/>
      <w:szCs w:val="22"/>
    </w:rPr>
    <w:tblPr>
      <w:tblBorders>
        <w:top w:val="single" w:sz="12" w:space="0" w:color="auto"/>
        <w:bottom w:val="single" w:sz="12" w:space="0" w:color="auto"/>
        <w:insideH w:val="single" w:sz="6" w:space="0" w:color="auto"/>
      </w:tblBorders>
    </w:tblPr>
    <w:tblStylePr w:type="firstRow">
      <w:pPr>
        <w:wordWrap/>
        <w:spacing w:line="360" w:lineRule="exact"/>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styleId="afc">
    <w:name w:val="Strong"/>
    <w:basedOn w:val="a4"/>
    <w:uiPriority w:val="22"/>
    <w:qFormat/>
    <w:rsid w:val="00D8718D"/>
    <w:rPr>
      <w:b/>
      <w:bCs/>
    </w:rPr>
  </w:style>
  <w:style w:type="paragraph" w:styleId="afd">
    <w:name w:val="List Paragraph"/>
    <w:basedOn w:val="a2"/>
    <w:uiPriority w:val="34"/>
    <w:qFormat/>
    <w:rsid w:val="000239C7"/>
    <w:pPr>
      <w:ind w:firstLineChars="200" w:firstLine="420"/>
    </w:pPr>
    <w:rPr>
      <w:sz w:val="21"/>
      <w:szCs w:val="22"/>
      <w14:ligatures w14:val="none"/>
    </w:rPr>
  </w:style>
  <w:style w:type="table" w:customStyle="1" w:styleId="11">
    <w:name w:val="三线表1"/>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21">
    <w:name w:val="三线表2"/>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31">
    <w:name w:val="三线表3"/>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4">
    <w:name w:val="三线表4"/>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5">
    <w:name w:val="三线表5"/>
    <w:basedOn w:val="a5"/>
    <w:uiPriority w:val="99"/>
    <w:rsid w:val="0027760F"/>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6">
    <w:name w:val="三线表6"/>
    <w:basedOn w:val="a5"/>
    <w:uiPriority w:val="99"/>
    <w:rsid w:val="0027760F"/>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7">
    <w:name w:val="三线表7"/>
    <w:basedOn w:val="a5"/>
    <w:uiPriority w:val="99"/>
    <w:rsid w:val="008A473B"/>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
    <w:name w:val="网格型1"/>
    <w:basedOn w:val="a5"/>
    <w:next w:val="af0"/>
    <w:uiPriority w:val="39"/>
    <w:rsid w:val="008A473B"/>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Hyperlink"/>
    <w:basedOn w:val="a4"/>
    <w:uiPriority w:val="99"/>
    <w:unhideWhenUsed/>
    <w:rsid w:val="00B469CE"/>
    <w:rPr>
      <w:color w:val="0563C1" w:themeColor="hyperlink"/>
      <w:u w:val="single"/>
    </w:rPr>
  </w:style>
  <w:style w:type="paragraph" w:styleId="aff">
    <w:name w:val="Date"/>
    <w:basedOn w:val="a2"/>
    <w:next w:val="a2"/>
    <w:link w:val="aff0"/>
    <w:uiPriority w:val="99"/>
    <w:semiHidden/>
    <w:unhideWhenUsed/>
    <w:rsid w:val="00B469CE"/>
    <w:pPr>
      <w:ind w:leftChars="2500" w:left="100"/>
    </w:pPr>
  </w:style>
  <w:style w:type="character" w:customStyle="1" w:styleId="aff0">
    <w:name w:val="日期 字符"/>
    <w:basedOn w:val="a4"/>
    <w:link w:val="aff"/>
    <w:uiPriority w:val="99"/>
    <w:semiHidden/>
    <w:rsid w:val="00B469CE"/>
    <w:rPr>
      <w:sz w:val="24"/>
    </w:rPr>
  </w:style>
  <w:style w:type="paragraph" w:styleId="aff1">
    <w:name w:val="annotation subject"/>
    <w:basedOn w:val="af9"/>
    <w:next w:val="af9"/>
    <w:link w:val="aff2"/>
    <w:uiPriority w:val="99"/>
    <w:semiHidden/>
    <w:unhideWhenUsed/>
    <w:rsid w:val="00093729"/>
    <w:rPr>
      <w:b/>
      <w:bCs/>
      <w:sz w:val="24"/>
      <w:szCs w:val="21"/>
    </w:rPr>
  </w:style>
  <w:style w:type="character" w:customStyle="1" w:styleId="aff2">
    <w:name w:val="批注主题 字符"/>
    <w:basedOn w:val="afa"/>
    <w:link w:val="aff1"/>
    <w:uiPriority w:val="99"/>
    <w:semiHidden/>
    <w:rsid w:val="00093729"/>
    <w:rPr>
      <w:b/>
      <w:bCs/>
      <w:sz w:val="24"/>
      <w:szCs w:val="22"/>
    </w:rPr>
  </w:style>
  <w:style w:type="paragraph" w:styleId="aff3">
    <w:name w:val="Revision"/>
    <w:hidden/>
    <w:uiPriority w:val="99"/>
    <w:semiHidden/>
    <w:rsid w:val="0025534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87696">
      <w:bodyDiv w:val="1"/>
      <w:marLeft w:val="0"/>
      <w:marRight w:val="0"/>
      <w:marTop w:val="0"/>
      <w:marBottom w:val="0"/>
      <w:divBdr>
        <w:top w:val="none" w:sz="0" w:space="0" w:color="auto"/>
        <w:left w:val="none" w:sz="0" w:space="0" w:color="auto"/>
        <w:bottom w:val="none" w:sz="0" w:space="0" w:color="auto"/>
        <w:right w:val="none" w:sz="0" w:space="0" w:color="auto"/>
      </w:divBdr>
    </w:div>
    <w:div w:id="326641442">
      <w:bodyDiv w:val="1"/>
      <w:marLeft w:val="0"/>
      <w:marRight w:val="0"/>
      <w:marTop w:val="0"/>
      <w:marBottom w:val="0"/>
      <w:divBdr>
        <w:top w:val="none" w:sz="0" w:space="0" w:color="auto"/>
        <w:left w:val="none" w:sz="0" w:space="0" w:color="auto"/>
        <w:bottom w:val="none" w:sz="0" w:space="0" w:color="auto"/>
        <w:right w:val="none" w:sz="0" w:space="0" w:color="auto"/>
      </w:divBdr>
    </w:div>
    <w:div w:id="707920404">
      <w:bodyDiv w:val="1"/>
      <w:marLeft w:val="0"/>
      <w:marRight w:val="0"/>
      <w:marTop w:val="0"/>
      <w:marBottom w:val="0"/>
      <w:divBdr>
        <w:top w:val="none" w:sz="0" w:space="0" w:color="auto"/>
        <w:left w:val="none" w:sz="0" w:space="0" w:color="auto"/>
        <w:bottom w:val="none" w:sz="0" w:space="0" w:color="auto"/>
        <w:right w:val="none" w:sz="0" w:space="0" w:color="auto"/>
      </w:divBdr>
    </w:div>
    <w:div w:id="838621795">
      <w:bodyDiv w:val="1"/>
      <w:marLeft w:val="0"/>
      <w:marRight w:val="0"/>
      <w:marTop w:val="0"/>
      <w:marBottom w:val="0"/>
      <w:divBdr>
        <w:top w:val="none" w:sz="0" w:space="0" w:color="auto"/>
        <w:left w:val="none" w:sz="0" w:space="0" w:color="auto"/>
        <w:bottom w:val="none" w:sz="0" w:space="0" w:color="auto"/>
        <w:right w:val="none" w:sz="0" w:space="0" w:color="auto"/>
      </w:divBdr>
    </w:div>
    <w:div w:id="861284620">
      <w:bodyDiv w:val="1"/>
      <w:marLeft w:val="0"/>
      <w:marRight w:val="0"/>
      <w:marTop w:val="0"/>
      <w:marBottom w:val="0"/>
      <w:divBdr>
        <w:top w:val="none" w:sz="0" w:space="0" w:color="auto"/>
        <w:left w:val="none" w:sz="0" w:space="0" w:color="auto"/>
        <w:bottom w:val="none" w:sz="0" w:space="0" w:color="auto"/>
        <w:right w:val="none" w:sz="0" w:space="0" w:color="auto"/>
      </w:divBdr>
    </w:div>
    <w:div w:id="1287278053">
      <w:bodyDiv w:val="1"/>
      <w:marLeft w:val="0"/>
      <w:marRight w:val="0"/>
      <w:marTop w:val="0"/>
      <w:marBottom w:val="0"/>
      <w:divBdr>
        <w:top w:val="none" w:sz="0" w:space="0" w:color="auto"/>
        <w:left w:val="none" w:sz="0" w:space="0" w:color="auto"/>
        <w:bottom w:val="none" w:sz="0" w:space="0" w:color="auto"/>
        <w:right w:val="none" w:sz="0" w:space="0" w:color="auto"/>
      </w:divBdr>
    </w:div>
    <w:div w:id="1425107880">
      <w:bodyDiv w:val="1"/>
      <w:marLeft w:val="0"/>
      <w:marRight w:val="0"/>
      <w:marTop w:val="0"/>
      <w:marBottom w:val="0"/>
      <w:divBdr>
        <w:top w:val="none" w:sz="0" w:space="0" w:color="auto"/>
        <w:left w:val="none" w:sz="0" w:space="0" w:color="auto"/>
        <w:bottom w:val="none" w:sz="0" w:space="0" w:color="auto"/>
        <w:right w:val="none" w:sz="0" w:space="0" w:color="auto"/>
      </w:divBdr>
    </w:div>
    <w:div w:id="1611817225">
      <w:bodyDiv w:val="1"/>
      <w:marLeft w:val="0"/>
      <w:marRight w:val="0"/>
      <w:marTop w:val="0"/>
      <w:marBottom w:val="0"/>
      <w:divBdr>
        <w:top w:val="none" w:sz="0" w:space="0" w:color="auto"/>
        <w:left w:val="none" w:sz="0" w:space="0" w:color="auto"/>
        <w:bottom w:val="none" w:sz="0" w:space="0" w:color="auto"/>
        <w:right w:val="none" w:sz="0" w:space="0" w:color="auto"/>
      </w:divBdr>
    </w:div>
    <w:div w:id="1683775457">
      <w:bodyDiv w:val="1"/>
      <w:marLeft w:val="0"/>
      <w:marRight w:val="0"/>
      <w:marTop w:val="0"/>
      <w:marBottom w:val="0"/>
      <w:divBdr>
        <w:top w:val="none" w:sz="0" w:space="0" w:color="auto"/>
        <w:left w:val="none" w:sz="0" w:space="0" w:color="auto"/>
        <w:bottom w:val="none" w:sz="0" w:space="0" w:color="auto"/>
        <w:right w:val="none" w:sz="0" w:space="0" w:color="auto"/>
      </w:divBdr>
    </w:div>
    <w:div w:id="1706058523">
      <w:bodyDiv w:val="1"/>
      <w:marLeft w:val="0"/>
      <w:marRight w:val="0"/>
      <w:marTop w:val="0"/>
      <w:marBottom w:val="0"/>
      <w:divBdr>
        <w:top w:val="none" w:sz="0" w:space="0" w:color="auto"/>
        <w:left w:val="none" w:sz="0" w:space="0" w:color="auto"/>
        <w:bottom w:val="none" w:sz="0" w:space="0" w:color="auto"/>
        <w:right w:val="none" w:sz="0" w:space="0" w:color="auto"/>
      </w:divBdr>
    </w:div>
    <w:div w:id="1987737071">
      <w:bodyDiv w:val="1"/>
      <w:marLeft w:val="0"/>
      <w:marRight w:val="0"/>
      <w:marTop w:val="0"/>
      <w:marBottom w:val="0"/>
      <w:divBdr>
        <w:top w:val="none" w:sz="0" w:space="0" w:color="auto"/>
        <w:left w:val="none" w:sz="0" w:space="0" w:color="auto"/>
        <w:bottom w:val="none" w:sz="0" w:space="0" w:color="auto"/>
        <w:right w:val="none" w:sz="0" w:space="0" w:color="auto"/>
      </w:divBdr>
    </w:div>
    <w:div w:id="20336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ane\Documents\Office_Template\&#31616;&#21333;&#20013;&#25991;&#35770;&#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中文小论文基本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902DACA-BC29-4873-BF09-053A60414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简单中文论文模板.dotx</Template>
  <TotalTime>691</TotalTime>
  <Pages>50</Pages>
  <Words>20112</Words>
  <Characters>24939</Characters>
  <Application>Microsoft Office Word</Application>
  <DocSecurity>0</DocSecurity>
  <Lines>2771</Lines>
  <Paragraphs>3003</Paragraphs>
  <ScaleCrop>false</ScaleCrop>
  <Company/>
  <LinksUpToDate>false</LinksUpToDate>
  <CharactersWithSpaces>42048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HeQiu Lu</dc:creator>
  <cp:keywords/>
  <dc:description/>
  <cp:lastModifiedBy>hi dollar</cp:lastModifiedBy>
  <cp:revision>4</cp:revision>
  <dcterms:created xsi:type="dcterms:W3CDTF">2025-09-23T15:30:00Z</dcterms:created>
  <dcterms:modified xsi:type="dcterms:W3CDTF">2025-09-24T02:49:00Z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