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sz w:val="32"/>
        </w:rPr>
        <w:t>面向“十五五”的设计专业研究生教育需求缺口研究</w:t>
      </w:r>
    </w:p>
    <w:p>
      <w:pPr>
        <w:spacing w:after="360"/>
        <w:jc w:val="center"/>
      </w:pPr>
      <w:r>
        <w:rPr>
          <w:rFonts w:ascii="Times New Roman" w:hAnsi="Times New Roman" w:eastAsia="楷体"/>
          <w:b w:val="0"/>
          <w:sz w:val="24"/>
        </w:rPr>
        <w:t>——基于需求侧证据与培养方案课名层的跨源分析</w:t>
      </w:r>
    </w:p>
    <w:p>
      <w:pPr>
        <w:spacing w:before="200" w:after="80"/>
        <w:jc w:val="left"/>
      </w:pPr>
      <w:r>
        <w:rPr>
          <w:rFonts w:ascii="Times New Roman" w:hAnsi="Times New Roman" w:eastAsia="黑体"/>
          <w:b/>
          <w:sz w:val="24"/>
        </w:rPr>
        <w:t>摘要</w:t>
      </w:r>
    </w:p>
    <w:p>
      <w:pPr>
        <w:spacing w:after="0"/>
        <w:ind w:firstLine="480"/>
      </w:pPr>
      <w:r>
        <w:rPr>
          <w:rFonts w:ascii="Times New Roman" w:hAnsi="Times New Roman" w:eastAsia="宋体"/>
          <w:b w:val="0"/>
          <w:sz w:val="24"/>
        </w:rPr>
        <w:t>本研究以国家“十五五”时期（2026—2030）为时间锚点，回答设计专业研究生教育应当为学生补充何种教育支持。研究将需求侧区分为两条彼此独立的证据线：一为学生自述，由三次问卷（有效样本分别为 72 份、55 份与 21 份）、两次半结构访谈以及桌面研究构成；二为世界要求，由设计类岗位说明书 103 条、2026 年国家公务员考试职位表、国家与制度文本 9 件以及世界经济论坛《未来的工作》三期报告构成。供给侧则以国内外 16 所院校的设计类研究生培养方案为观测对象，其中 14 所取得课程名称一级的数据。研究以多来源需求评估（Witkin &amp; Altschuld, 1995）为总框架，以收敛式混合方法（Creswell &amp; Plano Clark, 2018）为设计类型，并按照开放式编码、主轴编码与选择编码三级程序处理各类性质不同的语料，最后以缺口方程将两侧并集与学校已教相减，据以判定缺口。研究发现，学生一侧在方向上已形成共识而在专业方向上呈现分化，并把生成式人工智能定位为辅助性手段；世界一侧所要求的并非“设计岗”这一身份标签，而是一组跨岗位的动作能力，其中系统化设计意识与市场研究两项在课程名义层面缺乏对应；供给侧的响应集中于实践与项目类、技法与媒介类课程，对工作方式类能力与判断类能力的回应相对薄弱。据此，本研究提出三处教育支持方向，即把系统化设计与市场研究由隐含要求转为正式课程、开设以判断为目标的人工智能课程、把项目制环节制度化。结论部分按小组承担的五个研究问题逐条作答，涉及学习与发展规划中的痛点、面向未来最需要的教育支持、人工智能的角色与决定权归属、不同学科背景学生的学习需求差异，以及应优先进入学生教育系统的内容。本研究的理论意图在于，将培养方案的课程设置理解为一套文化资本分配与专业惯习塑造的机制，将招聘文本、政策文本与趋势报告理解为不同场域中行动者的话语实践，从而在经验层面呈现设计实践与社会结构之间的中介环节，避免使社会理论停留于装饰性引用。</w:t>
      </w:r>
    </w:p>
    <w:p>
      <w:pPr>
        <w:spacing w:before="200" w:after="80"/>
        <w:jc w:val="left"/>
      </w:pPr>
      <w:r>
        <w:rPr>
          <w:rFonts w:ascii="Times New Roman" w:hAnsi="Times New Roman" w:eastAsia="黑体"/>
          <w:b/>
          <w:sz w:val="24"/>
        </w:rPr>
        <w:t>关键词</w:t>
      </w:r>
    </w:p>
    <w:p>
      <w:pPr>
        <w:spacing w:after="0"/>
        <w:ind w:firstLine="480"/>
      </w:pPr>
      <w:r>
        <w:rPr>
          <w:rFonts w:ascii="Times New Roman" w:hAnsi="Times New Roman" w:eastAsia="宋体"/>
          <w:b w:val="0"/>
          <w:sz w:val="24"/>
        </w:rPr>
        <w:t>设计教育；需求评估；技能错配；场域；行动者网络；跨源对照</w:t>
      </w:r>
    </w:p>
    <w:p>
      <w:pPr>
        <w:spacing w:before="240" w:after="120"/>
      </w:pPr>
      <w:r>
        <w:rPr>
          <w:rFonts w:ascii="Times New Roman" w:hAnsi="Times New Roman" w:eastAsia="黑体"/>
          <w:b/>
          <w:sz w:val="28"/>
        </w:rPr>
        <w:t>一、问题的提出</w:t>
      </w:r>
    </w:p>
    <w:p>
      <w:pPr>
        <w:spacing w:after="0"/>
        <w:ind w:firstLine="480"/>
      </w:pPr>
      <w:r>
        <w:rPr>
          <w:rFonts w:ascii="Times New Roman" w:hAnsi="Times New Roman" w:eastAsia="宋体"/>
          <w:b w:val="0"/>
          <w:sz w:val="24"/>
        </w:rPr>
        <w:t>回答“设计专业学生面向未来最需要哪些新的教育支持”，首先需要限定提问中的四个要素，否则问题本身难以被经验研究承接。就研究对象而言，本研究聚焦设计专业的研究生，而不将其泛化为全部设计从业者。本科阶段的培养目标与出口结构同研究生阶段存在制度性差异，非学历设计从业者亦不经过“培养方案”这一制度通道；若将二者纳入同一分析框架，所谓“教育支持”便失去了明确的落点。就时间而言，“未来”需要可核验的锚点，本研究取国家“十五五”时期（2026—2030）：研究者本人于 2026 年入学、预计 2029 年毕业，其职业生涯的第一站正落在该时期及其后。设计工具与工作方式的变化以月为单位，而培养方案的修订以年为单位，两种节奏之间的错位，使“面向未来”这一表述获得了现实的紧迫性。</w:t>
      </w:r>
    </w:p>
    <w:p>
      <w:pPr>
        <w:spacing w:after="0"/>
        <w:ind w:firstLine="480"/>
      </w:pPr>
      <w:r>
        <w:rPr>
          <w:rFonts w:ascii="Times New Roman" w:hAnsi="Times New Roman" w:eastAsia="宋体"/>
          <w:b w:val="0"/>
          <w:sz w:val="24"/>
        </w:rPr>
        <w:t>就议题而言，生成式人工智能进入设计领域之后，设计教育应当教授何种知识重新成为具有争议的公共问题。一种声音出于技术替代的忧虑，认为造型与执行类技能面临价值重估；另一种声音则强调教育系统的惯性，认为课程体系的调整周期远长于技术迭代周期。两种声音的分歧并不单纯是技术判断的分歧，其背后涉及设计劳动的社会分工、专业身份的边界以及教育资格的价值兑现方式。就需求本身而言，本研究追问的是教育意义上的支持，而非学生的偏好清单。常见的做法是通过访谈与问卷收集学生“想要什么”，本研究则反向追问“世界在要什么”，并要求这一追问经过“教育系统当下能够承接什么”的过滤。这一取向并不意味着学生的需要无须考察，也不意味着将雇主话语直接等同于教育目的；它只是主张，对“需要什么”的回答不应停留在自我陈述的层面，而应先厘清外部世界对设计能力的要求结构与教育系统的实际供给状态，再讨论某项支持是否成立。</w:t>
      </w:r>
    </w:p>
    <w:p>
      <w:pPr>
        <w:spacing w:after="0"/>
        <w:ind w:firstLine="480"/>
      </w:pPr>
      <w:r>
        <w:rPr>
          <w:rFonts w:ascii="Times New Roman" w:hAnsi="Times New Roman" w:eastAsia="宋体"/>
          <w:b w:val="0"/>
          <w:sz w:val="24"/>
        </w:rPr>
        <w:t>据此，本研究以缺口方程组织全部分析：学生需要并世界需要，减去学校已教，余数即为缺口。之所以取并集而非交集，是因为只承认两侧的共识会系统性地遗漏两类关键需求：一类是制度与趋势已经提出而市场尚未反映的能力，例如绿色设计；另一类是市场已经要求而学生尚未意识到的能力，例如系统化设计意识与市场研究。与此同时，本研究为论断设定三条边界。其一，学生的自述属于“需要的表达”，可作为理解其处境与期待的入口，但不能充当判据。其二，雇主话语不等于教育目的，只能由工作年限自然积累的要求不计入课程缺口。其三，学校已教的观测止于课程名称层面，“课名没有”与“没有教”并非同一命题，凡涉及供给的判断均须以此为限。</w:t>
      </w:r>
    </w:p>
    <w:p>
      <w:pPr>
        <w:spacing w:after="0"/>
        <w:ind w:firstLine="480"/>
      </w:pPr>
      <w:r>
        <w:rPr>
          <w:rFonts w:ascii="Times New Roman" w:hAnsi="Times New Roman" w:eastAsia="宋体"/>
          <w:b w:val="0"/>
          <w:sz w:val="24"/>
        </w:rPr>
        <w:t>将上述问题置于设计学与社会学的交叉视野中，可以看到三重关联。其一，培养方案中的课程设置并不只是知识清单，它同时是一套分类与筛选装置：何种能力被承认为“专业”、何种能力被归入“经验”、何种能力被推给市场，实际上决定了学生在专业场域中所能积累的文化资本结构。其二，招聘文本中的能力要求并不只是技能清单，它是雇主在劳动力市场中进行筛选的话语形式，其措辞与门槛设置反映了特定位置对候选人资格的界定方式。其三，政策文本与趋势报告中的议程设置并不只是背景信息，它们通过话语生产未来想象，并经由学科目录、学分规定与评价指标等中介环节，间接塑造院校的课程决策。由此，本研究不把设计教育视为技术与审美的内部问题，而将其视为社会关系与文化意义被物质化、制度化的一个具体环节；相应的经验任务，则是辨认这一环节中的要求结构、供给结构与二者之间的落差。</w:t>
      </w:r>
    </w:p>
    <w:p>
      <w:pPr>
        <w:spacing w:before="240" w:after="120"/>
      </w:pPr>
      <w:r>
        <w:rPr>
          <w:rFonts w:ascii="Times New Roman" w:hAnsi="Times New Roman" w:eastAsia="黑体"/>
          <w:b/>
          <w:sz w:val="28"/>
        </w:rPr>
        <w:t>二、研究对象与方法</w:t>
      </w:r>
    </w:p>
    <w:p>
      <w:pPr>
        <w:spacing w:after="0"/>
        <w:ind w:firstLine="480"/>
      </w:pPr>
      <w:r>
        <w:rPr>
          <w:rFonts w:ascii="Times New Roman" w:hAnsi="Times New Roman" w:eastAsia="宋体"/>
          <w:b w:val="0"/>
          <w:sz w:val="24"/>
        </w:rPr>
        <w:t>本研究的对象是设计专业研究生教育中的需求与供给关系，具体包含三类对象。其一是需求主体，即设计专业的研究生，其需求表达通过问卷与访谈获得。其二是需求信号来源，即雇主与制度环境的公开文本，包括招聘信息、国家政策文件与国际组织的趋势报告，它们并不直接言说学生的需要，却构成了专业能力要求的现实语境。其三是供给主体，即国内外院校的培养方案，其可观测部分为课程名称。时间范围锚定于 2026 年至 2030 年。</w:t>
      </w:r>
    </w:p>
    <w:p>
      <w:pPr>
        <w:spacing w:after="0"/>
        <w:ind w:firstLine="480"/>
      </w:pPr>
      <w:r>
        <w:rPr>
          <w:rFonts w:ascii="Times New Roman" w:hAnsi="Times New Roman" w:eastAsia="宋体"/>
          <w:b w:val="0"/>
          <w:sz w:val="24"/>
        </w:rPr>
        <w:t>与此相应，研究问题被拆解为四问。第一问指向需求侧，分别刻画学生一侧与世界一侧所要求的内容及其一致与分化之处。第二问指向供给侧，以培养方案的课程名义层为观测点，并引入年份之间的纵向对照。第三问处理两侧相减之后所剩余的缺口，要求每一处缺口均落到可指认的条目。第四问涉及这些缺口的优先次序以及进入培养体系的形态与顺序，此问属教育专业判断，本研究仅提出依据与候选方案，具体判断由研究者以教师视角另行补写。</w:t>
      </w:r>
    </w:p>
    <w:p>
      <w:pPr>
        <w:spacing w:after="0"/>
        <w:ind w:firstLine="480"/>
      </w:pPr>
      <w:r>
        <w:rPr>
          <w:rFonts w:ascii="Times New Roman" w:hAnsi="Times New Roman" w:eastAsia="宋体"/>
          <w:b w:val="0"/>
          <w:sz w:val="24"/>
        </w:rPr>
        <w:t>在方法上，本研究以多来源需求评估的三阶段框架为总体安排，以收敛式混合方法为设计类型。由于小组五人分头就五个问题同时开始调研，学生自述、市场与制度文本以及培养方案三者在材料性质与测量尺度上并不相同，前者是主观表达，中者是行动者话语，后者是机构行为痕迹，其尺度分别涉及选择比例、量表均值、频次与文本表述，任何单一方法均无法同时承接。为避免把不同尺度的证据强行通约，本研究将所有来源的发现翻译到同一份需求项清单之上，逐项标注每份材料对该项究竟构成支持、矛盾还是没有涉及，再依三档处理：多源收敛者进入结论，单源独有者进入讨论，相互矛盾者单独报告而不强行调和。具体方法包括文献研究法、问卷调查法、半结构访谈法、桌面研究法、定向内容分析法与跨源对照法。其中，前四种方法用于采集与初步整理，定向内容分析用于处理招聘文本并生成能力框架，跨源对照用于把能力项与政策、趋势、课程三类文本逐格对映。</w:t>
      </w:r>
    </w:p>
    <w:p>
      <w:pPr>
        <w:spacing w:after="0"/>
        <w:ind w:firstLine="480"/>
      </w:pPr>
      <w:r>
        <w:rPr>
          <w:rFonts w:ascii="Times New Roman" w:hAnsi="Times New Roman" w:eastAsia="宋体"/>
          <w:b w:val="0"/>
          <w:sz w:val="24"/>
        </w:rPr>
        <w:t>针对性质不同的语料，编码程序分别设计。招聘文本属于句子级的能力要求，天然适合语义编码，其程序为双模型独立编码、约两成样本的人工复核与人工盲编，编码时须逐字标出支撑判断的证据句；先在 16 条跨行业文本上试编，比对之后找出原有框架覆盖不到之处，逐条审定并编号，据此确定编码手册首版，随后完成全量主编码并作两轮修订，最终形成 28 项能力与一个不属于能力框架的岗位经验小节。政策文本的主语是国家与产业而非个人，直接套用个人能力框架会产生伪缺失，故采用主题归纳并保持主语警觉，不把政策任务转写为“学生应具备”的表述。趋势报告属于预测性叙述，其证据单位是主题、位次与词频，故采用词边界扫描并逐项核对图表数值。课程名称是高度压缩的机构行为痕迹，故采用规则先行的机械归类并披露误分项。国考职位表则是结构化的门槛数据，其编码实质是分类计数。</w:t>
      </w:r>
    </w:p>
    <w:p>
      <w:pPr>
        <w:spacing w:after="0"/>
        <w:ind w:firstLine="480"/>
      </w:pPr>
      <w:r>
        <w:rPr>
          <w:rFonts w:ascii="Times New Roman" w:hAnsi="Times New Roman" w:eastAsia="宋体"/>
          <w:b w:val="0"/>
          <w:sz w:val="24"/>
        </w:rPr>
        <w:t>在质量控制方面，本研究记录了三项信度证据。其一，在 21 条复核样本中，两位编码者在能力层级上一致的有 57 处，在能力族上一致的有 20 处，而在“某条文本是否命中某项能力”这一判断上一致的仅 5 处，说明层级与族类的归类稳定性明显高于逐项命中判断。其二，争议最大的能力项在边界收紧之后，其 Krippendorff 的 κ 值由 0.34 升至 0.88，表明编码规则的细化对信度具有实质作用。其三，研究者本人对 3 条文本所作独立盲编与主编码的 Jaccard 相似度均值为 0.32，样本量过小，不足以支撑稳定的信度系数，此项仅作参考。此外，词频统计以文本全文为分母，政策纲要去除空白后共计 76,841 个字符。</w:t>
      </w:r>
    </w:p>
    <w:p>
      <w:pPr>
        <w:spacing w:after="0"/>
        <w:ind w:firstLine="480"/>
      </w:pPr>
      <w:r>
        <w:rPr>
          <w:rFonts w:ascii="Times New Roman" w:hAnsi="Times New Roman" w:eastAsia="宋体"/>
          <w:b w:val="0"/>
          <w:sz w:val="24"/>
        </w:rPr>
        <w:t>缺口的判定规则与优先次序的筛选规则构成研究的推断装置。缺口判定的条件是：需求侧有证据表明该项被要求，且供给侧在公开的课程名义层查无对应，两端均须落到可指认的条目；同时显式排除只能由工作年限自然积累的要求。优先次序由三道筛选确定，依次考察证据强度、教育可及性与不可替代性。证据强度考察该项是否获得多源收敛的证据，以及一手材料是否优先于二手转述；教育可及性考察学校能否在课程或项目环节提供相应支持；不可替代性考察该项能否在工作年限中自然积累，若能，则课程化的必要性相应下降。三道均通过者进入结论建议，通过两道者进入讨论，仅通过一道者列为观察项。</w:t>
      </w:r>
    </w:p>
    <w:p>
      <w:pPr>
        <w:spacing w:before="240" w:after="120"/>
      </w:pPr>
      <w:r>
        <w:rPr>
          <w:rFonts w:ascii="Times New Roman" w:hAnsi="Times New Roman" w:eastAsia="黑体"/>
          <w:b/>
          <w:sz w:val="28"/>
        </w:rPr>
        <w:t>三、需求侧：学生在要什么</w:t>
      </w:r>
    </w:p>
    <w:p>
      <w:pPr>
        <w:spacing w:after="0"/>
        <w:ind w:firstLine="480"/>
      </w:pPr>
      <w:r>
        <w:rPr>
          <w:rFonts w:ascii="Times New Roman" w:hAnsi="Times New Roman" w:eastAsia="宋体"/>
          <w:b w:val="0"/>
          <w:sz w:val="24"/>
        </w:rPr>
        <w:t>需求侧的证据由组员承担的四条采集线构成。问卷 A 共 17 题，有效样本 72 份，其中研究生 52 人、本科生 20 人，经微信、链接与手机提交三种渠道于 2026 年 10 月 2 日至 5 日回收。问卷 B 共 10 题，有效样本 55 份，其中研究生 39 人、本科生 16 人，经微信渠道于 10 月 1 日至 2 日回收，另附 4 人访谈。问卷 C 发放 30 份、回收 21 份，多数题目的有效人次为 20，同为微信渠道，于 10 月 3 日至 5 日回收，另附研二学生访谈。桌面研究的材料取自知网与小红书、抖音、微博三个平台，属二手材料。三份问卷的题目与选项并不一致，分母亦不相同，故不作合并统计，只作同向或反向的定性收敛。三次问卷的样本构成与回收情况如表 1 所示。</w:t>
      </w:r>
    </w:p>
    <w:p>
      <w:pPr>
        <w:spacing w:before="120" w:after="40"/>
        <w:jc w:val="center"/>
      </w:pPr>
      <w:r>
        <w:rPr>
          <w:rFonts w:ascii="Times New Roman" w:hAnsi="Times New Roman" w:eastAsia="黑体"/>
          <w:b w:val="0"/>
          <w:sz w:val="21"/>
        </w:rPr>
        <w:t>表 1　三次问卷的样本构成与回收情况</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209"/>
        <w:gridCol w:w="2209"/>
        <w:gridCol w:w="2209"/>
        <w:gridCol w:w="2209"/>
      </w:tblGrid>
      <w:tr>
        <w:tc>
          <w:tcPr>
            <w:tcW w:type="dxa" w:w="2209"/>
            <w:tcBorders>
              <w:bottom w:val="single" w:sz="6" w:color="000000"/>
            </w:tcBorders>
          </w:tcPr>
          <w:p>
            <w:pPr>
              <w:spacing w:line="240" w:lineRule="auto"/>
              <w:jc w:val="center"/>
            </w:pPr>
            <w:r/>
            <w:r>
              <w:rPr>
                <w:rFonts w:ascii="Times New Roman" w:hAnsi="Times New Roman" w:eastAsia="黑体"/>
                <w:b w:val="0"/>
                <w:sz w:val="21"/>
              </w:rPr>
              <w:t>项目</w:t>
            </w:r>
          </w:p>
        </w:tc>
        <w:tc>
          <w:tcPr>
            <w:tcW w:type="dxa" w:w="2209"/>
            <w:tcBorders>
              <w:bottom w:val="single" w:sz="6" w:color="000000"/>
            </w:tcBorders>
          </w:tcPr>
          <w:p>
            <w:pPr>
              <w:spacing w:line="240" w:lineRule="auto"/>
              <w:jc w:val="center"/>
            </w:pPr>
            <w:r/>
            <w:r>
              <w:rPr>
                <w:rFonts w:ascii="Times New Roman" w:hAnsi="Times New Roman" w:eastAsia="黑体"/>
                <w:b w:val="0"/>
                <w:sz w:val="21"/>
              </w:rPr>
              <w:t>问卷 A（题 5）</w:t>
            </w:r>
          </w:p>
        </w:tc>
        <w:tc>
          <w:tcPr>
            <w:tcW w:type="dxa" w:w="2209"/>
            <w:tcBorders>
              <w:bottom w:val="single" w:sz="6" w:color="000000"/>
            </w:tcBorders>
          </w:tcPr>
          <w:p>
            <w:pPr>
              <w:spacing w:line="240" w:lineRule="auto"/>
              <w:jc w:val="center"/>
            </w:pPr>
            <w:r/>
            <w:r>
              <w:rPr>
                <w:rFonts w:ascii="Times New Roman" w:hAnsi="Times New Roman" w:eastAsia="黑体"/>
                <w:b w:val="0"/>
                <w:sz w:val="21"/>
              </w:rPr>
              <w:t>问卷 B（题 4）</w:t>
            </w:r>
          </w:p>
        </w:tc>
        <w:tc>
          <w:tcPr>
            <w:tcW w:type="dxa" w:w="2209"/>
            <w:tcBorders>
              <w:bottom w:val="single" w:sz="6" w:color="000000"/>
            </w:tcBorders>
          </w:tcPr>
          <w:p>
            <w:pPr>
              <w:spacing w:line="240" w:lineRule="auto"/>
              <w:jc w:val="center"/>
            </w:pPr>
            <w:r/>
            <w:r>
              <w:rPr>
                <w:rFonts w:ascii="Times New Roman" w:hAnsi="Times New Roman" w:eastAsia="黑体"/>
                <w:b w:val="0"/>
                <w:sz w:val="21"/>
              </w:rPr>
              <w:t>问卷 C（题 1）</w:t>
            </w:r>
          </w:p>
        </w:tc>
      </w:tr>
      <w:tr>
        <w:tc>
          <w:tcPr>
            <w:tcW w:type="dxa" w:w="2209"/>
          </w:tcPr>
          <w:p>
            <w:pPr>
              <w:spacing w:line="240" w:lineRule="auto"/>
              <w:jc w:val="left"/>
            </w:pPr>
            <w:r>
              <w:rPr>
                <w:rFonts w:ascii="Times New Roman" w:hAnsi="Times New Roman" w:eastAsia="宋体"/>
                <w:b w:val="0"/>
                <w:sz w:val="21"/>
              </w:rPr>
              <w:t>有效样本</w:t>
            </w:r>
          </w:p>
        </w:tc>
        <w:tc>
          <w:tcPr>
            <w:tcW w:type="dxa" w:w="2209"/>
          </w:tcPr>
          <w:p>
            <w:pPr>
              <w:spacing w:line="240" w:lineRule="auto"/>
              <w:jc w:val="left"/>
            </w:pPr>
            <w:r>
              <w:rPr>
                <w:rFonts w:ascii="Times New Roman" w:hAnsi="Times New Roman" w:eastAsia="宋体"/>
                <w:b w:val="0"/>
                <w:sz w:val="21"/>
              </w:rPr>
              <w:t>72（研究生 52、本科生 20）</w:t>
            </w:r>
          </w:p>
        </w:tc>
        <w:tc>
          <w:tcPr>
            <w:tcW w:type="dxa" w:w="2209"/>
          </w:tcPr>
          <w:p>
            <w:pPr>
              <w:spacing w:line="240" w:lineRule="auto"/>
              <w:jc w:val="left"/>
            </w:pPr>
            <w:r>
              <w:rPr>
                <w:rFonts w:ascii="Times New Roman" w:hAnsi="Times New Roman" w:eastAsia="宋体"/>
                <w:b w:val="0"/>
                <w:sz w:val="21"/>
              </w:rPr>
              <w:t>55（研究生 39、本科生 16）</w:t>
            </w:r>
          </w:p>
        </w:tc>
        <w:tc>
          <w:tcPr>
            <w:tcW w:type="dxa" w:w="2209"/>
          </w:tcPr>
          <w:p>
            <w:pPr>
              <w:spacing w:line="240" w:lineRule="auto"/>
              <w:jc w:val="left"/>
            </w:pPr>
            <w:r>
              <w:rPr>
                <w:rFonts w:ascii="Times New Roman" w:hAnsi="Times New Roman" w:eastAsia="宋体"/>
                <w:b w:val="0"/>
                <w:sz w:val="21"/>
              </w:rPr>
              <w:t>回收 21，多数题有效 20</w:t>
            </w:r>
          </w:p>
        </w:tc>
      </w:tr>
      <w:tr>
        <w:tc>
          <w:tcPr>
            <w:tcW w:type="dxa" w:w="2209"/>
          </w:tcPr>
          <w:p>
            <w:pPr>
              <w:spacing w:line="240" w:lineRule="auto"/>
              <w:jc w:val="left"/>
            </w:pPr>
            <w:r>
              <w:rPr>
                <w:rFonts w:ascii="Times New Roman" w:hAnsi="Times New Roman" w:eastAsia="宋体"/>
                <w:b w:val="0"/>
                <w:sz w:val="21"/>
              </w:rPr>
              <w:t>题目数</w:t>
            </w:r>
          </w:p>
        </w:tc>
        <w:tc>
          <w:tcPr>
            <w:tcW w:type="dxa" w:w="2209"/>
          </w:tcPr>
          <w:p>
            <w:pPr>
              <w:spacing w:line="240" w:lineRule="auto"/>
              <w:jc w:val="left"/>
            </w:pPr>
            <w:r>
              <w:rPr>
                <w:rFonts w:ascii="Times New Roman" w:hAnsi="Times New Roman" w:eastAsia="宋体"/>
                <w:b w:val="0"/>
                <w:sz w:val="21"/>
              </w:rPr>
              <w:t>17 题</w:t>
            </w:r>
          </w:p>
        </w:tc>
        <w:tc>
          <w:tcPr>
            <w:tcW w:type="dxa" w:w="2209"/>
          </w:tcPr>
          <w:p>
            <w:pPr>
              <w:spacing w:line="240" w:lineRule="auto"/>
              <w:jc w:val="left"/>
            </w:pPr>
            <w:r>
              <w:rPr>
                <w:rFonts w:ascii="Times New Roman" w:hAnsi="Times New Roman" w:eastAsia="宋体"/>
                <w:b w:val="0"/>
                <w:sz w:val="21"/>
              </w:rPr>
              <w:t>10 题</w:t>
            </w:r>
          </w:p>
        </w:tc>
        <w:tc>
          <w:tcPr>
            <w:tcW w:type="dxa" w:w="2209"/>
          </w:tcPr>
          <w:p>
            <w:pPr>
              <w:spacing w:line="240" w:lineRule="auto"/>
              <w:jc w:val="left"/>
            </w:pPr>
            <w:r>
              <w:rPr>
                <w:rFonts w:ascii="Times New Roman" w:hAnsi="Times New Roman" w:eastAsia="宋体"/>
                <w:b w:val="0"/>
                <w:sz w:val="21"/>
              </w:rPr>
              <w:t>16 题（含研三及毕业生分支）</w:t>
            </w:r>
          </w:p>
        </w:tc>
      </w:tr>
      <w:tr>
        <w:tc>
          <w:tcPr>
            <w:tcW w:type="dxa" w:w="2209"/>
          </w:tcPr>
          <w:p>
            <w:pPr>
              <w:spacing w:line="240" w:lineRule="auto"/>
              <w:jc w:val="left"/>
            </w:pPr>
            <w:r>
              <w:rPr>
                <w:rFonts w:ascii="Times New Roman" w:hAnsi="Times New Roman" w:eastAsia="宋体"/>
                <w:b w:val="0"/>
                <w:sz w:val="21"/>
              </w:rPr>
              <w:t>回收渠道</w:t>
            </w:r>
          </w:p>
        </w:tc>
        <w:tc>
          <w:tcPr>
            <w:tcW w:type="dxa" w:w="2209"/>
          </w:tcPr>
          <w:p>
            <w:pPr>
              <w:spacing w:line="240" w:lineRule="auto"/>
              <w:jc w:val="left"/>
            </w:pPr>
            <w:r>
              <w:rPr>
                <w:rFonts w:ascii="Times New Roman" w:hAnsi="Times New Roman" w:eastAsia="宋体"/>
                <w:b w:val="0"/>
                <w:sz w:val="21"/>
              </w:rPr>
              <w:t>微信 57、链接 9、手机提交 6</w:t>
            </w:r>
          </w:p>
        </w:tc>
        <w:tc>
          <w:tcPr>
            <w:tcW w:type="dxa" w:w="2209"/>
          </w:tcPr>
          <w:p>
            <w:pPr>
              <w:spacing w:line="240" w:lineRule="auto"/>
              <w:jc w:val="left"/>
            </w:pPr>
            <w:r>
              <w:rPr>
                <w:rFonts w:ascii="Times New Roman" w:hAnsi="Times New Roman" w:eastAsia="宋体"/>
                <w:b w:val="0"/>
                <w:sz w:val="21"/>
              </w:rPr>
              <w:t>微信 55</w:t>
            </w:r>
          </w:p>
        </w:tc>
        <w:tc>
          <w:tcPr>
            <w:tcW w:type="dxa" w:w="2209"/>
          </w:tcPr>
          <w:p>
            <w:pPr>
              <w:spacing w:line="240" w:lineRule="auto"/>
              <w:jc w:val="left"/>
            </w:pPr>
            <w:r>
              <w:rPr>
                <w:rFonts w:ascii="Times New Roman" w:hAnsi="Times New Roman" w:eastAsia="宋体"/>
                <w:b w:val="0"/>
                <w:sz w:val="21"/>
              </w:rPr>
              <w:t>微信 21</w:t>
            </w:r>
          </w:p>
        </w:tc>
      </w:tr>
      <w:tr>
        <w:tc>
          <w:tcPr>
            <w:tcW w:type="dxa" w:w="2209"/>
          </w:tcPr>
          <w:p>
            <w:pPr>
              <w:spacing w:line="240" w:lineRule="auto"/>
              <w:jc w:val="left"/>
            </w:pPr>
            <w:r>
              <w:rPr>
                <w:rFonts w:ascii="Times New Roman" w:hAnsi="Times New Roman" w:eastAsia="宋体"/>
                <w:b w:val="0"/>
                <w:sz w:val="21"/>
              </w:rPr>
              <w:t>回收时间</w:t>
            </w:r>
          </w:p>
        </w:tc>
        <w:tc>
          <w:tcPr>
            <w:tcW w:type="dxa" w:w="2209"/>
          </w:tcPr>
          <w:p>
            <w:pPr>
              <w:spacing w:line="240" w:lineRule="auto"/>
              <w:jc w:val="left"/>
            </w:pPr>
            <w:r>
              <w:rPr>
                <w:rFonts w:ascii="Times New Roman" w:hAnsi="Times New Roman" w:eastAsia="宋体"/>
                <w:b w:val="0"/>
                <w:sz w:val="21"/>
              </w:rPr>
              <w:t>2026-10-02 至 10-05</w:t>
            </w:r>
          </w:p>
        </w:tc>
        <w:tc>
          <w:tcPr>
            <w:tcW w:type="dxa" w:w="2209"/>
          </w:tcPr>
          <w:p>
            <w:pPr>
              <w:spacing w:line="240" w:lineRule="auto"/>
              <w:jc w:val="left"/>
            </w:pPr>
            <w:r>
              <w:rPr>
                <w:rFonts w:ascii="Times New Roman" w:hAnsi="Times New Roman" w:eastAsia="宋体"/>
                <w:b w:val="0"/>
                <w:sz w:val="21"/>
              </w:rPr>
              <w:t>2026-10-01 至 10-02</w:t>
            </w:r>
          </w:p>
        </w:tc>
        <w:tc>
          <w:tcPr>
            <w:tcW w:type="dxa" w:w="2209"/>
          </w:tcPr>
          <w:p>
            <w:pPr>
              <w:spacing w:line="240" w:lineRule="auto"/>
              <w:jc w:val="left"/>
            </w:pPr>
            <w:r>
              <w:rPr>
                <w:rFonts w:ascii="Times New Roman" w:hAnsi="Times New Roman" w:eastAsia="宋体"/>
                <w:b w:val="0"/>
                <w:sz w:val="21"/>
              </w:rPr>
              <w:t>2026-10-03 至 10-05</w:t>
            </w:r>
          </w:p>
        </w:tc>
      </w:tr>
      <w:tr>
        <w:tc>
          <w:tcPr>
            <w:tcW w:type="dxa" w:w="2209"/>
          </w:tcPr>
          <w:p>
            <w:pPr>
              <w:spacing w:line="240" w:lineRule="auto"/>
              <w:jc w:val="left"/>
            </w:pPr>
            <w:r>
              <w:rPr>
                <w:rFonts w:ascii="Times New Roman" w:hAnsi="Times New Roman" w:eastAsia="宋体"/>
                <w:b w:val="0"/>
                <w:sz w:val="21"/>
              </w:rPr>
              <w:t>答题用时中位数</w:t>
            </w:r>
          </w:p>
        </w:tc>
        <w:tc>
          <w:tcPr>
            <w:tcW w:type="dxa" w:w="2209"/>
          </w:tcPr>
          <w:p>
            <w:pPr>
              <w:spacing w:line="240" w:lineRule="auto"/>
              <w:jc w:val="left"/>
            </w:pPr>
            <w:r>
              <w:rPr>
                <w:rFonts w:ascii="Times New Roman" w:hAnsi="Times New Roman" w:eastAsia="宋体"/>
                <w:b w:val="0"/>
                <w:sz w:val="21"/>
              </w:rPr>
              <w:t>133 秒</w:t>
            </w:r>
          </w:p>
        </w:tc>
        <w:tc>
          <w:tcPr>
            <w:tcW w:type="dxa" w:w="2209"/>
          </w:tcPr>
          <w:p>
            <w:pPr>
              <w:spacing w:line="240" w:lineRule="auto"/>
              <w:jc w:val="left"/>
            </w:pPr>
            <w:r>
              <w:rPr>
                <w:rFonts w:ascii="Times New Roman" w:hAnsi="Times New Roman" w:eastAsia="宋体"/>
                <w:b w:val="0"/>
                <w:sz w:val="21"/>
              </w:rPr>
              <w:t>84 秒</w:t>
            </w:r>
          </w:p>
        </w:tc>
        <w:tc>
          <w:tcPr>
            <w:tcW w:type="dxa" w:w="2209"/>
          </w:tcPr>
          <w:p>
            <w:pPr>
              <w:spacing w:line="240" w:lineRule="auto"/>
              <w:jc w:val="left"/>
            </w:pPr>
            <w:r>
              <w:rPr>
                <w:rFonts w:ascii="Times New Roman" w:hAnsi="Times New Roman" w:eastAsia="宋体"/>
                <w:b w:val="0"/>
                <w:sz w:val="21"/>
              </w:rPr>
              <w:t>84 秒</w:t>
            </w:r>
          </w:p>
        </w:tc>
      </w:tr>
      <w:tr>
        <w:tc>
          <w:tcPr>
            <w:tcW w:type="dxa" w:w="2209"/>
          </w:tcPr>
          <w:p>
            <w:pPr>
              <w:spacing w:line="240" w:lineRule="auto"/>
              <w:jc w:val="left"/>
            </w:pPr>
            <w:r>
              <w:rPr>
                <w:rFonts w:ascii="Times New Roman" w:hAnsi="Times New Roman" w:eastAsia="宋体"/>
                <w:b w:val="0"/>
                <w:sz w:val="21"/>
              </w:rPr>
              <w:t>附带访谈</w:t>
            </w:r>
          </w:p>
        </w:tc>
        <w:tc>
          <w:tcPr>
            <w:tcW w:type="dxa" w:w="2209"/>
          </w:tcPr>
          <w:p>
            <w:pPr>
              <w:spacing w:line="240" w:lineRule="auto"/>
              <w:jc w:val="left"/>
            </w:pPr>
            <w:r>
              <w:rPr>
                <w:rFonts w:ascii="Times New Roman" w:hAnsi="Times New Roman" w:eastAsia="宋体"/>
                <w:b w:val="0"/>
                <w:sz w:val="21"/>
              </w:rPr>
              <w:t>无</w:t>
            </w:r>
          </w:p>
        </w:tc>
        <w:tc>
          <w:tcPr>
            <w:tcW w:type="dxa" w:w="2209"/>
          </w:tcPr>
          <w:p>
            <w:pPr>
              <w:spacing w:line="240" w:lineRule="auto"/>
              <w:jc w:val="left"/>
            </w:pPr>
            <w:r>
              <w:rPr>
                <w:rFonts w:ascii="Times New Roman" w:hAnsi="Times New Roman" w:eastAsia="宋体"/>
                <w:b w:val="0"/>
                <w:sz w:val="21"/>
              </w:rPr>
              <w:t>4 人（提纲 6 问）</w:t>
            </w:r>
          </w:p>
        </w:tc>
        <w:tc>
          <w:tcPr>
            <w:tcW w:type="dxa" w:w="2209"/>
          </w:tcPr>
          <w:p>
            <w:pPr>
              <w:spacing w:line="240" w:lineRule="auto"/>
              <w:jc w:val="left"/>
            </w:pPr>
            <w:r>
              <w:rPr>
                <w:rFonts w:ascii="Times New Roman" w:hAnsi="Times New Roman" w:eastAsia="宋体"/>
                <w:b w:val="0"/>
                <w:sz w:val="21"/>
              </w:rPr>
              <w:t>研二学生（提纲 12 问）</w:t>
            </w:r>
          </w:p>
        </w:tc>
      </w:tr>
    </w:tbl>
    <w:p>
      <w:pPr>
        <w:spacing w:after="0"/>
        <w:ind w:firstLine="480"/>
      </w:pPr>
      <w:r>
        <w:rPr>
          <w:rFonts w:ascii="Times New Roman" w:hAnsi="Times New Roman" w:eastAsia="宋体"/>
          <w:b w:val="0"/>
          <w:sz w:val="24"/>
        </w:rPr>
        <w:t>问卷 A 所反映的是学生对未来趋势的认知结构。在选择型题目中，跨学科被选择 46 次、人工智能 38 次、可持续 35 次、项目制 34 次，几项之间的差距并不悬殊；在关于资源短缺的判断中，可持续、跨学科师资、人工智能工具与企业项目同样位居前列，与之形成呼应。五道需求强度题的均值极差仅为 0.15，不构成可解释的排序，只能读作上述方向均被认为需要。对“课程与行业需求脱节”这一判断的认同均值为 3.89，同意与非常同意者合计 50 人，不同意者为 0。按专业方向交叉之后，侧重出现分化：数字媒体与工业设计偏向设计与人工智能的结合，环境艺术偏向可持续与社会创新，视觉传达偏向商业落地与品牌表达。此处须说明的是，交叉比例的分母是各方向的受访人数，样本规模有限，故本研究仅据此作“需求具有方向性”的判断，而不作方向之间的强弱比较。</w:t>
      </w:r>
    </w:p>
    <w:p>
      <w:pPr>
        <w:spacing w:after="0"/>
        <w:ind w:firstLine="480"/>
      </w:pPr>
      <w:r>
        <w:rPr>
          <w:rFonts w:ascii="Times New Roman" w:hAnsi="Times New Roman" w:eastAsia="宋体"/>
          <w:b w:val="0"/>
          <w:sz w:val="24"/>
        </w:rPr>
        <w:t>问卷 B 所反映的是学生对生成式人工智能的角色期待。经常使用者为 40 人，偶尔使用者 15 人，使用环节以图片生成与视觉表现、灵感收集与创意发散最为集中，认为人工智能最大的帮助是提高设计效率者 34 人。就角色定位而言，选择创意启发者 39 人、资料整理与研究辅助者 35 人、技能教学者 30 人，而认为可以完全替代部分教师教学工作者仅 4 人。在逐项比较人工智能、教师与本人三者更适合承担的任务时，分析用户需求偏向人工智能，选择最终方案则以本人 28 人、教师 24 人、人工智能 3 人分布，即便人工智能能够快速评价方案，仍有 46 人认为需要教师。学生的担忧集中于过度依赖导致创造力下降与作品趋于同质化两项。</w:t>
      </w:r>
    </w:p>
    <w:p>
      <w:pPr>
        <w:spacing w:after="0"/>
        <w:ind w:firstLine="480"/>
      </w:pPr>
      <w:r>
        <w:rPr>
          <w:rFonts w:ascii="Times New Roman" w:hAnsi="Times New Roman" w:eastAsia="宋体"/>
          <w:b w:val="0"/>
          <w:sz w:val="24"/>
        </w:rPr>
        <w:t>问卷 C 所反映的是研究生阶段的成长困境。在选择“明确目标，有清晰发展方向”者仅 1 人，其余 19 人分别处于目标未实现、方向探索或迷茫状态；常见困难以真实实践经验不足为首，能力缺口以商业转化能力居首，最缺少的资源为真实项目实践。研二访谈补充了三个层次的需求：显性层面是真实行业项目、设计研究方法、人工智能与设计研究的融合以及未来发展指导；隐性层面是研究问题的聚焦、逻辑思维与理论向实践转化；底层动机则是对自身专业价值与未来方向的探索。受访者将“从繁杂的场地信息与调研资料中提炼核心研究问题”与“真实项目落地经验不足”列为最大困难。桌面研究显示，在读研究生的公开自述普遍缺少系统化的人工智能教学，多依靠短视频碎片化自学，行业观察则强调跨领域协作与项目落地能力。三次问卷的主要结果如表 2 所示。</w:t>
      </w:r>
    </w:p>
    <w:p>
      <w:pPr>
        <w:spacing w:before="120" w:after="40"/>
        <w:jc w:val="center"/>
      </w:pPr>
      <w:r>
        <w:rPr>
          <w:rFonts w:ascii="Times New Roman" w:hAnsi="Times New Roman" w:eastAsia="黑体"/>
          <w:b w:val="0"/>
          <w:sz w:val="21"/>
        </w:rPr>
        <w:t>表 2　三次问卷的主要结果</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主题</w:t>
            </w:r>
          </w:p>
        </w:tc>
        <w:tc>
          <w:tcPr>
            <w:tcW w:type="dxa" w:w="4419"/>
            <w:tcBorders>
              <w:bottom w:val="single" w:sz="6" w:color="000000"/>
            </w:tcBorders>
          </w:tcPr>
          <w:p>
            <w:pPr>
              <w:spacing w:line="240" w:lineRule="auto"/>
              <w:jc w:val="center"/>
            </w:pPr>
            <w:r/>
            <w:r>
              <w:rPr>
                <w:rFonts w:ascii="Times New Roman" w:hAnsi="Times New Roman" w:eastAsia="黑体"/>
                <w:b w:val="0"/>
                <w:sz w:val="21"/>
              </w:rPr>
              <w:t>主要结果</w:t>
            </w:r>
          </w:p>
        </w:tc>
      </w:tr>
      <w:tr>
        <w:tc>
          <w:tcPr>
            <w:tcW w:type="dxa" w:w="4419"/>
          </w:tcPr>
          <w:p>
            <w:pPr>
              <w:spacing w:line="240" w:lineRule="auto"/>
              <w:jc w:val="left"/>
            </w:pPr>
            <w:r>
              <w:rPr>
                <w:rFonts w:ascii="Times New Roman" w:hAnsi="Times New Roman" w:eastAsia="宋体"/>
                <w:b w:val="0"/>
                <w:sz w:val="21"/>
              </w:rPr>
              <w:t>方向判断</w:t>
            </w:r>
          </w:p>
        </w:tc>
        <w:tc>
          <w:tcPr>
            <w:tcW w:type="dxa" w:w="4419"/>
          </w:tcPr>
          <w:p>
            <w:pPr>
              <w:spacing w:line="240" w:lineRule="auto"/>
              <w:jc w:val="left"/>
            </w:pPr>
            <w:r>
              <w:rPr>
                <w:rFonts w:ascii="Times New Roman" w:hAnsi="Times New Roman" w:eastAsia="宋体"/>
                <w:b w:val="0"/>
                <w:sz w:val="21"/>
              </w:rPr>
              <w:t>跨学科 46/72，人工智能 38/72，可持续 35/72，项目制 34/72</w:t>
            </w:r>
          </w:p>
        </w:tc>
      </w:tr>
      <w:tr>
        <w:tc>
          <w:tcPr>
            <w:tcW w:type="dxa" w:w="4419"/>
          </w:tcPr>
          <w:p>
            <w:pPr>
              <w:spacing w:line="240" w:lineRule="auto"/>
              <w:jc w:val="left"/>
            </w:pPr>
            <w:r>
              <w:rPr>
                <w:rFonts w:ascii="Times New Roman" w:hAnsi="Times New Roman" w:eastAsia="宋体"/>
                <w:b w:val="0"/>
                <w:sz w:val="21"/>
              </w:rPr>
              <w:t>资源短缺</w:t>
            </w:r>
          </w:p>
        </w:tc>
        <w:tc>
          <w:tcPr>
            <w:tcW w:type="dxa" w:w="4419"/>
          </w:tcPr>
          <w:p>
            <w:pPr>
              <w:spacing w:line="240" w:lineRule="auto"/>
              <w:jc w:val="left"/>
            </w:pPr>
            <w:r>
              <w:rPr>
                <w:rFonts w:ascii="Times New Roman" w:hAnsi="Times New Roman" w:eastAsia="宋体"/>
                <w:b w:val="0"/>
                <w:sz w:val="21"/>
              </w:rPr>
              <w:t>可持续 46/72，跨学科师资 42/72，人工智能工具 37/72，企业项目 37/72</w:t>
            </w:r>
          </w:p>
        </w:tc>
      </w:tr>
      <w:tr>
        <w:tc>
          <w:tcPr>
            <w:tcW w:type="dxa" w:w="4419"/>
          </w:tcPr>
          <w:p>
            <w:pPr>
              <w:spacing w:line="240" w:lineRule="auto"/>
              <w:jc w:val="left"/>
            </w:pPr>
            <w:r>
              <w:rPr>
                <w:rFonts w:ascii="Times New Roman" w:hAnsi="Times New Roman" w:eastAsia="宋体"/>
                <w:b w:val="0"/>
                <w:sz w:val="21"/>
              </w:rPr>
              <w:t>需求强度</w:t>
            </w:r>
          </w:p>
        </w:tc>
        <w:tc>
          <w:tcPr>
            <w:tcW w:type="dxa" w:w="4419"/>
          </w:tcPr>
          <w:p>
            <w:pPr>
              <w:spacing w:line="240" w:lineRule="auto"/>
              <w:jc w:val="left"/>
            </w:pPr>
            <w:r>
              <w:rPr>
                <w:rFonts w:ascii="Times New Roman" w:hAnsi="Times New Roman" w:eastAsia="宋体"/>
                <w:b w:val="0"/>
                <w:sz w:val="21"/>
              </w:rPr>
              <w:t>五题均值极差 0.15，不构成排序</w:t>
            </w:r>
          </w:p>
        </w:tc>
      </w:tr>
      <w:tr>
        <w:tc>
          <w:tcPr>
            <w:tcW w:type="dxa" w:w="4419"/>
          </w:tcPr>
          <w:p>
            <w:pPr>
              <w:spacing w:line="240" w:lineRule="auto"/>
              <w:jc w:val="left"/>
            </w:pPr>
            <w:r>
              <w:rPr>
                <w:rFonts w:ascii="Times New Roman" w:hAnsi="Times New Roman" w:eastAsia="宋体"/>
                <w:b w:val="0"/>
                <w:sz w:val="21"/>
              </w:rPr>
              <w:t>脱节认同</w:t>
            </w:r>
          </w:p>
        </w:tc>
        <w:tc>
          <w:tcPr>
            <w:tcW w:type="dxa" w:w="4419"/>
          </w:tcPr>
          <w:p>
            <w:pPr>
              <w:spacing w:line="240" w:lineRule="auto"/>
              <w:jc w:val="left"/>
            </w:pPr>
            <w:r>
              <w:rPr>
                <w:rFonts w:ascii="Times New Roman" w:hAnsi="Times New Roman" w:eastAsia="宋体"/>
                <w:b w:val="0"/>
                <w:sz w:val="21"/>
              </w:rPr>
              <w:t>均值 3.89，同意与非常同意 50/72，不同意 0</w:t>
            </w:r>
          </w:p>
        </w:tc>
      </w:tr>
      <w:tr>
        <w:tc>
          <w:tcPr>
            <w:tcW w:type="dxa" w:w="4419"/>
          </w:tcPr>
          <w:p>
            <w:pPr>
              <w:spacing w:line="240" w:lineRule="auto"/>
              <w:jc w:val="left"/>
            </w:pPr>
            <w:r>
              <w:rPr>
                <w:rFonts w:ascii="Times New Roman" w:hAnsi="Times New Roman" w:eastAsia="宋体"/>
                <w:b w:val="0"/>
                <w:sz w:val="21"/>
              </w:rPr>
              <w:t>专业分化</w:t>
            </w:r>
          </w:p>
        </w:tc>
        <w:tc>
          <w:tcPr>
            <w:tcW w:type="dxa" w:w="4419"/>
          </w:tcPr>
          <w:p>
            <w:pPr>
              <w:spacing w:line="240" w:lineRule="auto"/>
              <w:jc w:val="left"/>
            </w:pPr>
            <w:r>
              <w:rPr>
                <w:rFonts w:ascii="Times New Roman" w:hAnsi="Times New Roman" w:eastAsia="宋体"/>
                <w:b w:val="0"/>
                <w:sz w:val="21"/>
              </w:rPr>
              <w:t>数字媒体与工业设计偏向设计与人工智能，环境艺术偏向可持续，视觉传达偏向商业</w:t>
            </w:r>
          </w:p>
        </w:tc>
      </w:tr>
      <w:tr>
        <w:tc>
          <w:tcPr>
            <w:tcW w:type="dxa" w:w="4419"/>
          </w:tcPr>
          <w:p>
            <w:pPr>
              <w:spacing w:line="240" w:lineRule="auto"/>
              <w:jc w:val="left"/>
            </w:pPr>
            <w:r>
              <w:rPr>
                <w:rFonts w:ascii="Times New Roman" w:hAnsi="Times New Roman" w:eastAsia="宋体"/>
                <w:b w:val="0"/>
                <w:sz w:val="21"/>
              </w:rPr>
              <w:t>人工智能使用</w:t>
            </w:r>
          </w:p>
        </w:tc>
        <w:tc>
          <w:tcPr>
            <w:tcW w:type="dxa" w:w="4419"/>
          </w:tcPr>
          <w:p>
            <w:pPr>
              <w:spacing w:line="240" w:lineRule="auto"/>
              <w:jc w:val="left"/>
            </w:pPr>
            <w:r>
              <w:rPr>
                <w:rFonts w:ascii="Times New Roman" w:hAnsi="Times New Roman" w:eastAsia="宋体"/>
                <w:b w:val="0"/>
                <w:sz w:val="21"/>
              </w:rPr>
              <w:t>经常使用 40/55，最大帮助为提高设计效率 34/55</w:t>
            </w:r>
          </w:p>
        </w:tc>
      </w:tr>
      <w:tr>
        <w:tc>
          <w:tcPr>
            <w:tcW w:type="dxa" w:w="4419"/>
          </w:tcPr>
          <w:p>
            <w:pPr>
              <w:spacing w:line="240" w:lineRule="auto"/>
              <w:jc w:val="left"/>
            </w:pPr>
            <w:r>
              <w:rPr>
                <w:rFonts w:ascii="Times New Roman" w:hAnsi="Times New Roman" w:eastAsia="宋体"/>
                <w:b w:val="0"/>
                <w:sz w:val="21"/>
              </w:rPr>
              <w:t>角色期待</w:t>
            </w:r>
          </w:p>
        </w:tc>
        <w:tc>
          <w:tcPr>
            <w:tcW w:type="dxa" w:w="4419"/>
          </w:tcPr>
          <w:p>
            <w:pPr>
              <w:spacing w:line="240" w:lineRule="auto"/>
              <w:jc w:val="left"/>
            </w:pPr>
            <w:r>
              <w:rPr>
                <w:rFonts w:ascii="Times New Roman" w:hAnsi="Times New Roman" w:eastAsia="宋体"/>
                <w:b w:val="0"/>
                <w:sz w:val="21"/>
              </w:rPr>
              <w:t>创意启发 39/55，资料整理与研究辅助 35/55，技能教学 30/55，可替代部分教师教学 4/55</w:t>
            </w:r>
          </w:p>
        </w:tc>
      </w:tr>
      <w:tr>
        <w:tc>
          <w:tcPr>
            <w:tcW w:type="dxa" w:w="4419"/>
          </w:tcPr>
          <w:p>
            <w:pPr>
              <w:spacing w:line="240" w:lineRule="auto"/>
              <w:jc w:val="left"/>
            </w:pPr>
            <w:r>
              <w:rPr>
                <w:rFonts w:ascii="Times New Roman" w:hAnsi="Times New Roman" w:eastAsia="宋体"/>
                <w:b w:val="0"/>
                <w:sz w:val="21"/>
              </w:rPr>
              <w:t>决策归属</w:t>
            </w:r>
          </w:p>
        </w:tc>
        <w:tc>
          <w:tcPr>
            <w:tcW w:type="dxa" w:w="4419"/>
          </w:tcPr>
          <w:p>
            <w:pPr>
              <w:spacing w:line="240" w:lineRule="auto"/>
              <w:jc w:val="left"/>
            </w:pPr>
            <w:r>
              <w:rPr>
                <w:rFonts w:ascii="Times New Roman" w:hAnsi="Times New Roman" w:eastAsia="宋体"/>
                <w:b w:val="0"/>
                <w:sz w:val="21"/>
              </w:rPr>
              <w:t>选择最终方案者本人 28/55、教师 24/55、人工智能 3/55；仍需教师 46/55</w:t>
            </w:r>
          </w:p>
        </w:tc>
      </w:tr>
      <w:tr>
        <w:tc>
          <w:tcPr>
            <w:tcW w:type="dxa" w:w="4419"/>
          </w:tcPr>
          <w:p>
            <w:pPr>
              <w:spacing w:line="240" w:lineRule="auto"/>
              <w:jc w:val="left"/>
            </w:pPr>
            <w:r>
              <w:rPr>
                <w:rFonts w:ascii="Times New Roman" w:hAnsi="Times New Roman" w:eastAsia="宋体"/>
                <w:b w:val="0"/>
                <w:sz w:val="21"/>
              </w:rPr>
              <w:t>主要担忧</w:t>
            </w:r>
          </w:p>
        </w:tc>
        <w:tc>
          <w:tcPr>
            <w:tcW w:type="dxa" w:w="4419"/>
          </w:tcPr>
          <w:p>
            <w:pPr>
              <w:spacing w:line="240" w:lineRule="auto"/>
              <w:jc w:val="left"/>
            </w:pPr>
            <w:r>
              <w:rPr>
                <w:rFonts w:ascii="Times New Roman" w:hAnsi="Times New Roman" w:eastAsia="宋体"/>
                <w:b w:val="0"/>
                <w:sz w:val="21"/>
              </w:rPr>
              <w:t>过度依赖降低创造力 28/55，作品趋于同质化 15/55</w:t>
            </w:r>
          </w:p>
        </w:tc>
      </w:tr>
      <w:tr>
        <w:tc>
          <w:tcPr>
            <w:tcW w:type="dxa" w:w="4419"/>
          </w:tcPr>
          <w:p>
            <w:pPr>
              <w:spacing w:line="240" w:lineRule="auto"/>
              <w:jc w:val="left"/>
            </w:pPr>
            <w:r>
              <w:rPr>
                <w:rFonts w:ascii="Times New Roman" w:hAnsi="Times New Roman" w:eastAsia="宋体"/>
                <w:b w:val="0"/>
                <w:sz w:val="21"/>
              </w:rPr>
              <w:t>成长状态</w:t>
            </w:r>
          </w:p>
        </w:tc>
        <w:tc>
          <w:tcPr>
            <w:tcW w:type="dxa" w:w="4419"/>
          </w:tcPr>
          <w:p>
            <w:pPr>
              <w:spacing w:line="240" w:lineRule="auto"/>
              <w:jc w:val="left"/>
            </w:pPr>
            <w:r>
              <w:rPr>
                <w:rFonts w:ascii="Times New Roman" w:hAnsi="Times New Roman" w:eastAsia="宋体"/>
                <w:b w:val="0"/>
                <w:sz w:val="21"/>
              </w:rPr>
              <w:t>明确目标 1/20，其余 19/20 处于目标未实现、方向探索或迷茫</w:t>
            </w:r>
          </w:p>
        </w:tc>
      </w:tr>
      <w:tr>
        <w:tc>
          <w:tcPr>
            <w:tcW w:type="dxa" w:w="4419"/>
          </w:tcPr>
          <w:p>
            <w:pPr>
              <w:spacing w:line="240" w:lineRule="auto"/>
              <w:jc w:val="left"/>
            </w:pPr>
            <w:r>
              <w:rPr>
                <w:rFonts w:ascii="Times New Roman" w:hAnsi="Times New Roman" w:eastAsia="宋体"/>
                <w:b w:val="0"/>
                <w:sz w:val="21"/>
              </w:rPr>
              <w:t>困难与缺口</w:t>
            </w:r>
          </w:p>
        </w:tc>
        <w:tc>
          <w:tcPr>
            <w:tcW w:type="dxa" w:w="4419"/>
          </w:tcPr>
          <w:p>
            <w:pPr>
              <w:spacing w:line="240" w:lineRule="auto"/>
              <w:jc w:val="left"/>
            </w:pPr>
            <w:r>
              <w:rPr>
                <w:rFonts w:ascii="Times New Roman" w:hAnsi="Times New Roman" w:eastAsia="宋体"/>
                <w:b w:val="0"/>
                <w:sz w:val="21"/>
              </w:rPr>
              <w:t>实践经验不足 12/20，商业转化能力缺口 13/20，缺少真实项目实践 13/20</w:t>
            </w:r>
          </w:p>
        </w:tc>
      </w:tr>
    </w:tbl>
    <w:p>
      <w:pPr>
        <w:spacing w:after="0"/>
        <w:ind w:firstLine="480"/>
      </w:pPr>
      <w:r>
        <w:rPr>
          <w:rFonts w:ascii="Times New Roman" w:hAnsi="Times New Roman" w:eastAsia="宋体"/>
          <w:b w:val="0"/>
          <w:sz w:val="24"/>
        </w:rPr>
        <w:t>上述材料需要在限定条件下阅读。三份问卷均为自选样本，问卷 C 的基数尤小，其所载比例只描述这些答卷本身，不能外推为设计专业研究生的总体分布。问卷 A 与问卷 B 分别含本科生 20 人与 16 人，与本研究以研究生为对象的界定并不完全一致，引用时须予记明。桌面研究属他人话语的收集，不能等同于本组样本的自述。</w:t>
      </w:r>
    </w:p>
    <w:p>
      <w:pPr>
        <w:spacing w:after="0"/>
        <w:ind w:firstLine="480"/>
      </w:pPr>
      <w:r>
        <w:rPr>
          <w:rFonts w:ascii="Times New Roman" w:hAnsi="Times New Roman" w:eastAsia="宋体"/>
          <w:b w:val="0"/>
          <w:sz w:val="24"/>
        </w:rPr>
        <w:t>从社会学的角度看，学生的需求表达并不只是个体偏好的汇总，而是其在场域中所处位置的投射。专业方向之间的分化，与各方向在产业分工中的位置、可获得的实习与项目机会以及由此形成的专业惯习密切相关；工业设计与数字媒体的学生倾向于将人工智能视为可资利用的技术资源，环境艺术的学生更强调可持续议题的社会面向，视觉传达的学生则更关注商业转化，这种差异与其未来可能进入的职业位置具有内在关联。问卷所显示的方向共识亦不可简单读作判断的成熟：在五道强度题均值极差仅为 0.15 的情况下，一致的选择更接近于一种尚未分化的集体表述，而非经过比较的排序。与此相对，问卷 C 中“方向不明”的高比例揭示了另一重社会事实，即在学历供给扩张与职业路径不确定并存的条件下，研究生的学习动力在很大程度上依赖外部反馈的持续供给，而现有培养环节并未稳定提供这种反馈。</w:t>
      </w:r>
    </w:p>
    <w:p>
      <w:pPr>
        <w:spacing w:before="240" w:after="120"/>
      </w:pPr>
      <w:r>
        <w:rPr>
          <w:rFonts w:ascii="Times New Roman" w:hAnsi="Times New Roman" w:eastAsia="黑体"/>
          <w:b/>
          <w:sz w:val="28"/>
        </w:rPr>
        <w:t>四、世界侧：市场与制度在要什么</w:t>
      </w:r>
    </w:p>
    <w:p>
      <w:pPr>
        <w:spacing w:after="0"/>
        <w:ind w:firstLine="480"/>
      </w:pPr>
      <w:r>
        <w:rPr>
          <w:rFonts w:ascii="Times New Roman" w:hAnsi="Times New Roman" w:eastAsia="宋体"/>
          <w:b w:val="0"/>
          <w:sz w:val="24"/>
        </w:rPr>
        <w:t>世界一侧的证据来自研究者整理的职位与制度文本，本节依次处理市场与雇主面、国家与制度面、环境与时代面以及出口路径面。四个面的语料性质各不相同，故各自独立编码、互不套用。</w:t>
      </w:r>
    </w:p>
    <w:p>
      <w:pPr>
        <w:spacing w:after="0"/>
        <w:ind w:firstLine="480"/>
      </w:pPr>
      <w:r>
        <w:rPr>
          <w:rFonts w:ascii="Times New Roman" w:hAnsi="Times New Roman" w:eastAsia="宋体"/>
          <w:b w:val="0"/>
          <w:sz w:val="24"/>
        </w:rPr>
        <w:t>市场与雇主面的语料是设计类岗位说明书共 103 条，采集截至 2026 年 10 月 7 日，覆盖国内传统行业、国内人工智能岗位、海外行业扩样与海外人工智能岗位四个层次，其观测单位是一条去重之后的独立招聘需求，而非发布次数。这类文本由句子级的能力要求构成，其性质是雇主在劳动力市场中发布的筛选信号，因此适合以定向内容分析处理。结果显示，要求频率最高的能力依次为端到端负责 69 条、无权威影响力与跨职能协作 44 条、系统化设计意识 39 条、市场与竞品研究 39 条、可制造性与工艺知识 34 条；与人工智能相关的要求呈现分层结构，以经验声明形式出现者 25 个岗位，以原型验证形式出现者 17 个岗位，以工程实现形式出现者 18 个岗位，而要求对人工智能产出作质量判断的仅 6 个岗位。主要能力项的频率分布如表 3 所示。需要限定的是，招聘文本测量的是雇主的要求，并不等同于在岗实际使用的技能。</w:t>
      </w:r>
    </w:p>
    <w:p>
      <w:pPr>
        <w:spacing w:before="120" w:after="40"/>
        <w:jc w:val="center"/>
      </w:pPr>
      <w:r>
        <w:rPr>
          <w:rFonts w:ascii="Times New Roman" w:hAnsi="Times New Roman" w:eastAsia="黑体"/>
          <w:b w:val="0"/>
          <w:sz w:val="21"/>
        </w:rPr>
        <w:t>表 3　市场与雇主面能力要求频次（前十二项）</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946"/>
        <w:gridCol w:w="2946"/>
        <w:gridCol w:w="2946"/>
      </w:tblGrid>
      <w:tr>
        <w:tc>
          <w:tcPr>
            <w:tcW w:type="dxa" w:w="2946"/>
            <w:tcBorders>
              <w:bottom w:val="single" w:sz="6" w:color="000000"/>
            </w:tcBorders>
          </w:tcPr>
          <w:p>
            <w:pPr>
              <w:spacing w:line="240" w:lineRule="auto"/>
              <w:jc w:val="center"/>
            </w:pPr>
            <w:r/>
            <w:r>
              <w:rPr>
                <w:rFonts w:ascii="Times New Roman" w:hAnsi="Times New Roman" w:eastAsia="黑体"/>
                <w:b w:val="0"/>
                <w:sz w:val="21"/>
              </w:rPr>
              <w:t>能力项</w:t>
            </w:r>
          </w:p>
        </w:tc>
        <w:tc>
          <w:tcPr>
            <w:tcW w:type="dxa" w:w="2946"/>
            <w:tcBorders>
              <w:bottom w:val="single" w:sz="6" w:color="000000"/>
            </w:tcBorders>
          </w:tcPr>
          <w:p>
            <w:pPr>
              <w:spacing w:line="240" w:lineRule="auto"/>
              <w:jc w:val="center"/>
            </w:pPr>
            <w:r/>
            <w:r>
              <w:rPr>
                <w:rFonts w:ascii="Times New Roman" w:hAnsi="Times New Roman" w:eastAsia="黑体"/>
                <w:b w:val="0"/>
                <w:sz w:val="21"/>
              </w:rPr>
              <w:t>频次（n=103）</w:t>
            </w:r>
          </w:p>
        </w:tc>
        <w:tc>
          <w:tcPr>
            <w:tcW w:type="dxa" w:w="2946"/>
            <w:tcBorders>
              <w:bottom w:val="single" w:sz="6" w:color="000000"/>
            </w:tcBorders>
          </w:tcPr>
          <w:p>
            <w:pPr>
              <w:spacing w:line="240" w:lineRule="auto"/>
              <w:jc w:val="center"/>
            </w:pPr>
            <w:r/>
            <w:r>
              <w:rPr>
                <w:rFonts w:ascii="Times New Roman" w:hAnsi="Times New Roman" w:eastAsia="黑体"/>
                <w:b w:val="0"/>
                <w:sz w:val="21"/>
              </w:rPr>
              <w:t>占比</w:t>
            </w:r>
          </w:p>
        </w:tc>
      </w:tr>
      <w:tr>
        <w:tc>
          <w:tcPr>
            <w:tcW w:type="dxa" w:w="2946"/>
          </w:tcPr>
          <w:p>
            <w:pPr>
              <w:spacing w:line="240" w:lineRule="auto"/>
              <w:jc w:val="left"/>
            </w:pPr>
            <w:r>
              <w:rPr>
                <w:rFonts w:ascii="Times New Roman" w:hAnsi="Times New Roman" w:eastAsia="宋体"/>
                <w:b w:val="0"/>
                <w:sz w:val="21"/>
              </w:rPr>
              <w:t>端到端负责</w:t>
            </w:r>
          </w:p>
        </w:tc>
        <w:tc>
          <w:tcPr>
            <w:tcW w:type="dxa" w:w="2946"/>
          </w:tcPr>
          <w:p>
            <w:pPr>
              <w:spacing w:line="240" w:lineRule="auto"/>
              <w:jc w:val="center"/>
            </w:pPr>
            <w:r>
              <w:rPr>
                <w:rFonts w:ascii="Times New Roman" w:hAnsi="Times New Roman" w:eastAsia="宋体"/>
                <w:b w:val="0"/>
                <w:sz w:val="21"/>
              </w:rPr>
              <w:t>69</w:t>
            </w:r>
          </w:p>
        </w:tc>
        <w:tc>
          <w:tcPr>
            <w:tcW w:type="dxa" w:w="2946"/>
          </w:tcPr>
          <w:p>
            <w:pPr>
              <w:spacing w:line="240" w:lineRule="auto"/>
              <w:jc w:val="center"/>
            </w:pPr>
            <w:r>
              <w:rPr>
                <w:rFonts w:ascii="Times New Roman" w:hAnsi="Times New Roman" w:eastAsia="宋体"/>
                <w:b w:val="0"/>
                <w:sz w:val="21"/>
              </w:rPr>
              <w:t>67%</w:t>
            </w:r>
          </w:p>
        </w:tc>
      </w:tr>
      <w:tr>
        <w:tc>
          <w:tcPr>
            <w:tcW w:type="dxa" w:w="2946"/>
          </w:tcPr>
          <w:p>
            <w:pPr>
              <w:spacing w:line="240" w:lineRule="auto"/>
              <w:jc w:val="left"/>
            </w:pPr>
            <w:r>
              <w:rPr>
                <w:rFonts w:ascii="Times New Roman" w:hAnsi="Times New Roman" w:eastAsia="宋体"/>
                <w:b w:val="0"/>
                <w:sz w:val="21"/>
              </w:rPr>
              <w:t>无权威影响力与跨职能协作</w:t>
            </w:r>
          </w:p>
        </w:tc>
        <w:tc>
          <w:tcPr>
            <w:tcW w:type="dxa" w:w="2946"/>
          </w:tcPr>
          <w:p>
            <w:pPr>
              <w:spacing w:line="240" w:lineRule="auto"/>
              <w:jc w:val="center"/>
            </w:pPr>
            <w:r>
              <w:rPr>
                <w:rFonts w:ascii="Times New Roman" w:hAnsi="Times New Roman" w:eastAsia="宋体"/>
                <w:b w:val="0"/>
                <w:sz w:val="21"/>
              </w:rPr>
              <w:t>44</w:t>
            </w:r>
          </w:p>
        </w:tc>
        <w:tc>
          <w:tcPr>
            <w:tcW w:type="dxa" w:w="2946"/>
          </w:tcPr>
          <w:p>
            <w:pPr>
              <w:spacing w:line="240" w:lineRule="auto"/>
              <w:jc w:val="center"/>
            </w:pPr>
            <w:r>
              <w:rPr>
                <w:rFonts w:ascii="Times New Roman" w:hAnsi="Times New Roman" w:eastAsia="宋体"/>
                <w:b w:val="0"/>
                <w:sz w:val="21"/>
              </w:rPr>
              <w:t>43%</w:t>
            </w:r>
          </w:p>
        </w:tc>
      </w:tr>
      <w:tr>
        <w:tc>
          <w:tcPr>
            <w:tcW w:type="dxa" w:w="2946"/>
          </w:tcPr>
          <w:p>
            <w:pPr>
              <w:spacing w:line="240" w:lineRule="auto"/>
              <w:jc w:val="left"/>
            </w:pPr>
            <w:r>
              <w:rPr>
                <w:rFonts w:ascii="Times New Roman" w:hAnsi="Times New Roman" w:eastAsia="宋体"/>
                <w:b w:val="0"/>
                <w:sz w:val="21"/>
              </w:rPr>
              <w:t>系统化设计意识</w:t>
            </w:r>
          </w:p>
        </w:tc>
        <w:tc>
          <w:tcPr>
            <w:tcW w:type="dxa" w:w="2946"/>
          </w:tcPr>
          <w:p>
            <w:pPr>
              <w:spacing w:line="240" w:lineRule="auto"/>
              <w:jc w:val="center"/>
            </w:pPr>
            <w:r>
              <w:rPr>
                <w:rFonts w:ascii="Times New Roman" w:hAnsi="Times New Roman" w:eastAsia="宋体"/>
                <w:b w:val="0"/>
                <w:sz w:val="21"/>
              </w:rPr>
              <w:t>39</w:t>
            </w:r>
          </w:p>
        </w:tc>
        <w:tc>
          <w:tcPr>
            <w:tcW w:type="dxa" w:w="2946"/>
          </w:tcPr>
          <w:p>
            <w:pPr>
              <w:spacing w:line="240" w:lineRule="auto"/>
              <w:jc w:val="center"/>
            </w:pPr>
            <w:r>
              <w:rPr>
                <w:rFonts w:ascii="Times New Roman" w:hAnsi="Times New Roman" w:eastAsia="宋体"/>
                <w:b w:val="0"/>
                <w:sz w:val="21"/>
              </w:rPr>
              <w:t>38%</w:t>
            </w:r>
          </w:p>
        </w:tc>
      </w:tr>
      <w:tr>
        <w:tc>
          <w:tcPr>
            <w:tcW w:type="dxa" w:w="2946"/>
          </w:tcPr>
          <w:p>
            <w:pPr>
              <w:spacing w:line="240" w:lineRule="auto"/>
              <w:jc w:val="left"/>
            </w:pPr>
            <w:r>
              <w:rPr>
                <w:rFonts w:ascii="Times New Roman" w:hAnsi="Times New Roman" w:eastAsia="宋体"/>
                <w:b w:val="0"/>
                <w:sz w:val="21"/>
              </w:rPr>
              <w:t>市场与竞品研究</w:t>
            </w:r>
          </w:p>
        </w:tc>
        <w:tc>
          <w:tcPr>
            <w:tcW w:type="dxa" w:w="2946"/>
          </w:tcPr>
          <w:p>
            <w:pPr>
              <w:spacing w:line="240" w:lineRule="auto"/>
              <w:jc w:val="center"/>
            </w:pPr>
            <w:r>
              <w:rPr>
                <w:rFonts w:ascii="Times New Roman" w:hAnsi="Times New Roman" w:eastAsia="宋体"/>
                <w:b w:val="0"/>
                <w:sz w:val="21"/>
              </w:rPr>
              <w:t>39</w:t>
            </w:r>
          </w:p>
        </w:tc>
        <w:tc>
          <w:tcPr>
            <w:tcW w:type="dxa" w:w="2946"/>
          </w:tcPr>
          <w:p>
            <w:pPr>
              <w:spacing w:line="240" w:lineRule="auto"/>
              <w:jc w:val="center"/>
            </w:pPr>
            <w:r>
              <w:rPr>
                <w:rFonts w:ascii="Times New Roman" w:hAnsi="Times New Roman" w:eastAsia="宋体"/>
                <w:b w:val="0"/>
                <w:sz w:val="21"/>
              </w:rPr>
              <w:t>38%</w:t>
            </w:r>
          </w:p>
        </w:tc>
      </w:tr>
      <w:tr>
        <w:tc>
          <w:tcPr>
            <w:tcW w:type="dxa" w:w="2946"/>
          </w:tcPr>
          <w:p>
            <w:pPr>
              <w:spacing w:line="240" w:lineRule="auto"/>
              <w:jc w:val="left"/>
            </w:pPr>
            <w:r>
              <w:rPr>
                <w:rFonts w:ascii="Times New Roman" w:hAnsi="Times New Roman" w:eastAsia="宋体"/>
                <w:b w:val="0"/>
                <w:sz w:val="21"/>
              </w:rPr>
              <w:t>可制造性与工艺知识</w:t>
            </w:r>
          </w:p>
        </w:tc>
        <w:tc>
          <w:tcPr>
            <w:tcW w:type="dxa" w:w="2946"/>
          </w:tcPr>
          <w:p>
            <w:pPr>
              <w:spacing w:line="240" w:lineRule="auto"/>
              <w:jc w:val="center"/>
            </w:pPr>
            <w:r>
              <w:rPr>
                <w:rFonts w:ascii="Times New Roman" w:hAnsi="Times New Roman" w:eastAsia="宋体"/>
                <w:b w:val="0"/>
                <w:sz w:val="21"/>
              </w:rPr>
              <w:t>34</w:t>
            </w:r>
          </w:p>
        </w:tc>
        <w:tc>
          <w:tcPr>
            <w:tcW w:type="dxa" w:w="2946"/>
          </w:tcPr>
          <w:p>
            <w:pPr>
              <w:spacing w:line="240" w:lineRule="auto"/>
              <w:jc w:val="center"/>
            </w:pPr>
            <w:r>
              <w:rPr>
                <w:rFonts w:ascii="Times New Roman" w:hAnsi="Times New Roman" w:eastAsia="宋体"/>
                <w:b w:val="0"/>
                <w:sz w:val="21"/>
              </w:rPr>
              <w:t>33%</w:t>
            </w:r>
          </w:p>
        </w:tc>
      </w:tr>
      <w:tr>
        <w:tc>
          <w:tcPr>
            <w:tcW w:type="dxa" w:w="2946"/>
          </w:tcPr>
          <w:p>
            <w:pPr>
              <w:spacing w:line="240" w:lineRule="auto"/>
              <w:jc w:val="left"/>
            </w:pPr>
            <w:r>
              <w:rPr>
                <w:rFonts w:ascii="Times New Roman" w:hAnsi="Times New Roman" w:eastAsia="宋体"/>
                <w:b w:val="0"/>
                <w:sz w:val="21"/>
              </w:rPr>
              <w:t>技术跟踪与栈演进</w:t>
            </w:r>
          </w:p>
        </w:tc>
        <w:tc>
          <w:tcPr>
            <w:tcW w:type="dxa" w:w="2946"/>
          </w:tcPr>
          <w:p>
            <w:pPr>
              <w:spacing w:line="240" w:lineRule="auto"/>
              <w:jc w:val="center"/>
            </w:pPr>
            <w:r>
              <w:rPr>
                <w:rFonts w:ascii="Times New Roman" w:hAnsi="Times New Roman" w:eastAsia="宋体"/>
                <w:b w:val="0"/>
                <w:sz w:val="21"/>
              </w:rPr>
              <w:t>30</w:t>
            </w:r>
          </w:p>
        </w:tc>
        <w:tc>
          <w:tcPr>
            <w:tcW w:type="dxa" w:w="2946"/>
          </w:tcPr>
          <w:p>
            <w:pPr>
              <w:spacing w:line="240" w:lineRule="auto"/>
              <w:jc w:val="center"/>
            </w:pPr>
            <w:r>
              <w:rPr>
                <w:rFonts w:ascii="Times New Roman" w:hAnsi="Times New Roman" w:eastAsia="宋体"/>
                <w:b w:val="0"/>
                <w:sz w:val="21"/>
              </w:rPr>
              <w:t>29%</w:t>
            </w:r>
          </w:p>
        </w:tc>
      </w:tr>
      <w:tr>
        <w:tc>
          <w:tcPr>
            <w:tcW w:type="dxa" w:w="2946"/>
          </w:tcPr>
          <w:p>
            <w:pPr>
              <w:spacing w:line="240" w:lineRule="auto"/>
              <w:jc w:val="left"/>
            </w:pPr>
            <w:r>
              <w:rPr>
                <w:rFonts w:ascii="Times New Roman" w:hAnsi="Times New Roman" w:eastAsia="宋体"/>
                <w:b w:val="0"/>
                <w:sz w:val="21"/>
              </w:rPr>
              <w:t>用户中心设计方法论</w:t>
            </w:r>
          </w:p>
        </w:tc>
        <w:tc>
          <w:tcPr>
            <w:tcW w:type="dxa" w:w="2946"/>
          </w:tcPr>
          <w:p>
            <w:pPr>
              <w:spacing w:line="240" w:lineRule="auto"/>
              <w:jc w:val="center"/>
            </w:pPr>
            <w:r>
              <w:rPr>
                <w:rFonts w:ascii="Times New Roman" w:hAnsi="Times New Roman" w:eastAsia="宋体"/>
                <w:b w:val="0"/>
                <w:sz w:val="21"/>
              </w:rPr>
              <w:t>29</w:t>
            </w:r>
          </w:p>
        </w:tc>
        <w:tc>
          <w:tcPr>
            <w:tcW w:type="dxa" w:w="2946"/>
          </w:tcPr>
          <w:p>
            <w:pPr>
              <w:spacing w:line="240" w:lineRule="auto"/>
              <w:jc w:val="center"/>
            </w:pPr>
            <w:r>
              <w:rPr>
                <w:rFonts w:ascii="Times New Roman" w:hAnsi="Times New Roman" w:eastAsia="宋体"/>
                <w:b w:val="0"/>
                <w:sz w:val="21"/>
              </w:rPr>
              <w:t>28%</w:t>
            </w:r>
          </w:p>
        </w:tc>
      </w:tr>
      <w:tr>
        <w:tc>
          <w:tcPr>
            <w:tcW w:type="dxa" w:w="2946"/>
          </w:tcPr>
          <w:p>
            <w:pPr>
              <w:spacing w:line="240" w:lineRule="auto"/>
              <w:jc w:val="left"/>
            </w:pPr>
            <w:r>
              <w:rPr>
                <w:rFonts w:ascii="Times New Roman" w:hAnsi="Times New Roman" w:eastAsia="宋体"/>
                <w:b w:val="0"/>
                <w:sz w:val="21"/>
              </w:rPr>
              <w:t>模糊需求拆解</w:t>
            </w:r>
          </w:p>
        </w:tc>
        <w:tc>
          <w:tcPr>
            <w:tcW w:type="dxa" w:w="2946"/>
          </w:tcPr>
          <w:p>
            <w:pPr>
              <w:spacing w:line="240" w:lineRule="auto"/>
              <w:jc w:val="center"/>
            </w:pPr>
            <w:r>
              <w:rPr>
                <w:rFonts w:ascii="Times New Roman" w:hAnsi="Times New Roman" w:eastAsia="宋体"/>
                <w:b w:val="0"/>
                <w:sz w:val="21"/>
              </w:rPr>
              <w:t>25</w:t>
            </w:r>
          </w:p>
        </w:tc>
        <w:tc>
          <w:tcPr>
            <w:tcW w:type="dxa" w:w="2946"/>
          </w:tcPr>
          <w:p>
            <w:pPr>
              <w:spacing w:line="240" w:lineRule="auto"/>
              <w:jc w:val="center"/>
            </w:pPr>
            <w:r>
              <w:rPr>
                <w:rFonts w:ascii="Times New Roman" w:hAnsi="Times New Roman" w:eastAsia="宋体"/>
                <w:b w:val="0"/>
                <w:sz w:val="21"/>
              </w:rPr>
              <w:t>24%</w:t>
            </w:r>
          </w:p>
        </w:tc>
      </w:tr>
      <w:tr>
        <w:tc>
          <w:tcPr>
            <w:tcW w:type="dxa" w:w="2946"/>
          </w:tcPr>
          <w:p>
            <w:pPr>
              <w:spacing w:line="240" w:lineRule="auto"/>
              <w:jc w:val="left"/>
            </w:pPr>
            <w:r>
              <w:rPr>
                <w:rFonts w:ascii="Times New Roman" w:hAnsi="Times New Roman" w:eastAsia="宋体"/>
                <w:b w:val="0"/>
                <w:sz w:val="21"/>
              </w:rPr>
              <w:t>作品集与项目证据</w:t>
            </w:r>
          </w:p>
        </w:tc>
        <w:tc>
          <w:tcPr>
            <w:tcW w:type="dxa" w:w="2946"/>
          </w:tcPr>
          <w:p>
            <w:pPr>
              <w:spacing w:line="240" w:lineRule="auto"/>
              <w:jc w:val="center"/>
            </w:pPr>
            <w:r>
              <w:rPr>
                <w:rFonts w:ascii="Times New Roman" w:hAnsi="Times New Roman" w:eastAsia="宋体"/>
                <w:b w:val="0"/>
                <w:sz w:val="21"/>
              </w:rPr>
              <w:t>24</w:t>
            </w:r>
          </w:p>
        </w:tc>
        <w:tc>
          <w:tcPr>
            <w:tcW w:type="dxa" w:w="2946"/>
          </w:tcPr>
          <w:p>
            <w:pPr>
              <w:spacing w:line="240" w:lineRule="auto"/>
              <w:jc w:val="center"/>
            </w:pPr>
            <w:r>
              <w:rPr>
                <w:rFonts w:ascii="Times New Roman" w:hAnsi="Times New Roman" w:eastAsia="宋体"/>
                <w:b w:val="0"/>
                <w:sz w:val="21"/>
              </w:rPr>
              <w:t>23%</w:t>
            </w:r>
          </w:p>
        </w:tc>
      </w:tr>
      <w:tr>
        <w:tc>
          <w:tcPr>
            <w:tcW w:type="dxa" w:w="2946"/>
          </w:tcPr>
          <w:p>
            <w:pPr>
              <w:spacing w:line="240" w:lineRule="auto"/>
              <w:jc w:val="left"/>
            </w:pPr>
            <w:r>
              <w:rPr>
                <w:rFonts w:ascii="Times New Roman" w:hAnsi="Times New Roman" w:eastAsia="宋体"/>
                <w:b w:val="0"/>
                <w:sz w:val="21"/>
              </w:rPr>
              <w:t>客户与用户现场发现</w:t>
            </w:r>
          </w:p>
        </w:tc>
        <w:tc>
          <w:tcPr>
            <w:tcW w:type="dxa" w:w="2946"/>
          </w:tcPr>
          <w:p>
            <w:pPr>
              <w:spacing w:line="240" w:lineRule="auto"/>
              <w:jc w:val="center"/>
            </w:pPr>
            <w:r>
              <w:rPr>
                <w:rFonts w:ascii="Times New Roman" w:hAnsi="Times New Roman" w:eastAsia="宋体"/>
                <w:b w:val="0"/>
                <w:sz w:val="21"/>
              </w:rPr>
              <w:t>22</w:t>
            </w:r>
          </w:p>
        </w:tc>
        <w:tc>
          <w:tcPr>
            <w:tcW w:type="dxa" w:w="2946"/>
          </w:tcPr>
          <w:p>
            <w:pPr>
              <w:spacing w:line="240" w:lineRule="auto"/>
              <w:jc w:val="center"/>
            </w:pPr>
            <w:r>
              <w:rPr>
                <w:rFonts w:ascii="Times New Roman" w:hAnsi="Times New Roman" w:eastAsia="宋体"/>
                <w:b w:val="0"/>
                <w:sz w:val="21"/>
              </w:rPr>
              <w:t>21%</w:t>
            </w:r>
          </w:p>
        </w:tc>
      </w:tr>
      <w:tr>
        <w:tc>
          <w:tcPr>
            <w:tcW w:type="dxa" w:w="2946"/>
          </w:tcPr>
          <w:p>
            <w:pPr>
              <w:spacing w:line="240" w:lineRule="auto"/>
              <w:jc w:val="left"/>
            </w:pPr>
            <w:r>
              <w:rPr>
                <w:rFonts w:ascii="Times New Roman" w:hAnsi="Times New Roman" w:eastAsia="宋体"/>
                <w:b w:val="0"/>
                <w:sz w:val="21"/>
              </w:rPr>
              <w:t>多目标权衡与指标定义</w:t>
            </w:r>
          </w:p>
        </w:tc>
        <w:tc>
          <w:tcPr>
            <w:tcW w:type="dxa" w:w="2946"/>
          </w:tcPr>
          <w:p>
            <w:pPr>
              <w:spacing w:line="240" w:lineRule="auto"/>
              <w:jc w:val="center"/>
            </w:pPr>
            <w:r>
              <w:rPr>
                <w:rFonts w:ascii="Times New Roman" w:hAnsi="Times New Roman" w:eastAsia="宋体"/>
                <w:b w:val="0"/>
                <w:sz w:val="21"/>
              </w:rPr>
              <w:t>21</w:t>
            </w:r>
          </w:p>
        </w:tc>
        <w:tc>
          <w:tcPr>
            <w:tcW w:type="dxa" w:w="2946"/>
          </w:tcPr>
          <w:p>
            <w:pPr>
              <w:spacing w:line="240" w:lineRule="auto"/>
              <w:jc w:val="center"/>
            </w:pPr>
            <w:r>
              <w:rPr>
                <w:rFonts w:ascii="Times New Roman" w:hAnsi="Times New Roman" w:eastAsia="宋体"/>
                <w:b w:val="0"/>
                <w:sz w:val="21"/>
              </w:rPr>
              <w:t>20%</w:t>
            </w:r>
          </w:p>
        </w:tc>
      </w:tr>
      <w:tr>
        <w:tc>
          <w:tcPr>
            <w:tcW w:type="dxa" w:w="2946"/>
          </w:tcPr>
          <w:p>
            <w:pPr>
              <w:spacing w:line="240" w:lineRule="auto"/>
              <w:jc w:val="left"/>
            </w:pPr>
            <w:r>
              <w:rPr>
                <w:rFonts w:ascii="Times New Roman" w:hAnsi="Times New Roman" w:eastAsia="宋体"/>
                <w:b w:val="0"/>
                <w:sz w:val="21"/>
              </w:rPr>
              <w:t>项目管理</w:t>
            </w:r>
          </w:p>
        </w:tc>
        <w:tc>
          <w:tcPr>
            <w:tcW w:type="dxa" w:w="2946"/>
          </w:tcPr>
          <w:p>
            <w:pPr>
              <w:spacing w:line="240" w:lineRule="auto"/>
              <w:jc w:val="center"/>
            </w:pPr>
            <w:r>
              <w:rPr>
                <w:rFonts w:ascii="Times New Roman" w:hAnsi="Times New Roman" w:eastAsia="宋体"/>
                <w:b w:val="0"/>
                <w:sz w:val="21"/>
              </w:rPr>
              <w:t>21</w:t>
            </w:r>
          </w:p>
        </w:tc>
        <w:tc>
          <w:tcPr>
            <w:tcW w:type="dxa" w:w="2946"/>
          </w:tcPr>
          <w:p>
            <w:pPr>
              <w:spacing w:line="240" w:lineRule="auto"/>
              <w:jc w:val="center"/>
            </w:pPr>
            <w:r>
              <w:rPr>
                <w:rFonts w:ascii="Times New Roman" w:hAnsi="Times New Roman" w:eastAsia="宋体"/>
                <w:b w:val="0"/>
                <w:sz w:val="21"/>
              </w:rPr>
              <w:t>20%</w:t>
            </w:r>
          </w:p>
        </w:tc>
      </w:tr>
    </w:tbl>
    <w:p>
      <w:pPr>
        <w:spacing w:before="40" w:after="160" w:line="240" w:lineRule="auto"/>
      </w:pPr>
      <w:r>
        <w:rPr>
          <w:rFonts w:ascii="Times New Roman" w:hAnsi="Times New Roman" w:eastAsia="宋体"/>
          <w:b w:val="0"/>
          <w:sz w:val="18"/>
        </w:rPr>
        <w:t>注：与人工智能相关的要求分层计为经验声明 25 岗、原型验证 17 岗、工程实现 18 岗、要求判断产出质量 6 岗；一条招聘需求可同时命中多个能力项，故各项占比之和大于百分之百。</w:t>
      </w:r>
    </w:p>
    <w:p>
      <w:pPr>
        <w:spacing w:after="0"/>
        <w:ind w:firstLine="480"/>
      </w:pPr>
      <w:r>
        <w:rPr>
          <w:rFonts w:ascii="Times New Roman" w:hAnsi="Times New Roman" w:eastAsia="宋体"/>
          <w:b w:val="0"/>
          <w:sz w:val="24"/>
        </w:rPr>
        <w:t>从选择编码所得到的核心范畴看，市场所要求的并非“设计岗”这一身份标签，而是一组跨岗位的动作能力，其中既有组织协调与项目推进的维度，也有研究判断与制造约束的维度。这一结果对社会学意义上的专业身份讨论具有直接含义：当雇主的筛选标准从资格标签转向可验证的行动能力时，学历与专业名称所能兑现的符号资本相应缩减，而作品、项目与可举证的工作方式成为新的评价依据。由此，设计教育所面对的问题并非单纯地增加课程门类，而是如何使学生在校期间获得可被外部识别的行动证据。</w:t>
      </w:r>
    </w:p>
    <w:p>
      <w:pPr>
        <w:spacing w:after="0"/>
        <w:ind w:firstLine="480"/>
      </w:pPr>
      <w:r>
        <w:rPr>
          <w:rFonts w:ascii="Times New Roman" w:hAnsi="Times New Roman" w:eastAsia="宋体"/>
          <w:b w:val="0"/>
          <w:sz w:val="24"/>
        </w:rPr>
        <w:t>国家与制度面的语料是国家与制度文本 9 件，包括国民经济与社会发展五年规划纲要、关于学校美育工作的政策意见、普通高等学校本科专业目录以及制造业设计能力提升相关的专项行动计划等。这类文本的主语是国家与产业而非个人，若直接套用个人能力框架，必然产生大量伪缺失，故编码以主题归纳为主，并保持主语警觉，不将政策任务转写为“学生应具备”的表述；同时对关键概念采取两种口径计数，即出现次数与包含该词的段落数分开统计。开放式编码得到九类政策任务，其覆盖范围包括设计服务制造升级、设计人才培养、学校美育、教科人才一体推进、人工智能优先布局、学科专业的制度性承认、文化强国与美学以及绿色转型。主轴编码将上述九类归为四个主范畴，即战略定位、教育与人才任务、价值与文化方向以及技术与绿色议程，如表 4 所示。</w:t>
      </w:r>
    </w:p>
    <w:p>
      <w:pPr>
        <w:spacing w:before="120" w:after="40"/>
        <w:jc w:val="center"/>
      </w:pPr>
      <w:r>
        <w:rPr>
          <w:rFonts w:ascii="Times New Roman" w:hAnsi="Times New Roman" w:eastAsia="黑体"/>
          <w:b w:val="0"/>
          <w:sz w:val="21"/>
        </w:rPr>
        <w:t>表 4　国家与制度面的政策任务编码</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946"/>
        <w:gridCol w:w="2946"/>
        <w:gridCol w:w="2946"/>
      </w:tblGrid>
      <w:tr>
        <w:tc>
          <w:tcPr>
            <w:tcW w:type="dxa" w:w="2946"/>
            <w:tcBorders>
              <w:bottom w:val="single" w:sz="6" w:color="000000"/>
            </w:tcBorders>
          </w:tcPr>
          <w:p>
            <w:pPr>
              <w:spacing w:line="240" w:lineRule="auto"/>
              <w:jc w:val="center"/>
            </w:pPr>
            <w:r/>
            <w:r>
              <w:rPr>
                <w:rFonts w:ascii="Times New Roman" w:hAnsi="Times New Roman" w:eastAsia="黑体"/>
                <w:b w:val="0"/>
                <w:sz w:val="21"/>
              </w:rPr>
              <w:t>主范畴</w:t>
            </w:r>
          </w:p>
        </w:tc>
        <w:tc>
          <w:tcPr>
            <w:tcW w:type="dxa" w:w="2946"/>
            <w:tcBorders>
              <w:bottom w:val="single" w:sz="6" w:color="000000"/>
            </w:tcBorders>
          </w:tcPr>
          <w:p>
            <w:pPr>
              <w:spacing w:line="240" w:lineRule="auto"/>
              <w:jc w:val="center"/>
            </w:pPr>
            <w:r/>
            <w:r>
              <w:rPr>
                <w:rFonts w:ascii="Times New Roman" w:hAnsi="Times New Roman" w:eastAsia="黑体"/>
                <w:b w:val="0"/>
                <w:sz w:val="21"/>
              </w:rPr>
              <w:t>政策任务（编号）</w:t>
            </w:r>
          </w:p>
        </w:tc>
        <w:tc>
          <w:tcPr>
            <w:tcW w:type="dxa" w:w="2946"/>
            <w:tcBorders>
              <w:bottom w:val="single" w:sz="6" w:color="000000"/>
            </w:tcBorders>
          </w:tcPr>
          <w:p>
            <w:pPr>
              <w:spacing w:line="240" w:lineRule="auto"/>
              <w:jc w:val="center"/>
            </w:pPr>
            <w:r/>
            <w:r>
              <w:rPr>
                <w:rFonts w:ascii="Times New Roman" w:hAnsi="Times New Roman" w:eastAsia="黑体"/>
                <w:b w:val="0"/>
                <w:sz w:val="21"/>
              </w:rPr>
              <w:t>代表性语句来源</w:t>
            </w:r>
          </w:p>
        </w:tc>
      </w:tr>
      <w:tr>
        <w:tc>
          <w:tcPr>
            <w:tcW w:type="dxa" w:w="2946"/>
          </w:tcPr>
          <w:p>
            <w:pPr>
              <w:spacing w:line="240" w:lineRule="auto"/>
              <w:jc w:val="left"/>
            </w:pPr>
            <w:r>
              <w:rPr>
                <w:rFonts w:ascii="Times New Roman" w:hAnsi="Times New Roman" w:eastAsia="宋体"/>
                <w:b w:val="0"/>
                <w:sz w:val="21"/>
              </w:rPr>
              <w:t>战略定位</w:t>
            </w:r>
          </w:p>
        </w:tc>
        <w:tc>
          <w:tcPr>
            <w:tcW w:type="dxa" w:w="2946"/>
          </w:tcPr>
          <w:p>
            <w:pPr>
              <w:spacing w:line="240" w:lineRule="auto"/>
              <w:jc w:val="left"/>
            </w:pPr>
            <w:r>
              <w:rPr>
                <w:rFonts w:ascii="Times New Roman" w:hAnsi="Times New Roman" w:eastAsia="宋体"/>
                <w:b w:val="0"/>
                <w:sz w:val="21"/>
              </w:rPr>
              <w:t>设计服务制造升级（P2）、学科专业的制度性承认（P7）</w:t>
            </w:r>
          </w:p>
        </w:tc>
        <w:tc>
          <w:tcPr>
            <w:tcW w:type="dxa" w:w="2946"/>
          </w:tcPr>
          <w:p>
            <w:pPr>
              <w:spacing w:line="240" w:lineRule="auto"/>
              <w:jc w:val="left"/>
            </w:pPr>
            <w:r>
              <w:rPr>
                <w:rFonts w:ascii="Times New Roman" w:hAnsi="Times New Roman" w:eastAsia="宋体"/>
                <w:b w:val="0"/>
                <w:sz w:val="21"/>
              </w:rPr>
              <w:t>制造业设计能力提升专项行动计划；普通高等学校本科专业目录（2025）</w:t>
            </w:r>
          </w:p>
        </w:tc>
      </w:tr>
      <w:tr>
        <w:tc>
          <w:tcPr>
            <w:tcW w:type="dxa" w:w="2946"/>
          </w:tcPr>
          <w:p>
            <w:pPr>
              <w:spacing w:line="240" w:lineRule="auto"/>
              <w:jc w:val="left"/>
            </w:pPr>
            <w:r>
              <w:rPr>
                <w:rFonts w:ascii="Times New Roman" w:hAnsi="Times New Roman" w:eastAsia="宋体"/>
                <w:b w:val="0"/>
                <w:sz w:val="21"/>
              </w:rPr>
              <w:t>教育与人才任务</w:t>
            </w:r>
          </w:p>
        </w:tc>
        <w:tc>
          <w:tcPr>
            <w:tcW w:type="dxa" w:w="2946"/>
          </w:tcPr>
          <w:p>
            <w:pPr>
              <w:spacing w:line="240" w:lineRule="auto"/>
              <w:jc w:val="left"/>
            </w:pPr>
            <w:r>
              <w:rPr>
                <w:rFonts w:ascii="Times New Roman" w:hAnsi="Times New Roman" w:eastAsia="宋体"/>
                <w:b w:val="0"/>
                <w:sz w:val="21"/>
              </w:rPr>
              <w:t>设计人才培养（P3）、教科人才一体推进（P5）</w:t>
            </w:r>
          </w:p>
        </w:tc>
        <w:tc>
          <w:tcPr>
            <w:tcW w:type="dxa" w:w="2946"/>
          </w:tcPr>
          <w:p>
            <w:pPr>
              <w:spacing w:line="240" w:lineRule="auto"/>
              <w:jc w:val="left"/>
            </w:pPr>
            <w:r>
              <w:rPr>
                <w:rFonts w:ascii="Times New Roman" w:hAnsi="Times New Roman" w:eastAsia="宋体"/>
                <w:b w:val="0"/>
                <w:sz w:val="21"/>
              </w:rPr>
              <w:t>关于学校美育工作的意见；五年规划纲要相关章节</w:t>
            </w:r>
          </w:p>
        </w:tc>
      </w:tr>
      <w:tr>
        <w:tc>
          <w:tcPr>
            <w:tcW w:type="dxa" w:w="2946"/>
          </w:tcPr>
          <w:p>
            <w:pPr>
              <w:spacing w:line="240" w:lineRule="auto"/>
              <w:jc w:val="left"/>
            </w:pPr>
            <w:r>
              <w:rPr>
                <w:rFonts w:ascii="Times New Roman" w:hAnsi="Times New Roman" w:eastAsia="宋体"/>
                <w:b w:val="0"/>
                <w:sz w:val="21"/>
              </w:rPr>
              <w:t>价值与文化方向</w:t>
            </w:r>
          </w:p>
        </w:tc>
        <w:tc>
          <w:tcPr>
            <w:tcW w:type="dxa" w:w="2946"/>
          </w:tcPr>
          <w:p>
            <w:pPr>
              <w:spacing w:line="240" w:lineRule="auto"/>
              <w:jc w:val="left"/>
            </w:pPr>
            <w:r>
              <w:rPr>
                <w:rFonts w:ascii="Times New Roman" w:hAnsi="Times New Roman" w:eastAsia="宋体"/>
                <w:b w:val="0"/>
                <w:sz w:val="21"/>
              </w:rPr>
              <w:t>学校美育（P4）、文化强国与美学（P8）</w:t>
            </w:r>
          </w:p>
        </w:tc>
        <w:tc>
          <w:tcPr>
            <w:tcW w:type="dxa" w:w="2946"/>
          </w:tcPr>
          <w:p>
            <w:pPr>
              <w:spacing w:line="240" w:lineRule="auto"/>
              <w:jc w:val="left"/>
            </w:pPr>
            <w:r>
              <w:rPr>
                <w:rFonts w:ascii="Times New Roman" w:hAnsi="Times New Roman" w:eastAsia="宋体"/>
                <w:b w:val="0"/>
                <w:sz w:val="21"/>
              </w:rPr>
              <w:t>学校美育工作意见；城市与建筑相关表述</w:t>
            </w:r>
          </w:p>
        </w:tc>
      </w:tr>
      <w:tr>
        <w:tc>
          <w:tcPr>
            <w:tcW w:type="dxa" w:w="2946"/>
          </w:tcPr>
          <w:p>
            <w:pPr>
              <w:spacing w:line="240" w:lineRule="auto"/>
              <w:jc w:val="left"/>
            </w:pPr>
            <w:r>
              <w:rPr>
                <w:rFonts w:ascii="Times New Roman" w:hAnsi="Times New Roman" w:eastAsia="宋体"/>
                <w:b w:val="0"/>
                <w:sz w:val="21"/>
              </w:rPr>
              <w:t>技术与绿色议程</w:t>
            </w:r>
          </w:p>
        </w:tc>
        <w:tc>
          <w:tcPr>
            <w:tcW w:type="dxa" w:w="2946"/>
          </w:tcPr>
          <w:p>
            <w:pPr>
              <w:spacing w:line="240" w:lineRule="auto"/>
              <w:jc w:val="left"/>
            </w:pPr>
            <w:r>
              <w:rPr>
                <w:rFonts w:ascii="Times New Roman" w:hAnsi="Times New Roman" w:eastAsia="宋体"/>
                <w:b w:val="0"/>
                <w:sz w:val="21"/>
              </w:rPr>
              <w:t>人工智能优先布局（P6）、绿色转型与绿色设计（P9）</w:t>
            </w:r>
          </w:p>
        </w:tc>
        <w:tc>
          <w:tcPr>
            <w:tcW w:type="dxa" w:w="2946"/>
          </w:tcPr>
          <w:p>
            <w:pPr>
              <w:spacing w:line="240" w:lineRule="auto"/>
              <w:jc w:val="left"/>
            </w:pPr>
            <w:r>
              <w:rPr>
                <w:rFonts w:ascii="Times New Roman" w:hAnsi="Times New Roman" w:eastAsia="宋体"/>
                <w:b w:val="0"/>
                <w:sz w:val="21"/>
              </w:rPr>
              <w:t>五年规划纲要；绿色制造相关政策</w:t>
            </w:r>
          </w:p>
        </w:tc>
      </w:tr>
    </w:tbl>
    <w:p>
      <w:pPr>
        <w:spacing w:after="0"/>
        <w:ind w:firstLine="480"/>
      </w:pPr>
      <w:r>
        <w:rPr>
          <w:rFonts w:ascii="Times New Roman" w:hAnsi="Times New Roman" w:eastAsia="宋体"/>
          <w:b w:val="0"/>
          <w:sz w:val="24"/>
        </w:rPr>
        <w:t>选择编码所得到的核心范畴是，国家话语属于任务型而非能力型：它回答的是国家要求产业与教育体系做什么，并不直接回答学生应当掌握什么；在九类任务中，可以直接转写为教育行动的仅有设计人才培养与教科人才一体推进两类，其余各类或指向产业能力，或指向文化价值，需要经由课程与学分等中介环节方能落到个体。这一结果提示，将政策文本直接等同于专业课程清单是一种范畴误置。政策议程向课程体系的转化并非自动完成，它依赖学科目录的调整、评价指标的设定与资源投入的配置，其间的转换环节正是教育研究需要观察的对象。</w:t>
      </w:r>
    </w:p>
    <w:p>
      <w:pPr>
        <w:spacing w:after="0"/>
        <w:ind w:firstLine="480"/>
      </w:pPr>
      <w:r>
        <w:rPr>
          <w:rFonts w:ascii="Times New Roman" w:hAnsi="Times New Roman" w:eastAsia="宋体"/>
          <w:b w:val="0"/>
          <w:sz w:val="24"/>
        </w:rPr>
        <w:t>环境与时代面的语料是国际组织发布的三期劳动力市场报告与若干趋势文献。这类材料的证据单位是主题、位次与词频，主语是预测机构与雇主联盟，其性质是面向未来的前瞻叙述，因此把“预期”表述为“要求”即构成越界。编码采用词边界扫描，并逐项核对图表标签与数值。开放式编码得到十个趋势主题，覆盖技能过时的常态化、人工智能素养进入主流、抗自动化的认知能力、人类专属能力、绿色议程的扩张、人口结构的分化、学习制度化及其不均、再培训的系统性成本、教育系统的内部张力以及设计角色的重新定位。主轴编码将十个主题归为五个主范畴，即技能变动压力、人工智能重构、人的保留位、宏观议程与教育系统响应，如表 5 所示。</w:t>
      </w:r>
    </w:p>
    <w:p>
      <w:pPr>
        <w:spacing w:before="120" w:after="40"/>
        <w:jc w:val="center"/>
      </w:pPr>
      <w:r>
        <w:rPr>
          <w:rFonts w:ascii="Times New Roman" w:hAnsi="Times New Roman" w:eastAsia="黑体"/>
          <w:b w:val="0"/>
          <w:sz w:val="21"/>
        </w:rPr>
        <w:t>表 5　环境与时代面的趋势主题编码</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主范畴</w:t>
            </w:r>
          </w:p>
        </w:tc>
        <w:tc>
          <w:tcPr>
            <w:tcW w:type="dxa" w:w="4419"/>
            <w:tcBorders>
              <w:bottom w:val="single" w:sz="6" w:color="000000"/>
            </w:tcBorders>
          </w:tcPr>
          <w:p>
            <w:pPr>
              <w:spacing w:line="240" w:lineRule="auto"/>
              <w:jc w:val="center"/>
            </w:pPr>
            <w:r/>
            <w:r>
              <w:rPr>
                <w:rFonts w:ascii="Times New Roman" w:hAnsi="Times New Roman" w:eastAsia="黑体"/>
                <w:b w:val="0"/>
                <w:sz w:val="21"/>
              </w:rPr>
              <w:t>趋势主题（编号）</w:t>
            </w:r>
          </w:p>
        </w:tc>
      </w:tr>
      <w:tr>
        <w:tc>
          <w:tcPr>
            <w:tcW w:type="dxa" w:w="4419"/>
          </w:tcPr>
          <w:p>
            <w:pPr>
              <w:spacing w:line="240" w:lineRule="auto"/>
              <w:jc w:val="left"/>
            </w:pPr>
            <w:r>
              <w:rPr>
                <w:rFonts w:ascii="Times New Roman" w:hAnsi="Times New Roman" w:eastAsia="宋体"/>
                <w:b w:val="0"/>
                <w:sz w:val="21"/>
              </w:rPr>
              <w:t>技能变动压力</w:t>
            </w:r>
          </w:p>
        </w:tc>
        <w:tc>
          <w:tcPr>
            <w:tcW w:type="dxa" w:w="4419"/>
          </w:tcPr>
          <w:p>
            <w:pPr>
              <w:spacing w:line="240" w:lineRule="auto"/>
              <w:jc w:val="left"/>
            </w:pPr>
            <w:r>
              <w:rPr>
                <w:rFonts w:ascii="Times New Roman" w:hAnsi="Times New Roman" w:eastAsia="宋体"/>
                <w:b w:val="0"/>
                <w:sz w:val="21"/>
              </w:rPr>
              <w:t>技能过时常态化（T1）、学习制度化且不均（T7）、再培训的系统性成本（T8）</w:t>
            </w:r>
          </w:p>
        </w:tc>
      </w:tr>
      <w:tr>
        <w:tc>
          <w:tcPr>
            <w:tcW w:type="dxa" w:w="4419"/>
          </w:tcPr>
          <w:p>
            <w:pPr>
              <w:spacing w:line="240" w:lineRule="auto"/>
              <w:jc w:val="left"/>
            </w:pPr>
            <w:r>
              <w:rPr>
                <w:rFonts w:ascii="Times New Roman" w:hAnsi="Times New Roman" w:eastAsia="宋体"/>
                <w:b w:val="0"/>
                <w:sz w:val="21"/>
              </w:rPr>
              <w:t>人工智能重构</w:t>
            </w:r>
          </w:p>
        </w:tc>
        <w:tc>
          <w:tcPr>
            <w:tcW w:type="dxa" w:w="4419"/>
          </w:tcPr>
          <w:p>
            <w:pPr>
              <w:spacing w:line="240" w:lineRule="auto"/>
              <w:jc w:val="left"/>
            </w:pPr>
            <w:r>
              <w:rPr>
                <w:rFonts w:ascii="Times New Roman" w:hAnsi="Times New Roman" w:eastAsia="宋体"/>
                <w:b w:val="0"/>
                <w:sz w:val="21"/>
              </w:rPr>
              <w:t>人工智能素养进入主流（T2）、设计角色重定位（T10）</w:t>
            </w:r>
          </w:p>
        </w:tc>
      </w:tr>
      <w:tr>
        <w:tc>
          <w:tcPr>
            <w:tcW w:type="dxa" w:w="4419"/>
          </w:tcPr>
          <w:p>
            <w:pPr>
              <w:spacing w:line="240" w:lineRule="auto"/>
              <w:jc w:val="left"/>
            </w:pPr>
            <w:r>
              <w:rPr>
                <w:rFonts w:ascii="Times New Roman" w:hAnsi="Times New Roman" w:eastAsia="宋体"/>
                <w:b w:val="0"/>
                <w:sz w:val="21"/>
              </w:rPr>
              <w:t>人的保留位</w:t>
            </w:r>
          </w:p>
        </w:tc>
        <w:tc>
          <w:tcPr>
            <w:tcW w:type="dxa" w:w="4419"/>
          </w:tcPr>
          <w:p>
            <w:pPr>
              <w:spacing w:line="240" w:lineRule="auto"/>
              <w:jc w:val="left"/>
            </w:pPr>
            <w:r>
              <w:rPr>
                <w:rFonts w:ascii="Times New Roman" w:hAnsi="Times New Roman" w:eastAsia="宋体"/>
                <w:b w:val="0"/>
                <w:sz w:val="21"/>
              </w:rPr>
              <w:t>抗自动化的认知（T3）、人类专属能力（T4）</w:t>
            </w:r>
          </w:p>
        </w:tc>
      </w:tr>
      <w:tr>
        <w:tc>
          <w:tcPr>
            <w:tcW w:type="dxa" w:w="4419"/>
          </w:tcPr>
          <w:p>
            <w:pPr>
              <w:spacing w:line="240" w:lineRule="auto"/>
              <w:jc w:val="left"/>
            </w:pPr>
            <w:r>
              <w:rPr>
                <w:rFonts w:ascii="Times New Roman" w:hAnsi="Times New Roman" w:eastAsia="宋体"/>
                <w:b w:val="0"/>
                <w:sz w:val="21"/>
              </w:rPr>
              <w:t>宏观议程</w:t>
            </w:r>
          </w:p>
        </w:tc>
        <w:tc>
          <w:tcPr>
            <w:tcW w:type="dxa" w:w="4419"/>
          </w:tcPr>
          <w:p>
            <w:pPr>
              <w:spacing w:line="240" w:lineRule="auto"/>
              <w:jc w:val="left"/>
            </w:pPr>
            <w:r>
              <w:rPr>
                <w:rFonts w:ascii="Times New Roman" w:hAnsi="Times New Roman" w:eastAsia="宋体"/>
                <w:b w:val="0"/>
                <w:sz w:val="21"/>
              </w:rPr>
              <w:t>绿色议程爆发（T5）、人口的双分化（T6）</w:t>
            </w:r>
          </w:p>
        </w:tc>
      </w:tr>
      <w:tr>
        <w:tc>
          <w:tcPr>
            <w:tcW w:type="dxa" w:w="4419"/>
          </w:tcPr>
          <w:p>
            <w:pPr>
              <w:spacing w:line="240" w:lineRule="auto"/>
              <w:jc w:val="left"/>
            </w:pPr>
            <w:r>
              <w:rPr>
                <w:rFonts w:ascii="Times New Roman" w:hAnsi="Times New Roman" w:eastAsia="宋体"/>
                <w:b w:val="0"/>
                <w:sz w:val="21"/>
              </w:rPr>
              <w:t>教育系统响应</w:t>
            </w:r>
          </w:p>
        </w:tc>
        <w:tc>
          <w:tcPr>
            <w:tcW w:type="dxa" w:w="4419"/>
          </w:tcPr>
          <w:p>
            <w:pPr>
              <w:spacing w:line="240" w:lineRule="auto"/>
              <w:jc w:val="left"/>
            </w:pPr>
            <w:r>
              <w:rPr>
                <w:rFonts w:ascii="Times New Roman" w:hAnsi="Times New Roman" w:eastAsia="宋体"/>
                <w:b w:val="0"/>
                <w:sz w:val="21"/>
              </w:rPr>
              <w:t>教育系统的内部张力（T9）</w:t>
            </w:r>
          </w:p>
        </w:tc>
      </w:tr>
    </w:tbl>
    <w:p>
      <w:pPr>
        <w:spacing w:after="0"/>
        <w:ind w:firstLine="480"/>
      </w:pPr>
      <w:r>
        <w:rPr>
          <w:rFonts w:ascii="Times New Roman" w:hAnsi="Times New Roman" w:eastAsia="宋体"/>
          <w:b w:val="0"/>
          <w:sz w:val="24"/>
        </w:rPr>
        <w:t>选择编码所得到的核心范畴是，趋势话语对设计教育的净指向在于，能力主张由制作转向判断与策展。这一指向并非已然的现实，而是经由预测装置所生产的未来想象：报告通过技能榜单、位次变动与词频变化等可比较的形式，把不确定的技术进程转译为可管理的议程，进而影响教育机构的资源配置与课程叙事。就本研究而言，只有进入招聘文本的那一部分趋势才构成已经兑现的证据，例如要求判断人工智能产出质量的 6 个岗位；其余部分应被理解为话语层面的预期，其影响需要通过课程决策的中介环节方能显现。</w:t>
      </w:r>
    </w:p>
    <w:p>
      <w:pPr>
        <w:spacing w:after="0"/>
        <w:ind w:firstLine="480"/>
      </w:pPr>
      <w:r>
        <w:rPr>
          <w:rFonts w:ascii="Times New Roman" w:hAnsi="Times New Roman" w:eastAsia="宋体"/>
          <w:b w:val="0"/>
          <w:sz w:val="24"/>
        </w:rPr>
        <w:t>出口路径面的语料是 2026 年国家公务员考试职位表，经结构化筛选后得到设计相关可报岗位 380 个。这类材料是结构化的门槛数据而非话语，其编码实质是分类计数，所用类型之间互斥。开放式编码得到五种专业限制形态，即全门类列举、六位专业代码、类目码与排除式表述、逐个写出专业名称以及宽泛表述，其岗位数分别为 16、50、27、228 与 59。主轴编码将上述形态归为三类门槛，即专业门槛、学历门槛与其他限制；其中点名具体设计专业的岗位仅 25 个，学历条件为“仅限本科”者 151 个，占设计相关可报岗位的 39.7%。各类门槛的分布如表 6 所示。</w:t>
      </w:r>
    </w:p>
    <w:p>
      <w:pPr>
        <w:spacing w:before="120" w:after="40"/>
        <w:jc w:val="center"/>
      </w:pPr>
      <w:r>
        <w:rPr>
          <w:rFonts w:ascii="Times New Roman" w:hAnsi="Times New Roman" w:eastAsia="黑体"/>
          <w:b w:val="0"/>
          <w:sz w:val="21"/>
        </w:rPr>
        <w:t>表 6　2026 年国考设计相关岗位的门槛类型</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209"/>
        <w:gridCol w:w="2209"/>
        <w:gridCol w:w="2209"/>
        <w:gridCol w:w="2209"/>
      </w:tblGrid>
      <w:tr>
        <w:tc>
          <w:tcPr>
            <w:tcW w:type="dxa" w:w="2209"/>
            <w:tcBorders>
              <w:bottom w:val="single" w:sz="6" w:color="000000"/>
            </w:tcBorders>
          </w:tcPr>
          <w:p>
            <w:pPr>
              <w:spacing w:line="240" w:lineRule="auto"/>
              <w:jc w:val="center"/>
            </w:pPr>
            <w:r/>
            <w:r>
              <w:rPr>
                <w:rFonts w:ascii="Times New Roman" w:hAnsi="Times New Roman" w:eastAsia="黑体"/>
                <w:b w:val="0"/>
                <w:sz w:val="21"/>
              </w:rPr>
              <w:t>门槛维度</w:t>
            </w:r>
          </w:p>
        </w:tc>
        <w:tc>
          <w:tcPr>
            <w:tcW w:type="dxa" w:w="2209"/>
            <w:tcBorders>
              <w:bottom w:val="single" w:sz="6" w:color="000000"/>
            </w:tcBorders>
          </w:tcPr>
          <w:p>
            <w:pPr>
              <w:spacing w:line="240" w:lineRule="auto"/>
              <w:jc w:val="center"/>
            </w:pPr>
            <w:r/>
            <w:r>
              <w:rPr>
                <w:rFonts w:ascii="Times New Roman" w:hAnsi="Times New Roman" w:eastAsia="黑体"/>
                <w:b w:val="0"/>
                <w:sz w:val="21"/>
              </w:rPr>
              <w:t>形态</w:t>
            </w:r>
          </w:p>
        </w:tc>
        <w:tc>
          <w:tcPr>
            <w:tcW w:type="dxa" w:w="2209"/>
            <w:tcBorders>
              <w:bottom w:val="single" w:sz="6" w:color="000000"/>
            </w:tcBorders>
          </w:tcPr>
          <w:p>
            <w:pPr>
              <w:spacing w:line="240" w:lineRule="auto"/>
              <w:jc w:val="center"/>
            </w:pPr>
            <w:r/>
            <w:r>
              <w:rPr>
                <w:rFonts w:ascii="Times New Roman" w:hAnsi="Times New Roman" w:eastAsia="黑体"/>
                <w:b w:val="0"/>
                <w:sz w:val="21"/>
              </w:rPr>
              <w:t>岗位数</w:t>
            </w:r>
          </w:p>
        </w:tc>
        <w:tc>
          <w:tcPr>
            <w:tcW w:type="dxa" w:w="2209"/>
            <w:tcBorders>
              <w:bottom w:val="single" w:sz="6" w:color="000000"/>
            </w:tcBorders>
          </w:tcPr>
          <w:p>
            <w:pPr>
              <w:spacing w:line="240" w:lineRule="auto"/>
              <w:jc w:val="center"/>
            </w:pPr>
            <w:r/>
            <w:r>
              <w:rPr>
                <w:rFonts w:ascii="Times New Roman" w:hAnsi="Times New Roman" w:eastAsia="黑体"/>
                <w:b w:val="0"/>
                <w:sz w:val="21"/>
              </w:rPr>
              <w:t>占比</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全门类列举</w:t>
            </w:r>
          </w:p>
        </w:tc>
        <w:tc>
          <w:tcPr>
            <w:tcW w:type="dxa" w:w="2209"/>
          </w:tcPr>
          <w:p>
            <w:pPr>
              <w:spacing w:line="240" w:lineRule="auto"/>
              <w:jc w:val="center"/>
            </w:pPr>
            <w:r>
              <w:rPr>
                <w:rFonts w:ascii="Times New Roman" w:hAnsi="Times New Roman" w:eastAsia="宋体"/>
                <w:b w:val="0"/>
                <w:sz w:val="21"/>
              </w:rPr>
              <w:t>16</w:t>
            </w:r>
          </w:p>
        </w:tc>
        <w:tc>
          <w:tcPr>
            <w:tcW w:type="dxa" w:w="2209"/>
          </w:tcPr>
          <w:p>
            <w:pPr>
              <w:spacing w:line="240" w:lineRule="auto"/>
              <w:jc w:val="center"/>
            </w:pPr>
            <w:r>
              <w:rPr>
                <w:rFonts w:ascii="Times New Roman" w:hAnsi="Times New Roman" w:eastAsia="宋体"/>
                <w:b w:val="0"/>
                <w:sz w:val="21"/>
              </w:rPr>
              <w:t>4.2%</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六位专业代码</w:t>
            </w:r>
          </w:p>
        </w:tc>
        <w:tc>
          <w:tcPr>
            <w:tcW w:type="dxa" w:w="2209"/>
          </w:tcPr>
          <w:p>
            <w:pPr>
              <w:spacing w:line="240" w:lineRule="auto"/>
              <w:jc w:val="center"/>
            </w:pPr>
            <w:r>
              <w:rPr>
                <w:rFonts w:ascii="Times New Roman" w:hAnsi="Times New Roman" w:eastAsia="宋体"/>
                <w:b w:val="0"/>
                <w:sz w:val="21"/>
              </w:rPr>
              <w:t>50</w:t>
            </w:r>
          </w:p>
        </w:tc>
        <w:tc>
          <w:tcPr>
            <w:tcW w:type="dxa" w:w="2209"/>
          </w:tcPr>
          <w:p>
            <w:pPr>
              <w:spacing w:line="240" w:lineRule="auto"/>
              <w:jc w:val="center"/>
            </w:pPr>
            <w:r>
              <w:rPr>
                <w:rFonts w:ascii="Times New Roman" w:hAnsi="Times New Roman" w:eastAsia="宋体"/>
                <w:b w:val="0"/>
                <w:sz w:val="21"/>
              </w:rPr>
              <w:t>13.2%</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类目码与排除式表述</w:t>
            </w:r>
          </w:p>
        </w:tc>
        <w:tc>
          <w:tcPr>
            <w:tcW w:type="dxa" w:w="2209"/>
          </w:tcPr>
          <w:p>
            <w:pPr>
              <w:spacing w:line="240" w:lineRule="auto"/>
              <w:jc w:val="center"/>
            </w:pPr>
            <w:r>
              <w:rPr>
                <w:rFonts w:ascii="Times New Roman" w:hAnsi="Times New Roman" w:eastAsia="宋体"/>
                <w:b w:val="0"/>
                <w:sz w:val="21"/>
              </w:rPr>
              <w:t>27</w:t>
            </w:r>
          </w:p>
        </w:tc>
        <w:tc>
          <w:tcPr>
            <w:tcW w:type="dxa" w:w="2209"/>
          </w:tcPr>
          <w:p>
            <w:pPr>
              <w:spacing w:line="240" w:lineRule="auto"/>
              <w:jc w:val="center"/>
            </w:pPr>
            <w:r>
              <w:rPr>
                <w:rFonts w:ascii="Times New Roman" w:hAnsi="Times New Roman" w:eastAsia="宋体"/>
                <w:b w:val="0"/>
                <w:sz w:val="21"/>
              </w:rPr>
              <w:t>7.1%</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逐个写出专业名称</w:t>
            </w:r>
          </w:p>
        </w:tc>
        <w:tc>
          <w:tcPr>
            <w:tcW w:type="dxa" w:w="2209"/>
          </w:tcPr>
          <w:p>
            <w:pPr>
              <w:spacing w:line="240" w:lineRule="auto"/>
              <w:jc w:val="center"/>
            </w:pPr>
            <w:r>
              <w:rPr>
                <w:rFonts w:ascii="Times New Roman" w:hAnsi="Times New Roman" w:eastAsia="宋体"/>
                <w:b w:val="0"/>
                <w:sz w:val="21"/>
              </w:rPr>
              <w:t>228</w:t>
            </w:r>
          </w:p>
        </w:tc>
        <w:tc>
          <w:tcPr>
            <w:tcW w:type="dxa" w:w="2209"/>
          </w:tcPr>
          <w:p>
            <w:pPr>
              <w:spacing w:line="240" w:lineRule="auto"/>
              <w:jc w:val="center"/>
            </w:pPr>
            <w:r>
              <w:rPr>
                <w:rFonts w:ascii="Times New Roman" w:hAnsi="Times New Roman" w:eastAsia="宋体"/>
                <w:b w:val="0"/>
                <w:sz w:val="21"/>
              </w:rPr>
              <w:t>60.0%</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宽泛表述（相关专业）</w:t>
            </w:r>
          </w:p>
        </w:tc>
        <w:tc>
          <w:tcPr>
            <w:tcW w:type="dxa" w:w="2209"/>
          </w:tcPr>
          <w:p>
            <w:pPr>
              <w:spacing w:line="240" w:lineRule="auto"/>
              <w:jc w:val="center"/>
            </w:pPr>
            <w:r>
              <w:rPr>
                <w:rFonts w:ascii="Times New Roman" w:hAnsi="Times New Roman" w:eastAsia="宋体"/>
                <w:b w:val="0"/>
                <w:sz w:val="21"/>
              </w:rPr>
              <w:t>59</w:t>
            </w:r>
          </w:p>
        </w:tc>
        <w:tc>
          <w:tcPr>
            <w:tcW w:type="dxa" w:w="2209"/>
          </w:tcPr>
          <w:p>
            <w:pPr>
              <w:spacing w:line="240" w:lineRule="auto"/>
              <w:jc w:val="center"/>
            </w:pPr>
            <w:r>
              <w:rPr>
                <w:rFonts w:ascii="Times New Roman" w:hAnsi="Times New Roman" w:eastAsia="宋体"/>
                <w:b w:val="0"/>
                <w:sz w:val="21"/>
              </w:rPr>
              <w:t>15.5%</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小计</w:t>
            </w:r>
          </w:p>
        </w:tc>
        <w:tc>
          <w:tcPr>
            <w:tcW w:type="dxa" w:w="2209"/>
          </w:tcPr>
          <w:p>
            <w:pPr>
              <w:spacing w:line="240" w:lineRule="auto"/>
              <w:jc w:val="center"/>
            </w:pPr>
            <w:r>
              <w:rPr>
                <w:rFonts w:ascii="Times New Roman" w:hAnsi="Times New Roman" w:eastAsia="宋体"/>
                <w:b w:val="0"/>
                <w:sz w:val="21"/>
              </w:rPr>
              <w:t>380</w:t>
            </w:r>
          </w:p>
        </w:tc>
        <w:tc>
          <w:tcPr>
            <w:tcW w:type="dxa" w:w="2209"/>
          </w:tcPr>
          <w:p>
            <w:pPr>
              <w:spacing w:line="240" w:lineRule="auto"/>
              <w:jc w:val="center"/>
            </w:pPr>
            <w:r>
              <w:rPr>
                <w:rFonts w:ascii="Times New Roman" w:hAnsi="Times New Roman" w:eastAsia="宋体"/>
                <w:b w:val="0"/>
                <w:sz w:val="21"/>
              </w:rPr>
              <w:t>100%</w:t>
            </w:r>
          </w:p>
        </w:tc>
      </w:tr>
      <w:tr>
        <w:tc>
          <w:tcPr>
            <w:tcW w:type="dxa" w:w="2209"/>
          </w:tcPr>
          <w:p>
            <w:pPr>
              <w:spacing w:line="240" w:lineRule="auto"/>
              <w:jc w:val="left"/>
            </w:pPr>
            <w:r>
              <w:rPr>
                <w:rFonts w:ascii="Times New Roman" w:hAnsi="Times New Roman" w:eastAsia="宋体"/>
                <w:b w:val="0"/>
                <w:sz w:val="21"/>
              </w:rPr>
              <w:t>学历门槛</w:t>
            </w:r>
          </w:p>
        </w:tc>
        <w:tc>
          <w:tcPr>
            <w:tcW w:type="dxa" w:w="2209"/>
          </w:tcPr>
          <w:p>
            <w:pPr>
              <w:spacing w:line="240" w:lineRule="auto"/>
              <w:jc w:val="left"/>
            </w:pPr>
            <w:r>
              <w:rPr>
                <w:rFonts w:ascii="Times New Roman" w:hAnsi="Times New Roman" w:eastAsia="宋体"/>
                <w:b w:val="0"/>
                <w:sz w:val="21"/>
              </w:rPr>
              <w:t>仅限本科</w:t>
            </w:r>
          </w:p>
        </w:tc>
        <w:tc>
          <w:tcPr>
            <w:tcW w:type="dxa" w:w="2209"/>
          </w:tcPr>
          <w:p>
            <w:pPr>
              <w:spacing w:line="240" w:lineRule="auto"/>
              <w:jc w:val="center"/>
            </w:pPr>
            <w:r>
              <w:rPr>
                <w:rFonts w:ascii="Times New Roman" w:hAnsi="Times New Roman" w:eastAsia="宋体"/>
                <w:b w:val="0"/>
                <w:sz w:val="21"/>
              </w:rPr>
              <w:t>151</w:t>
            </w:r>
          </w:p>
        </w:tc>
        <w:tc>
          <w:tcPr>
            <w:tcW w:type="dxa" w:w="2209"/>
          </w:tcPr>
          <w:p>
            <w:pPr>
              <w:spacing w:line="240" w:lineRule="auto"/>
              <w:jc w:val="center"/>
            </w:pPr>
            <w:r>
              <w:rPr>
                <w:rFonts w:ascii="Times New Roman" w:hAnsi="Times New Roman" w:eastAsia="宋体"/>
                <w:b w:val="0"/>
                <w:sz w:val="21"/>
              </w:rPr>
              <w:t>39.7%</w:t>
            </w:r>
          </w:p>
        </w:tc>
      </w:tr>
      <w:tr>
        <w:tc>
          <w:tcPr>
            <w:tcW w:type="dxa" w:w="2209"/>
          </w:tcPr>
          <w:p>
            <w:pPr>
              <w:spacing w:line="240" w:lineRule="auto"/>
              <w:jc w:val="left"/>
            </w:pPr>
            <w:r>
              <w:rPr>
                <w:rFonts w:ascii="Times New Roman" w:hAnsi="Times New Roman" w:eastAsia="宋体"/>
                <w:b w:val="0"/>
                <w:sz w:val="21"/>
              </w:rPr>
              <w:t>其他限制</w:t>
            </w:r>
          </w:p>
        </w:tc>
        <w:tc>
          <w:tcPr>
            <w:tcW w:type="dxa" w:w="2209"/>
          </w:tcPr>
          <w:p>
            <w:pPr>
              <w:spacing w:line="240" w:lineRule="auto"/>
              <w:jc w:val="left"/>
            </w:pPr>
            <w:r>
              <w:rPr>
                <w:rFonts w:ascii="Times New Roman" w:hAnsi="Times New Roman" w:eastAsia="宋体"/>
                <w:b w:val="0"/>
                <w:sz w:val="21"/>
              </w:rPr>
              <w:t>政治面貌、基层工作经历等</w:t>
            </w:r>
          </w:p>
        </w:tc>
        <w:tc>
          <w:tcPr>
            <w:tcW w:type="dxa" w:w="2209"/>
          </w:tcPr>
          <w:p>
            <w:pPr>
              <w:spacing w:line="240" w:lineRule="auto"/>
              <w:jc w:val="left"/>
            </w:pPr>
            <w:r>
              <w:rPr>
                <w:rFonts w:ascii="Times New Roman" w:hAnsi="Times New Roman" w:eastAsia="宋体"/>
                <w:b w:val="0"/>
                <w:sz w:val="21"/>
              </w:rPr>
              <w:t>未逐项统计</w:t>
            </w:r>
          </w:p>
        </w:tc>
        <w:tc>
          <w:tcPr>
            <w:tcW w:type="dxa" w:w="2209"/>
          </w:tcPr>
          <w:p>
            <w:pPr>
              <w:spacing w:line="240" w:lineRule="auto"/>
              <w:jc w:val="center"/>
            </w:pPr>
            <w:r>
              <w:rPr>
                <w:rFonts w:ascii="Times New Roman" w:hAnsi="Times New Roman" w:eastAsia="宋体"/>
                <w:b w:val="0"/>
                <w:sz w:val="21"/>
              </w:rPr>
              <w:t>—</w:t>
            </w:r>
          </w:p>
        </w:tc>
      </w:tr>
      <w:tr>
        <w:tc>
          <w:tcPr>
            <w:tcW w:type="dxa" w:w="2209"/>
          </w:tcPr>
          <w:p>
            <w:pPr>
              <w:spacing w:line="240" w:lineRule="auto"/>
              <w:jc w:val="left"/>
            </w:pPr>
            <w:r>
              <w:rPr>
                <w:rFonts w:ascii="Times New Roman" w:hAnsi="Times New Roman" w:eastAsia="宋体"/>
                <w:b w:val="0"/>
                <w:sz w:val="21"/>
              </w:rPr>
              <w:t>特殊情形</w:t>
            </w:r>
          </w:p>
        </w:tc>
        <w:tc>
          <w:tcPr>
            <w:tcW w:type="dxa" w:w="2209"/>
          </w:tcPr>
          <w:p>
            <w:pPr>
              <w:spacing w:line="240" w:lineRule="auto"/>
              <w:jc w:val="left"/>
            </w:pPr>
            <w:r>
              <w:rPr>
                <w:rFonts w:ascii="Times New Roman" w:hAnsi="Times New Roman" w:eastAsia="宋体"/>
                <w:b w:val="0"/>
                <w:sz w:val="21"/>
              </w:rPr>
              <w:t>点名具体艺术设计专业</w:t>
            </w:r>
          </w:p>
        </w:tc>
        <w:tc>
          <w:tcPr>
            <w:tcW w:type="dxa" w:w="2209"/>
          </w:tcPr>
          <w:p>
            <w:pPr>
              <w:spacing w:line="240" w:lineRule="auto"/>
              <w:jc w:val="center"/>
            </w:pPr>
            <w:r>
              <w:rPr>
                <w:rFonts w:ascii="Times New Roman" w:hAnsi="Times New Roman" w:eastAsia="宋体"/>
                <w:b w:val="0"/>
                <w:sz w:val="21"/>
              </w:rPr>
              <w:t>25</w:t>
            </w:r>
          </w:p>
        </w:tc>
        <w:tc>
          <w:tcPr>
            <w:tcW w:type="dxa" w:w="2209"/>
          </w:tcPr>
          <w:p>
            <w:pPr>
              <w:spacing w:line="240" w:lineRule="auto"/>
              <w:jc w:val="center"/>
            </w:pPr>
            <w:r>
              <w:rPr>
                <w:rFonts w:ascii="Times New Roman" w:hAnsi="Times New Roman" w:eastAsia="宋体"/>
                <w:b w:val="0"/>
                <w:sz w:val="21"/>
              </w:rPr>
              <w:t>6.6%</w:t>
            </w:r>
          </w:p>
        </w:tc>
      </w:tr>
    </w:tbl>
    <w:p>
      <w:pPr>
        <w:spacing w:before="40" w:after="160" w:line="240" w:lineRule="auto"/>
      </w:pPr>
      <w:r>
        <w:rPr>
          <w:rFonts w:ascii="Times New Roman" w:hAnsi="Times New Roman" w:eastAsia="宋体"/>
          <w:b w:val="0"/>
          <w:sz w:val="18"/>
        </w:rPr>
        <w:t>注：专业门槛五种形态互斥，合计为设计相关可报岗位 380 个；学历门槛与特殊情形属于另一维度，占比以同一分母 380 计算，故不与专业门槛相加。</w:t>
      </w:r>
    </w:p>
    <w:p>
      <w:pPr>
        <w:spacing w:after="0"/>
        <w:ind w:firstLine="480"/>
      </w:pPr>
      <w:r>
        <w:rPr>
          <w:rFonts w:ascii="Times New Roman" w:hAnsi="Times New Roman" w:eastAsia="宋体"/>
          <w:b w:val="0"/>
          <w:sz w:val="24"/>
        </w:rPr>
        <w:t>选择编码所得到的核心范畴是，出口路径对“设计专业”几乎不设限，而对“研究生”反向设限。与之形成对照的是，市场侧的学历门槛相对罕见，全量职位池中不提学历要求者占多数。这一错位具有制度社会学的含义：公共部门的招录标准倾向于以学历与专业名称作为分类依据，而市场的评价标准更依赖可举证的能力与项目经历；两种标准在同一批学生身上叠加，使得读研的收益需要在市场端而非在公共部门的入口处兑现。就教育决策而言，这意味着课程改革不能以单一的“升学”或“就业”目标为默认前提，而须承认学生的出口结构本身是分化的。</w:t>
      </w:r>
    </w:p>
    <w:p>
      <w:pPr>
        <w:spacing w:before="240" w:after="120"/>
      </w:pPr>
      <w:r>
        <w:rPr>
          <w:rFonts w:ascii="Times New Roman" w:hAnsi="Times New Roman" w:eastAsia="黑体"/>
          <w:b/>
          <w:sz w:val="28"/>
        </w:rPr>
        <w:t>五、学校已教什么</w:t>
      </w:r>
    </w:p>
    <w:p>
      <w:pPr>
        <w:spacing w:after="0"/>
        <w:ind w:firstLine="480"/>
      </w:pPr>
      <w:r>
        <w:rPr>
          <w:rFonts w:ascii="Times New Roman" w:hAnsi="Times New Roman" w:eastAsia="宋体"/>
          <w:b w:val="0"/>
          <w:sz w:val="24"/>
        </w:rPr>
        <w:t>供给面的材料是国内外 16 所院校的设计类研究生培养方案，其中 14 所能够取得课程名称一级的数据，另有 2 所仅有项目介绍或校级通则，不足以进入课程层的比较。材料来源分为三档并在附录中逐件标注：官方原件、互联网档案馆快照与第三方转载；其中第三方转载件只作方向结构的参考，不用于判断某门课程首次出现的年份。观测单位是课程名称，不含教学大纲与教学内容，因此本节的判断一律以名义层为限。此外，研究对部分院校做了年份之间的纵向对照，用于观察课程体系的调整方式。</w:t>
      </w:r>
    </w:p>
    <w:p>
      <w:pPr>
        <w:spacing w:after="0"/>
        <w:ind w:firstLine="480"/>
      </w:pPr>
      <w:r>
        <w:rPr>
          <w:rFonts w:ascii="Times New Roman" w:hAnsi="Times New Roman" w:eastAsia="宋体"/>
          <w:b w:val="0"/>
          <w:sz w:val="24"/>
        </w:rPr>
        <w:t>在数据处理上，课程名称先归入八类范畴，即智能与技术、方法与流程、理论与史论、实践与项目、人文与社会、管理与商业、技法与媒介以及公共必修与语言；随后编制跨源对照矩阵，把 28 项能力与供给、国家、时代三类文本逐格对映，对映关系分为同义、上位或下位以及相关三级，并另设一份框架外范畴的登记，用于记录那些有证据可循而能力框架容纳不下的内容。课程范畴的分布如表 7 所示。</w:t>
      </w:r>
    </w:p>
    <w:p>
      <w:pPr>
        <w:spacing w:before="120" w:after="40"/>
        <w:jc w:val="center"/>
      </w:pPr>
      <w:r>
        <w:rPr>
          <w:rFonts w:ascii="Times New Roman" w:hAnsi="Times New Roman" w:eastAsia="黑体"/>
          <w:b w:val="0"/>
          <w:sz w:val="21"/>
        </w:rPr>
        <w:t>表 7　16 所院校课程范畴分布与时间差集</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观测项</w:t>
            </w:r>
          </w:p>
        </w:tc>
        <w:tc>
          <w:tcPr>
            <w:tcW w:type="dxa" w:w="4419"/>
            <w:tcBorders>
              <w:bottom w:val="single" w:sz="6" w:color="000000"/>
            </w:tcBorders>
          </w:tcPr>
          <w:p>
            <w:pPr>
              <w:spacing w:line="240" w:lineRule="auto"/>
              <w:jc w:val="center"/>
            </w:pPr>
            <w:r/>
            <w:r>
              <w:rPr>
                <w:rFonts w:ascii="Times New Roman" w:hAnsi="Times New Roman" w:eastAsia="黑体"/>
                <w:b w:val="0"/>
                <w:sz w:val="21"/>
              </w:rPr>
              <w:t>结果</w:t>
            </w:r>
          </w:p>
        </w:tc>
      </w:tr>
      <w:tr>
        <w:tc>
          <w:tcPr>
            <w:tcW w:type="dxa" w:w="4419"/>
          </w:tcPr>
          <w:p>
            <w:pPr>
              <w:spacing w:line="240" w:lineRule="auto"/>
              <w:jc w:val="left"/>
            </w:pPr>
            <w:r>
              <w:rPr>
                <w:rFonts w:ascii="Times New Roman" w:hAnsi="Times New Roman" w:eastAsia="宋体"/>
                <w:b w:val="0"/>
                <w:sz w:val="21"/>
              </w:rPr>
              <w:t>实践与项目类</w:t>
            </w:r>
          </w:p>
        </w:tc>
        <w:tc>
          <w:tcPr>
            <w:tcW w:type="dxa" w:w="4419"/>
          </w:tcPr>
          <w:p>
            <w:pPr>
              <w:spacing w:line="240" w:lineRule="auto"/>
              <w:jc w:val="left"/>
            </w:pPr>
            <w:r>
              <w:rPr>
                <w:rFonts w:ascii="Times New Roman" w:hAnsi="Times New Roman" w:eastAsia="宋体"/>
                <w:b w:val="0"/>
                <w:sz w:val="21"/>
              </w:rPr>
              <w:t>14 所院校全部命中</w:t>
            </w:r>
          </w:p>
        </w:tc>
      </w:tr>
      <w:tr>
        <w:tc>
          <w:tcPr>
            <w:tcW w:type="dxa" w:w="4419"/>
          </w:tcPr>
          <w:p>
            <w:pPr>
              <w:spacing w:line="240" w:lineRule="auto"/>
              <w:jc w:val="left"/>
            </w:pPr>
            <w:r>
              <w:rPr>
                <w:rFonts w:ascii="Times New Roman" w:hAnsi="Times New Roman" w:eastAsia="宋体"/>
                <w:b w:val="0"/>
                <w:sz w:val="21"/>
              </w:rPr>
              <w:t>技法与媒介类</w:t>
            </w:r>
          </w:p>
        </w:tc>
        <w:tc>
          <w:tcPr>
            <w:tcW w:type="dxa" w:w="4419"/>
          </w:tcPr>
          <w:p>
            <w:pPr>
              <w:spacing w:line="240" w:lineRule="auto"/>
              <w:jc w:val="left"/>
            </w:pPr>
            <w:r>
              <w:rPr>
                <w:rFonts w:ascii="Times New Roman" w:hAnsi="Times New Roman" w:eastAsia="宋体"/>
                <w:b w:val="0"/>
                <w:sz w:val="21"/>
              </w:rPr>
              <w:t>13 所院校命中</w:t>
            </w:r>
          </w:p>
        </w:tc>
      </w:tr>
      <w:tr>
        <w:tc>
          <w:tcPr>
            <w:tcW w:type="dxa" w:w="4419"/>
          </w:tcPr>
          <w:p>
            <w:pPr>
              <w:spacing w:line="240" w:lineRule="auto"/>
              <w:jc w:val="left"/>
            </w:pPr>
            <w:r>
              <w:rPr>
                <w:rFonts w:ascii="Times New Roman" w:hAnsi="Times New Roman" w:eastAsia="宋体"/>
                <w:b w:val="0"/>
                <w:sz w:val="21"/>
              </w:rPr>
              <w:t>智能与技术类</w:t>
            </w:r>
          </w:p>
        </w:tc>
        <w:tc>
          <w:tcPr>
            <w:tcW w:type="dxa" w:w="4419"/>
          </w:tcPr>
          <w:p>
            <w:pPr>
              <w:spacing w:line="240" w:lineRule="auto"/>
              <w:jc w:val="left"/>
            </w:pPr>
            <w:r>
              <w:rPr>
                <w:rFonts w:ascii="Times New Roman" w:hAnsi="Times New Roman" w:eastAsia="宋体"/>
                <w:b w:val="0"/>
                <w:sz w:val="21"/>
              </w:rPr>
              <w:t>非普遍配置；本学院 2026 级与中央美术学院 2022 级精确匹配 0；同济大学 2025 级 135700 硕士口径 21 门</w:t>
            </w:r>
          </w:p>
        </w:tc>
      </w:tr>
      <w:tr>
        <w:tc>
          <w:tcPr>
            <w:tcW w:type="dxa" w:w="4419"/>
          </w:tcPr>
          <w:p>
            <w:pPr>
              <w:spacing w:line="240" w:lineRule="auto"/>
              <w:jc w:val="left"/>
            </w:pPr>
            <w:r>
              <w:rPr>
                <w:rFonts w:ascii="Times New Roman" w:hAnsi="Times New Roman" w:eastAsia="宋体"/>
                <w:b w:val="0"/>
                <w:sz w:val="21"/>
              </w:rPr>
              <w:t>设计系统与组件库类专课</w:t>
            </w:r>
          </w:p>
        </w:tc>
        <w:tc>
          <w:tcPr>
            <w:tcW w:type="dxa" w:w="4419"/>
          </w:tcPr>
          <w:p>
            <w:pPr>
              <w:spacing w:line="240" w:lineRule="auto"/>
              <w:jc w:val="left"/>
            </w:pPr>
            <w:r>
              <w:rPr>
                <w:rFonts w:ascii="Times New Roman" w:hAnsi="Times New Roman" w:eastAsia="宋体"/>
                <w:b w:val="0"/>
                <w:sz w:val="21"/>
              </w:rPr>
              <w:t>14 所院校未见对应专课</w:t>
            </w:r>
          </w:p>
        </w:tc>
      </w:tr>
      <w:tr>
        <w:tc>
          <w:tcPr>
            <w:tcW w:type="dxa" w:w="4419"/>
          </w:tcPr>
          <w:p>
            <w:pPr>
              <w:spacing w:line="240" w:lineRule="auto"/>
              <w:jc w:val="left"/>
            </w:pPr>
            <w:r>
              <w:rPr>
                <w:rFonts w:ascii="Times New Roman" w:hAnsi="Times New Roman" w:eastAsia="宋体"/>
                <w:b w:val="0"/>
                <w:sz w:val="21"/>
              </w:rPr>
              <w:t>湖南大学纵向对照</w:t>
            </w:r>
          </w:p>
        </w:tc>
        <w:tc>
          <w:tcPr>
            <w:tcW w:type="dxa" w:w="4419"/>
          </w:tcPr>
          <w:p>
            <w:pPr>
              <w:spacing w:line="240" w:lineRule="auto"/>
              <w:jc w:val="left"/>
            </w:pPr>
            <w:r>
              <w:rPr>
                <w:rFonts w:ascii="Times New Roman" w:hAnsi="Times New Roman" w:eastAsia="宋体"/>
                <w:b w:val="0"/>
                <w:sz w:val="21"/>
              </w:rPr>
              <w:t>2019 级至 2026 级课程名相同者 2 门</w:t>
            </w:r>
          </w:p>
        </w:tc>
      </w:tr>
      <w:tr>
        <w:tc>
          <w:tcPr>
            <w:tcW w:type="dxa" w:w="4419"/>
          </w:tcPr>
          <w:p>
            <w:pPr>
              <w:spacing w:line="240" w:lineRule="auto"/>
              <w:jc w:val="left"/>
            </w:pPr>
            <w:r>
              <w:rPr>
                <w:rFonts w:ascii="Times New Roman" w:hAnsi="Times New Roman" w:eastAsia="宋体"/>
                <w:b w:val="0"/>
                <w:sz w:val="21"/>
              </w:rPr>
              <w:t>中央美术学院纵向对照</w:t>
            </w:r>
          </w:p>
        </w:tc>
        <w:tc>
          <w:tcPr>
            <w:tcW w:type="dxa" w:w="4419"/>
          </w:tcPr>
          <w:p>
            <w:pPr>
              <w:spacing w:line="240" w:lineRule="auto"/>
              <w:jc w:val="left"/>
            </w:pPr>
            <w:r>
              <w:rPr>
                <w:rFonts w:ascii="Times New Roman" w:hAnsi="Times New Roman" w:eastAsia="宋体"/>
                <w:b w:val="0"/>
                <w:sz w:val="21"/>
              </w:rPr>
              <w:t>2022 级至 2024 级字面同名者 0</w:t>
            </w:r>
          </w:p>
        </w:tc>
      </w:tr>
      <w:tr>
        <w:tc>
          <w:tcPr>
            <w:tcW w:type="dxa" w:w="4419"/>
          </w:tcPr>
          <w:p>
            <w:pPr>
              <w:spacing w:line="240" w:lineRule="auto"/>
              <w:jc w:val="left"/>
            </w:pPr>
            <w:r>
              <w:rPr>
                <w:rFonts w:ascii="Times New Roman" w:hAnsi="Times New Roman" w:eastAsia="宋体"/>
                <w:b w:val="0"/>
                <w:sz w:val="21"/>
              </w:rPr>
              <w:t>米兰理工大学纵向对照</w:t>
            </w:r>
          </w:p>
        </w:tc>
        <w:tc>
          <w:tcPr>
            <w:tcW w:type="dxa" w:w="4419"/>
          </w:tcPr>
          <w:p>
            <w:pPr>
              <w:spacing w:line="240" w:lineRule="auto"/>
              <w:jc w:val="left"/>
            </w:pPr>
            <w:r>
              <w:rPr>
                <w:rFonts w:ascii="Times New Roman" w:hAnsi="Times New Roman" w:eastAsia="宋体"/>
                <w:b w:val="0"/>
                <w:sz w:val="21"/>
              </w:rPr>
              <w:t>课程名对照行数由 184 降至 157</w:t>
            </w:r>
          </w:p>
        </w:tc>
      </w:tr>
      <w:tr>
        <w:tc>
          <w:tcPr>
            <w:tcW w:type="dxa" w:w="4419"/>
          </w:tcPr>
          <w:p>
            <w:pPr>
              <w:spacing w:line="240" w:lineRule="auto"/>
              <w:jc w:val="left"/>
            </w:pPr>
            <w:r>
              <w:rPr>
                <w:rFonts w:ascii="Times New Roman" w:hAnsi="Times New Roman" w:eastAsia="宋体"/>
                <w:b w:val="0"/>
                <w:sz w:val="21"/>
              </w:rPr>
              <w:t>Aalto 大学纵向对照</w:t>
            </w:r>
          </w:p>
        </w:tc>
        <w:tc>
          <w:tcPr>
            <w:tcW w:type="dxa" w:w="4419"/>
          </w:tcPr>
          <w:p>
            <w:pPr>
              <w:spacing w:line="240" w:lineRule="auto"/>
              <w:jc w:val="left"/>
            </w:pPr>
            <w:r>
              <w:rPr>
                <w:rFonts w:ascii="Times New Roman" w:hAnsi="Times New Roman" w:eastAsia="宋体"/>
                <w:b w:val="0"/>
                <w:sz w:val="21"/>
              </w:rPr>
              <w:t>仅见 58 门、同名 57 门、仅见 55 门</w:t>
            </w:r>
          </w:p>
        </w:tc>
      </w:tr>
      <w:tr>
        <w:tc>
          <w:tcPr>
            <w:tcW w:type="dxa" w:w="4419"/>
          </w:tcPr>
          <w:p>
            <w:pPr>
              <w:spacing w:line="240" w:lineRule="auto"/>
              <w:jc w:val="left"/>
            </w:pPr>
            <w:r>
              <w:rPr>
                <w:rFonts w:ascii="Times New Roman" w:hAnsi="Times New Roman" w:eastAsia="宋体"/>
                <w:b w:val="0"/>
                <w:sz w:val="21"/>
              </w:rPr>
              <w:t>调整方式</w:t>
            </w:r>
          </w:p>
        </w:tc>
        <w:tc>
          <w:tcPr>
            <w:tcW w:type="dxa" w:w="4419"/>
          </w:tcPr>
          <w:p>
            <w:pPr>
              <w:spacing w:line="240" w:lineRule="auto"/>
              <w:jc w:val="left"/>
            </w:pPr>
            <w:r>
              <w:rPr>
                <w:rFonts w:ascii="Times New Roman" w:hAnsi="Times New Roman" w:eastAsia="宋体"/>
                <w:b w:val="0"/>
                <w:sz w:val="21"/>
              </w:rPr>
              <w:t>国内院校以新增课程名称为主，国外院校以模块重组为主</w:t>
            </w:r>
          </w:p>
        </w:tc>
      </w:tr>
    </w:tbl>
    <w:p>
      <w:pPr>
        <w:spacing w:before="40" w:after="160" w:line="240" w:lineRule="auto"/>
      </w:pPr>
      <w:r>
        <w:rPr>
          <w:rFonts w:ascii="Times New Roman" w:hAnsi="Times New Roman" w:eastAsia="宋体"/>
          <w:b w:val="0"/>
          <w:sz w:val="18"/>
        </w:rPr>
        <w:t>注：观测单位为课程名称，不含教学大纲与教学内容；学分口径不可跨校比较数值。</w:t>
      </w:r>
    </w:p>
    <w:p>
      <w:pPr>
        <w:spacing w:after="0"/>
        <w:ind w:firstLine="480"/>
      </w:pPr>
      <w:r>
        <w:rPr>
          <w:rFonts w:ascii="Times New Roman" w:hAnsi="Times New Roman" w:eastAsia="宋体"/>
          <w:b w:val="0"/>
          <w:sz w:val="24"/>
        </w:rPr>
        <w:t>从结果看，实践与项目类课程在 14 所院校中全部命中，技法与媒介类在 13 所院校命中，两类构成课程体系的稳定基底；智能与技术类则并非普遍配置，本学院 2026 级与中央美术学院 2022 级的课程名义层精确匹配结果为零，同济大学在 2025 级 135700 硕士口径下以 21 门智能与技术类课程领先，同一学校的其他口径为 5 至 17 门。“设计系统”与“组件库”一类的课程名称在 14 所院校中未见对应专课。在纵向对照中，湖南大学 2019 级与 2026 级课程名义相同者仅 2 门，中央美术学院 2022 级至 2024 级字面同名者为 0，米兰理工大学课程名对照的行数由 184 降至 157，Aalto 大学按课程名计算的跨学制期差异为仅见 58 门、同名 57 门、仅见 55 门。就调整方式而言，国内院校以新增课程名称回应技术与产业议题，国外院校则以模块重组回应，二者在课程名单上呈现的形态不同，而课名差异并不等同于课程取消。选择编码所得到的核心范畴是，供给的回应方式属于补课名式响应。需要限定的是，课程名义层的判定不等于教学内容的判定，学分口径不可跨校比较数值，院校纵向差集的分母在两处并不一致，引用时须带口径。</w:t>
      </w:r>
    </w:p>
    <w:p>
      <w:pPr>
        <w:spacing w:after="0"/>
        <w:ind w:firstLine="480"/>
      </w:pPr>
      <w:r>
        <w:rPr>
          <w:rFonts w:ascii="Times New Roman" w:hAnsi="Times New Roman" w:eastAsia="宋体"/>
          <w:b w:val="0"/>
          <w:sz w:val="24"/>
        </w:rPr>
        <w:t>缺口判定依循前文规则，其结果为：系统化设计意识在供给、国家、时代三类文本中均无对应，而该项同时具备两端证据，即要求侧的 39 条岗位与职责侧任务谱中的 35 句、27 个岗位；市场与竞品研究在供给方面只找到相关级别的泛载体。此外，登记在框架之外的范畴共 14 条，其中绿色设计由国家文本与趋势报告两处证据同时提出，而招聘文本 103 条经逐条核查无一真正命中；相近的分布还见于美育、批判性思维与持续学习。跨源对照矩阵的节选如表 8 所示。</w:t>
      </w:r>
    </w:p>
    <w:p>
      <w:pPr>
        <w:spacing w:before="120" w:after="40"/>
        <w:jc w:val="center"/>
      </w:pPr>
      <w:r>
        <w:rPr>
          <w:rFonts w:ascii="Times New Roman" w:hAnsi="Times New Roman" w:eastAsia="黑体"/>
          <w:b w:val="0"/>
          <w:sz w:val="21"/>
        </w:rPr>
        <w:t>表 8　跨源对照矩阵节选（28 项能力与三类文本的对映）</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1768"/>
        <w:gridCol w:w="1768"/>
        <w:gridCol w:w="1768"/>
        <w:gridCol w:w="1768"/>
        <w:gridCol w:w="1768"/>
      </w:tblGrid>
      <w:tr>
        <w:tc>
          <w:tcPr>
            <w:tcW w:type="dxa" w:w="1768"/>
            <w:tcBorders>
              <w:bottom w:val="single" w:sz="6" w:color="000000"/>
            </w:tcBorders>
          </w:tcPr>
          <w:p>
            <w:pPr>
              <w:spacing w:line="240" w:lineRule="auto"/>
              <w:jc w:val="center"/>
            </w:pPr>
            <w:r/>
            <w:r>
              <w:rPr>
                <w:rFonts w:ascii="Times New Roman" w:hAnsi="Times New Roman" w:eastAsia="黑体"/>
                <w:b w:val="0"/>
                <w:sz w:val="21"/>
              </w:rPr>
              <w:t>能力项（频次）</w:t>
            </w:r>
          </w:p>
        </w:tc>
        <w:tc>
          <w:tcPr>
            <w:tcW w:type="dxa" w:w="1768"/>
            <w:tcBorders>
              <w:bottom w:val="single" w:sz="6" w:color="000000"/>
            </w:tcBorders>
          </w:tcPr>
          <w:p>
            <w:pPr>
              <w:spacing w:line="240" w:lineRule="auto"/>
              <w:jc w:val="center"/>
            </w:pPr>
            <w:r/>
            <w:r>
              <w:rPr>
                <w:rFonts w:ascii="Times New Roman" w:hAnsi="Times New Roman" w:eastAsia="黑体"/>
                <w:b w:val="0"/>
                <w:sz w:val="21"/>
              </w:rPr>
              <w:t>供给</w:t>
            </w:r>
          </w:p>
        </w:tc>
        <w:tc>
          <w:tcPr>
            <w:tcW w:type="dxa" w:w="1768"/>
            <w:tcBorders>
              <w:bottom w:val="single" w:sz="6" w:color="000000"/>
            </w:tcBorders>
          </w:tcPr>
          <w:p>
            <w:pPr>
              <w:spacing w:line="240" w:lineRule="auto"/>
              <w:jc w:val="center"/>
            </w:pPr>
            <w:r/>
            <w:r>
              <w:rPr>
                <w:rFonts w:ascii="Times New Roman" w:hAnsi="Times New Roman" w:eastAsia="黑体"/>
                <w:b w:val="0"/>
                <w:sz w:val="21"/>
              </w:rPr>
              <w:t>国家</w:t>
            </w:r>
          </w:p>
        </w:tc>
        <w:tc>
          <w:tcPr>
            <w:tcW w:type="dxa" w:w="1768"/>
            <w:tcBorders>
              <w:bottom w:val="single" w:sz="6" w:color="000000"/>
            </w:tcBorders>
          </w:tcPr>
          <w:p>
            <w:pPr>
              <w:spacing w:line="240" w:lineRule="auto"/>
              <w:jc w:val="center"/>
            </w:pPr>
            <w:r/>
            <w:r>
              <w:rPr>
                <w:rFonts w:ascii="Times New Roman" w:hAnsi="Times New Roman" w:eastAsia="黑体"/>
                <w:b w:val="0"/>
                <w:sz w:val="21"/>
              </w:rPr>
              <w:t>时代</w:t>
            </w:r>
          </w:p>
        </w:tc>
        <w:tc>
          <w:tcPr>
            <w:tcW w:type="dxa" w:w="1768"/>
            <w:tcBorders>
              <w:bottom w:val="single" w:sz="6" w:color="000000"/>
            </w:tcBorders>
          </w:tcPr>
          <w:p>
            <w:pPr>
              <w:spacing w:line="240" w:lineRule="auto"/>
              <w:jc w:val="center"/>
            </w:pPr>
            <w:r/>
            <w:r>
              <w:rPr>
                <w:rFonts w:ascii="Times New Roman" w:hAnsi="Times New Roman" w:eastAsia="黑体"/>
                <w:b w:val="0"/>
                <w:sz w:val="21"/>
              </w:rPr>
              <w:t>共现</w:t>
            </w:r>
          </w:p>
        </w:tc>
      </w:tr>
      <w:tr>
        <w:tc>
          <w:tcPr>
            <w:tcW w:type="dxa" w:w="1768"/>
          </w:tcPr>
          <w:p>
            <w:pPr>
              <w:spacing w:line="240" w:lineRule="auto"/>
              <w:jc w:val="left"/>
            </w:pPr>
            <w:r>
              <w:rPr>
                <w:rFonts w:ascii="Times New Roman" w:hAnsi="Times New Roman" w:eastAsia="宋体"/>
                <w:b w:val="0"/>
                <w:sz w:val="21"/>
              </w:rPr>
              <w:t>端到端负责（69）</w:t>
            </w:r>
          </w:p>
        </w:tc>
        <w:tc>
          <w:tcPr>
            <w:tcW w:type="dxa" w:w="1768"/>
          </w:tcPr>
          <w:p>
            <w:pPr>
              <w:spacing w:line="240" w:lineRule="auto"/>
              <w:jc w:val="left"/>
            </w:pPr>
            <w:r>
              <w:rPr>
                <w:rFonts w:ascii="Times New Roman" w:hAnsi="Times New Roman" w:eastAsia="宋体"/>
                <w:b w:val="0"/>
                <w:sz w:val="21"/>
              </w:rPr>
              <w:t>实践与项目类·相关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无权威影响力与跨职能协作（44）</w:t>
            </w:r>
          </w:p>
        </w:tc>
        <w:tc>
          <w:tcPr>
            <w:tcW w:type="dxa" w:w="1768"/>
          </w:tcPr>
          <w:p>
            <w:pPr>
              <w:spacing w:line="240" w:lineRule="auto"/>
              <w:jc w:val="left"/>
            </w:pPr>
            <w:r>
              <w:rPr>
                <w:rFonts w:ascii="Times New Roman" w:hAnsi="Times New Roman" w:eastAsia="宋体"/>
                <w:b w:val="0"/>
                <w:sz w:val="21"/>
              </w:rPr>
              <w:t>实践与项目类·相关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系统化设计意识（39）</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0</w:t>
            </w:r>
          </w:p>
        </w:tc>
      </w:tr>
      <w:tr>
        <w:tc>
          <w:tcPr>
            <w:tcW w:type="dxa" w:w="1768"/>
          </w:tcPr>
          <w:p>
            <w:pPr>
              <w:spacing w:line="240" w:lineRule="auto"/>
              <w:jc w:val="left"/>
            </w:pPr>
            <w:r>
              <w:rPr>
                <w:rFonts w:ascii="Times New Roman" w:hAnsi="Times New Roman" w:eastAsia="宋体"/>
                <w:b w:val="0"/>
                <w:sz w:val="21"/>
              </w:rPr>
              <w:t>市场与竞品研究（39）</w:t>
            </w:r>
          </w:p>
        </w:tc>
        <w:tc>
          <w:tcPr>
            <w:tcW w:type="dxa" w:w="1768"/>
          </w:tcPr>
          <w:p>
            <w:pPr>
              <w:spacing w:line="240" w:lineRule="auto"/>
              <w:jc w:val="left"/>
            </w:pPr>
            <w:r>
              <w:rPr>
                <w:rFonts w:ascii="Times New Roman" w:hAnsi="Times New Roman" w:eastAsia="宋体"/>
                <w:b w:val="0"/>
                <w:sz w:val="21"/>
              </w:rPr>
              <w:t>方法与流程类·相关</w:t>
            </w:r>
          </w:p>
        </w:tc>
        <w:tc>
          <w:tcPr>
            <w:tcW w:type="dxa" w:w="1768"/>
          </w:tcPr>
          <w:p>
            <w:pPr>
              <w:spacing w:line="240" w:lineRule="auto"/>
              <w:jc w:val="left"/>
            </w:pPr>
            <w:r>
              <w:rPr>
                <w:rFonts w:ascii="Times New Roman" w:hAnsi="Times New Roman" w:eastAsia="宋体"/>
                <w:b w:val="0"/>
                <w:sz w:val="21"/>
              </w:rPr>
              <w:t>设计服务制造升级·相关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可制造性与工艺知识（34）</w:t>
            </w:r>
          </w:p>
        </w:tc>
        <w:tc>
          <w:tcPr>
            <w:tcW w:type="dxa" w:w="1768"/>
          </w:tcPr>
          <w:p>
            <w:pPr>
              <w:spacing w:line="240" w:lineRule="auto"/>
              <w:jc w:val="left"/>
            </w:pPr>
            <w:r>
              <w:rPr>
                <w:rFonts w:ascii="Times New Roman" w:hAnsi="Times New Roman" w:eastAsia="宋体"/>
                <w:b w:val="0"/>
                <w:sz w:val="21"/>
              </w:rPr>
              <w:t>技法与媒介类·上位或下位</w:t>
            </w:r>
          </w:p>
        </w:tc>
        <w:tc>
          <w:tcPr>
            <w:tcW w:type="dxa" w:w="1768"/>
          </w:tcPr>
          <w:p>
            <w:pPr>
              <w:spacing w:line="240" w:lineRule="auto"/>
              <w:jc w:val="left"/>
            </w:pPr>
            <w:r>
              <w:rPr>
                <w:rFonts w:ascii="Times New Roman" w:hAnsi="Times New Roman" w:eastAsia="宋体"/>
                <w:b w:val="0"/>
                <w:sz w:val="21"/>
              </w:rPr>
              <w:t>设计服务制造升级·相关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技术跟踪与栈演进（30）</w:t>
            </w:r>
          </w:p>
        </w:tc>
        <w:tc>
          <w:tcPr>
            <w:tcW w:type="dxa" w:w="1768"/>
          </w:tcPr>
          <w:p>
            <w:pPr>
              <w:spacing w:line="240" w:lineRule="auto"/>
              <w:jc w:val="left"/>
            </w:pPr>
            <w:r>
              <w:rPr>
                <w:rFonts w:ascii="Times New Roman" w:hAnsi="Times New Roman" w:eastAsia="宋体"/>
                <w:b w:val="0"/>
                <w:sz w:val="21"/>
              </w:rPr>
              <w:t>智能与技术类·相关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技能过时与人工智能变量·相关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用户中心设计方法论（29）</w:t>
            </w:r>
          </w:p>
        </w:tc>
        <w:tc>
          <w:tcPr>
            <w:tcW w:type="dxa" w:w="1768"/>
          </w:tcPr>
          <w:p>
            <w:pPr>
              <w:spacing w:line="240" w:lineRule="auto"/>
              <w:jc w:val="left"/>
            </w:pPr>
            <w:r>
              <w:rPr>
                <w:rFonts w:ascii="Times New Roman" w:hAnsi="Times New Roman" w:eastAsia="宋体"/>
                <w:b w:val="0"/>
                <w:sz w:val="21"/>
              </w:rPr>
              <w:t>方法与流程类·同义</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作品集与项目证据（24）</w:t>
            </w:r>
          </w:p>
        </w:tc>
        <w:tc>
          <w:tcPr>
            <w:tcW w:type="dxa" w:w="1768"/>
          </w:tcPr>
          <w:p>
            <w:pPr>
              <w:spacing w:line="240" w:lineRule="auto"/>
              <w:jc w:val="left"/>
            </w:pPr>
            <w:r>
              <w:rPr>
                <w:rFonts w:ascii="Times New Roman" w:hAnsi="Times New Roman" w:eastAsia="宋体"/>
                <w:b w:val="0"/>
                <w:sz w:val="21"/>
              </w:rPr>
              <w:t>实践与项目类·相关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项目落地经验（21）</w:t>
            </w:r>
          </w:p>
        </w:tc>
        <w:tc>
          <w:tcPr>
            <w:tcW w:type="dxa" w:w="1768"/>
          </w:tcPr>
          <w:p>
            <w:pPr>
              <w:spacing w:line="240" w:lineRule="auto"/>
              <w:jc w:val="left"/>
            </w:pPr>
            <w:r>
              <w:rPr>
                <w:rFonts w:ascii="Times New Roman" w:hAnsi="Times New Roman" w:eastAsia="宋体"/>
                <w:b w:val="0"/>
                <w:sz w:val="21"/>
              </w:rPr>
              <w:t>实践与项目类·上位或下位</w:t>
            </w:r>
          </w:p>
        </w:tc>
        <w:tc>
          <w:tcPr>
            <w:tcW w:type="dxa" w:w="1768"/>
          </w:tcPr>
          <w:p>
            <w:pPr>
              <w:spacing w:line="240" w:lineRule="auto"/>
              <w:jc w:val="left"/>
            </w:pPr>
            <w:r>
              <w:rPr>
                <w:rFonts w:ascii="Times New Roman" w:hAnsi="Times New Roman" w:eastAsia="宋体"/>
                <w:b w:val="0"/>
                <w:sz w:val="21"/>
              </w:rPr>
              <w:t>设计人才培养·相关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多目标权衡与指标定义（21）</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设计角色重定位·相关</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深入与持续的研究（17）</w:t>
            </w:r>
          </w:p>
        </w:tc>
        <w:tc>
          <w:tcPr>
            <w:tcW w:type="dxa" w:w="1768"/>
          </w:tcPr>
          <w:p>
            <w:pPr>
              <w:spacing w:line="240" w:lineRule="auto"/>
              <w:jc w:val="left"/>
            </w:pPr>
            <w:r>
              <w:rPr>
                <w:rFonts w:ascii="Times New Roman" w:hAnsi="Times New Roman" w:eastAsia="宋体"/>
                <w:b w:val="0"/>
                <w:sz w:val="21"/>
              </w:rPr>
              <w:t>技法与媒介类·相关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人工智能原型验证（17）</w:t>
            </w:r>
          </w:p>
        </w:tc>
        <w:tc>
          <w:tcPr>
            <w:tcW w:type="dxa" w:w="1768"/>
          </w:tcPr>
          <w:p>
            <w:pPr>
              <w:spacing w:line="240" w:lineRule="auto"/>
              <w:jc w:val="left"/>
            </w:pPr>
            <w:r>
              <w:rPr>
                <w:rFonts w:ascii="Times New Roman" w:hAnsi="Times New Roman" w:eastAsia="宋体"/>
                <w:b w:val="0"/>
                <w:sz w:val="21"/>
              </w:rPr>
              <w:t>智能与技术类·上位或下位</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人工智能变量与角色重定位·相关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编程与工程实现（18）</w:t>
            </w:r>
          </w:p>
        </w:tc>
        <w:tc>
          <w:tcPr>
            <w:tcW w:type="dxa" w:w="1768"/>
          </w:tcPr>
          <w:p>
            <w:pPr>
              <w:spacing w:line="240" w:lineRule="auto"/>
              <w:jc w:val="left"/>
            </w:pPr>
            <w:r>
              <w:rPr>
                <w:rFonts w:ascii="Times New Roman" w:hAnsi="Times New Roman" w:eastAsia="宋体"/>
                <w:b w:val="0"/>
                <w:sz w:val="21"/>
              </w:rPr>
              <w:t>智能与技术类·相关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人工智能变量·相关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模糊环境自主推进（16）</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0</w:t>
            </w:r>
          </w:p>
        </w:tc>
      </w:tr>
      <w:tr>
        <w:tc>
          <w:tcPr>
            <w:tcW w:type="dxa" w:w="1768"/>
          </w:tcPr>
          <w:p>
            <w:pPr>
              <w:spacing w:line="240" w:lineRule="auto"/>
              <w:jc w:val="left"/>
            </w:pPr>
            <w:r>
              <w:rPr>
                <w:rFonts w:ascii="Times New Roman" w:hAnsi="Times New Roman" w:eastAsia="宋体"/>
                <w:b w:val="0"/>
                <w:sz w:val="21"/>
              </w:rPr>
              <w:t>技术可行性判断（12）</w:t>
            </w:r>
          </w:p>
        </w:tc>
        <w:tc>
          <w:tcPr>
            <w:tcW w:type="dxa" w:w="1768"/>
          </w:tcPr>
          <w:p>
            <w:pPr>
              <w:spacing w:line="240" w:lineRule="auto"/>
              <w:jc w:val="left"/>
            </w:pPr>
            <w:r>
              <w:rPr>
                <w:rFonts w:ascii="Times New Roman" w:hAnsi="Times New Roman" w:eastAsia="宋体"/>
                <w:b w:val="0"/>
                <w:sz w:val="21"/>
              </w:rPr>
              <w:t>智能与技术类·相关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设计角色重定位·相关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其余 13 项</w:t>
            </w:r>
          </w:p>
        </w:tc>
        <w:tc>
          <w:tcPr>
            <w:tcW w:type="dxa" w:w="1768"/>
          </w:tcPr>
          <w:p>
            <w:pPr>
              <w:spacing w:line="240" w:lineRule="auto"/>
              <w:jc w:val="left"/>
            </w:pPr>
            <w:r>
              <w:rPr>
                <w:rFonts w:ascii="Times New Roman" w:hAnsi="Times New Roman" w:eastAsia="宋体"/>
                <w:b w:val="0"/>
                <w:sz w:val="21"/>
              </w:rPr>
              <w:t>多为无对应或小体量项</w:t>
            </w:r>
          </w:p>
        </w:tc>
        <w:tc>
          <w:tcPr>
            <w:tcW w:type="dxa" w:w="1768"/>
          </w:tcPr>
          <w:p>
            <w:pPr>
              <w:spacing w:line="240" w:lineRule="auto"/>
              <w:jc w:val="left"/>
            </w:pPr>
            <w:r>
              <w:rPr>
                <w:rFonts w:ascii="Times New Roman" w:hAnsi="Times New Roman" w:eastAsia="宋体"/>
                <w:b w:val="0"/>
                <w:sz w:val="21"/>
              </w:rPr>
              <w:t>少量相关</w:t>
            </w:r>
          </w:p>
        </w:tc>
        <w:tc>
          <w:tcPr>
            <w:tcW w:type="dxa" w:w="1768"/>
          </w:tcPr>
          <w:p>
            <w:pPr>
              <w:spacing w:line="240" w:lineRule="auto"/>
              <w:jc w:val="left"/>
            </w:pPr>
            <w:r>
              <w:rPr>
                <w:rFonts w:ascii="Times New Roman" w:hAnsi="Times New Roman" w:eastAsia="宋体"/>
                <w:b w:val="0"/>
                <w:sz w:val="21"/>
              </w:rPr>
              <w:t>少量相关</w:t>
            </w:r>
          </w:p>
        </w:tc>
        <w:tc>
          <w:tcPr>
            <w:tcW w:type="dxa" w:w="1768"/>
          </w:tcPr>
          <w:p>
            <w:pPr>
              <w:spacing w:line="240" w:lineRule="auto"/>
              <w:jc w:val="left"/>
            </w:pPr>
            <w:r>
              <w:rPr>
                <w:rFonts w:ascii="Times New Roman" w:hAnsi="Times New Roman" w:eastAsia="宋体"/>
                <w:b w:val="0"/>
                <w:sz w:val="21"/>
              </w:rPr>
              <w:t>0 至 2</w:t>
            </w:r>
          </w:p>
        </w:tc>
      </w:tr>
    </w:tbl>
    <w:p>
      <w:pPr>
        <w:spacing w:before="40" w:after="160" w:line="240" w:lineRule="auto"/>
      </w:pPr>
      <w:r>
        <w:rPr>
          <w:rFonts w:ascii="Times New Roman" w:hAnsi="Times New Roman" w:eastAsia="宋体"/>
          <w:b w:val="0"/>
          <w:sz w:val="18"/>
        </w:rPr>
        <w:t>注：共现为三类文本中出现的文本类别数；对映关系分为同义、上位或下位以及相关三级，“无”表示该类文本中未见对应条目。</w:t>
      </w:r>
    </w:p>
    <w:p>
      <w:pPr>
        <w:spacing w:after="0"/>
        <w:ind w:firstLine="480"/>
      </w:pPr>
      <w:r>
        <w:rPr>
          <w:rFonts w:ascii="Times New Roman" w:hAnsi="Times New Roman" w:eastAsia="宋体"/>
          <w:b w:val="0"/>
          <w:sz w:val="24"/>
        </w:rPr>
        <w:t>上述结果需要以两项限定为前提。其一，课名层的判定不等于教学内容的判定，某些能力可能通过课程内部的环节而非课程名称得以传递。其二，系统化设计意识零对应的判定目前只有矩阵一方的记录，课程名义层的跨校检索尚未单独留存，其可复核性有待补强。</w:t>
      </w:r>
    </w:p>
    <w:p>
      <w:pPr>
        <w:spacing w:after="0"/>
        <w:ind w:firstLine="480"/>
      </w:pPr>
      <w:r>
        <w:rPr>
          <w:rFonts w:ascii="Times New Roman" w:hAnsi="Times New Roman" w:eastAsia="宋体"/>
          <w:b w:val="0"/>
          <w:sz w:val="24"/>
        </w:rPr>
        <w:t>从组织社会学的角度观察，课程名单是一份高度压缩的机构行为痕迹：它既反映学科知识的分类传统，也反映院校在资源约束下的取舍方式。智能与技术类课程的非普遍配置，并不能简单归因于观念滞后，它同时受制于师资结构、实验条件与既有课程的重置成本；相对于增设新课，模块重组在组织上的阻力更小，这解释了部分院校选择以整合方式回应技术议题。与此相关的是，课程体系本身具有文化资本的分配功能：哪些能力被赋予课程身份，哪些能力被留给实习或自学，决定了学生在专业场域中所能获得的制度化资本的类型，也影响其向劳动力市场兑换资格的方式。</w:t>
      </w:r>
    </w:p>
    <w:p>
      <w:pPr>
        <w:spacing w:before="240" w:after="120"/>
      </w:pPr>
      <w:r>
        <w:rPr>
          <w:rFonts w:ascii="Times New Roman" w:hAnsi="Times New Roman" w:eastAsia="黑体"/>
          <w:b/>
          <w:sz w:val="28"/>
        </w:rPr>
        <w:t>六、结论：对五个研究问题的回答</w:t>
      </w:r>
    </w:p>
    <w:p>
      <w:pPr>
        <w:spacing w:after="0"/>
        <w:ind w:firstLine="480"/>
      </w:pPr>
      <w:r>
        <w:rPr>
          <w:rFonts w:ascii="Times New Roman" w:hAnsi="Times New Roman" w:eastAsia="宋体"/>
          <w:b w:val="0"/>
          <w:sz w:val="24"/>
        </w:rPr>
        <w:t>本报告由小组五位成员分头承担五个问题，即学习与发展规划中的痛点、面向未来最需要的教育支持、人工智能在未来设计教育中的角色与决定权归属、不同学科背景学生的学习需求是否存在差异、哪些未来教育应优先进入学生教育系统。以下先按问题逐条作答，再给出优先次序、教育支持方向与本研究的理论意涵，五个问题的回答要点概见表 10。</w:t>
      </w:r>
    </w:p>
    <w:p>
      <w:pPr>
        <w:spacing w:before="120" w:after="40"/>
        <w:jc w:val="center"/>
      </w:pPr>
      <w:r>
        <w:rPr>
          <w:rFonts w:ascii="Times New Roman" w:hAnsi="Times New Roman" w:eastAsia="黑体"/>
          <w:b w:val="0"/>
          <w:sz w:val="21"/>
        </w:rPr>
        <w:t>表 10　五个研究问题与主要回答</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209"/>
        <w:gridCol w:w="2209"/>
        <w:gridCol w:w="2209"/>
        <w:gridCol w:w="2209"/>
      </w:tblGrid>
      <w:tr>
        <w:tc>
          <w:tcPr>
            <w:tcW w:type="dxa" w:w="2209"/>
            <w:tcBorders>
              <w:bottom w:val="single" w:sz="6" w:color="000000"/>
            </w:tcBorders>
          </w:tcPr>
          <w:p>
            <w:pPr>
              <w:spacing w:line="240" w:lineRule="auto"/>
              <w:jc w:val="center"/>
            </w:pPr>
            <w:r/>
            <w:r>
              <w:rPr>
                <w:rFonts w:ascii="Times New Roman" w:hAnsi="Times New Roman" w:eastAsia="黑体"/>
                <w:b w:val="0"/>
                <w:sz w:val="21"/>
              </w:rPr>
              <w:t>研究问题</w:t>
            </w:r>
          </w:p>
        </w:tc>
        <w:tc>
          <w:tcPr>
            <w:tcW w:type="dxa" w:w="2209"/>
            <w:tcBorders>
              <w:bottom w:val="single" w:sz="6" w:color="000000"/>
            </w:tcBorders>
          </w:tcPr>
          <w:p>
            <w:pPr>
              <w:spacing w:line="240" w:lineRule="auto"/>
              <w:jc w:val="center"/>
            </w:pPr>
            <w:r/>
            <w:r>
              <w:rPr>
                <w:rFonts w:ascii="Times New Roman" w:hAnsi="Times New Roman" w:eastAsia="黑体"/>
                <w:b w:val="0"/>
                <w:sz w:val="21"/>
              </w:rPr>
              <w:t>承担者</w:t>
            </w:r>
          </w:p>
        </w:tc>
        <w:tc>
          <w:tcPr>
            <w:tcW w:type="dxa" w:w="2209"/>
            <w:tcBorders>
              <w:bottom w:val="single" w:sz="6" w:color="000000"/>
            </w:tcBorders>
          </w:tcPr>
          <w:p>
            <w:pPr>
              <w:spacing w:line="240" w:lineRule="auto"/>
              <w:jc w:val="center"/>
            </w:pPr>
            <w:r/>
            <w:r>
              <w:rPr>
                <w:rFonts w:ascii="Times New Roman" w:hAnsi="Times New Roman" w:eastAsia="黑体"/>
                <w:b w:val="0"/>
                <w:sz w:val="21"/>
              </w:rPr>
              <w:t>主要回答</w:t>
            </w:r>
          </w:p>
        </w:tc>
        <w:tc>
          <w:tcPr>
            <w:tcW w:type="dxa" w:w="2209"/>
            <w:tcBorders>
              <w:bottom w:val="single" w:sz="6" w:color="000000"/>
            </w:tcBorders>
          </w:tcPr>
          <w:p>
            <w:pPr>
              <w:spacing w:line="240" w:lineRule="auto"/>
              <w:jc w:val="center"/>
            </w:pPr>
            <w:r/>
            <w:r>
              <w:rPr>
                <w:rFonts w:ascii="Times New Roman" w:hAnsi="Times New Roman" w:eastAsia="黑体"/>
                <w:b w:val="0"/>
                <w:sz w:val="21"/>
              </w:rPr>
              <w:t>关键证据</w:t>
            </w:r>
          </w:p>
        </w:tc>
      </w:tr>
      <w:tr>
        <w:tc>
          <w:tcPr>
            <w:tcW w:type="dxa" w:w="2209"/>
          </w:tcPr>
          <w:p>
            <w:pPr>
              <w:spacing w:line="240" w:lineRule="auto"/>
              <w:jc w:val="left"/>
            </w:pPr>
            <w:r>
              <w:rPr>
                <w:rFonts w:ascii="Times New Roman" w:hAnsi="Times New Roman" w:eastAsia="宋体"/>
                <w:b w:val="0"/>
                <w:sz w:val="21"/>
              </w:rPr>
              <w:t>问题一　学习与发展规划中的痛点</w:t>
            </w:r>
          </w:p>
        </w:tc>
        <w:tc>
          <w:tcPr>
            <w:tcW w:type="dxa" w:w="2209"/>
          </w:tcPr>
          <w:p>
            <w:pPr>
              <w:spacing w:line="240" w:lineRule="auto"/>
              <w:jc w:val="left"/>
            </w:pPr>
            <w:r>
              <w:rPr>
                <w:rFonts w:ascii="Times New Roman" w:hAnsi="Times New Roman" w:eastAsia="宋体"/>
                <w:b w:val="0"/>
                <w:sz w:val="21"/>
              </w:rPr>
              <w:t>题 1（组员）</w:t>
            </w:r>
          </w:p>
        </w:tc>
        <w:tc>
          <w:tcPr>
            <w:tcW w:type="dxa" w:w="2209"/>
          </w:tcPr>
          <w:p>
            <w:pPr>
              <w:spacing w:line="240" w:lineRule="auto"/>
              <w:jc w:val="left"/>
            </w:pPr>
            <w:r>
              <w:rPr>
                <w:rFonts w:ascii="Times New Roman" w:hAnsi="Times New Roman" w:eastAsia="宋体"/>
                <w:b w:val="0"/>
                <w:sz w:val="21"/>
              </w:rPr>
              <w:t>实践经验不足、能力转化困难、发展方向不明确三处结构性悬空</w:t>
            </w:r>
          </w:p>
        </w:tc>
        <w:tc>
          <w:tcPr>
            <w:tcW w:type="dxa" w:w="2209"/>
          </w:tcPr>
          <w:p>
            <w:pPr>
              <w:spacing w:line="240" w:lineRule="auto"/>
              <w:jc w:val="left"/>
            </w:pPr>
            <w:r>
              <w:rPr>
                <w:rFonts w:ascii="Times New Roman" w:hAnsi="Times New Roman" w:eastAsia="宋体"/>
                <w:b w:val="0"/>
                <w:sz w:val="21"/>
              </w:rPr>
              <w:t>问卷 C：12/20、8/20、19/20；研二访谈</w:t>
            </w:r>
          </w:p>
        </w:tc>
      </w:tr>
      <w:tr>
        <w:tc>
          <w:tcPr>
            <w:tcW w:type="dxa" w:w="2209"/>
          </w:tcPr>
          <w:p>
            <w:pPr>
              <w:spacing w:line="240" w:lineRule="auto"/>
              <w:jc w:val="left"/>
            </w:pPr>
            <w:r>
              <w:rPr>
                <w:rFonts w:ascii="Times New Roman" w:hAnsi="Times New Roman" w:eastAsia="宋体"/>
                <w:b w:val="0"/>
                <w:sz w:val="21"/>
              </w:rPr>
              <w:t>问题二　面向未来最需要的教育支持</w:t>
            </w:r>
          </w:p>
        </w:tc>
        <w:tc>
          <w:tcPr>
            <w:tcW w:type="dxa" w:w="2209"/>
          </w:tcPr>
          <w:p>
            <w:pPr>
              <w:spacing w:line="240" w:lineRule="auto"/>
              <w:jc w:val="left"/>
            </w:pPr>
            <w:r>
              <w:rPr>
                <w:rFonts w:ascii="Times New Roman" w:hAnsi="Times New Roman" w:eastAsia="宋体"/>
                <w:b w:val="0"/>
                <w:sz w:val="21"/>
              </w:rPr>
              <w:t>题 3（笔者）</w:t>
            </w:r>
          </w:p>
        </w:tc>
        <w:tc>
          <w:tcPr>
            <w:tcW w:type="dxa" w:w="2209"/>
          </w:tcPr>
          <w:p>
            <w:pPr>
              <w:spacing w:line="240" w:lineRule="auto"/>
              <w:jc w:val="left"/>
            </w:pPr>
            <w:r>
              <w:rPr>
                <w:rFonts w:ascii="Times New Roman" w:hAnsi="Times New Roman" w:eastAsia="宋体"/>
                <w:b w:val="0"/>
                <w:sz w:val="21"/>
              </w:rPr>
              <w:t>系统化设计与市场研究课程化；判断型人工智能课程；项目制环节制度化</w:t>
            </w:r>
          </w:p>
        </w:tc>
        <w:tc>
          <w:tcPr>
            <w:tcW w:type="dxa" w:w="2209"/>
          </w:tcPr>
          <w:p>
            <w:pPr>
              <w:spacing w:line="240" w:lineRule="auto"/>
              <w:jc w:val="left"/>
            </w:pPr>
            <w:r>
              <w:rPr>
                <w:rFonts w:ascii="Times New Roman" w:hAnsi="Times New Roman" w:eastAsia="宋体"/>
                <w:b w:val="0"/>
                <w:sz w:val="21"/>
              </w:rPr>
              <w:t>要求侧 39/103 与职责侧 35 句、27 岗；课程名义层零对应</w:t>
            </w:r>
          </w:p>
        </w:tc>
      </w:tr>
      <w:tr>
        <w:tc>
          <w:tcPr>
            <w:tcW w:type="dxa" w:w="2209"/>
          </w:tcPr>
          <w:p>
            <w:pPr>
              <w:spacing w:line="240" w:lineRule="auto"/>
              <w:jc w:val="left"/>
            </w:pPr>
            <w:r>
              <w:rPr>
                <w:rFonts w:ascii="Times New Roman" w:hAnsi="Times New Roman" w:eastAsia="宋体"/>
                <w:b w:val="0"/>
                <w:sz w:val="21"/>
              </w:rPr>
              <w:t>问题三　人工智能的角色与决定权</w:t>
            </w:r>
          </w:p>
        </w:tc>
        <w:tc>
          <w:tcPr>
            <w:tcW w:type="dxa" w:w="2209"/>
          </w:tcPr>
          <w:p>
            <w:pPr>
              <w:spacing w:line="240" w:lineRule="auto"/>
              <w:jc w:val="left"/>
            </w:pPr>
            <w:r>
              <w:rPr>
                <w:rFonts w:ascii="Times New Roman" w:hAnsi="Times New Roman" w:eastAsia="宋体"/>
                <w:b w:val="0"/>
                <w:sz w:val="21"/>
              </w:rPr>
              <w:t>题 4（组员）</w:t>
            </w:r>
          </w:p>
        </w:tc>
        <w:tc>
          <w:tcPr>
            <w:tcW w:type="dxa" w:w="2209"/>
          </w:tcPr>
          <w:p>
            <w:pPr>
              <w:spacing w:line="240" w:lineRule="auto"/>
              <w:jc w:val="left"/>
            </w:pPr>
            <w:r>
              <w:rPr>
                <w:rFonts w:ascii="Times New Roman" w:hAnsi="Times New Roman" w:eastAsia="宋体"/>
                <w:b w:val="0"/>
                <w:sz w:val="21"/>
              </w:rPr>
              <w:t>辅助或设计伙伴而非替代；决定权归于本人与教师</w:t>
            </w:r>
          </w:p>
        </w:tc>
        <w:tc>
          <w:tcPr>
            <w:tcW w:type="dxa" w:w="2209"/>
          </w:tcPr>
          <w:p>
            <w:pPr>
              <w:spacing w:line="240" w:lineRule="auto"/>
              <w:jc w:val="left"/>
            </w:pPr>
            <w:r>
              <w:rPr>
                <w:rFonts w:ascii="Times New Roman" w:hAnsi="Times New Roman" w:eastAsia="宋体"/>
                <w:b w:val="0"/>
                <w:sz w:val="21"/>
              </w:rPr>
              <w:t>问卷 B：39/55、35/55、30/55、4/55；本人 28/55、教师 24/55、人工智能 3/55</w:t>
            </w:r>
          </w:p>
        </w:tc>
      </w:tr>
      <w:tr>
        <w:tc>
          <w:tcPr>
            <w:tcW w:type="dxa" w:w="2209"/>
          </w:tcPr>
          <w:p>
            <w:pPr>
              <w:spacing w:line="240" w:lineRule="auto"/>
              <w:jc w:val="left"/>
            </w:pPr>
            <w:r>
              <w:rPr>
                <w:rFonts w:ascii="Times New Roman" w:hAnsi="Times New Roman" w:eastAsia="宋体"/>
                <w:b w:val="0"/>
                <w:sz w:val="21"/>
              </w:rPr>
              <w:t>问题四　不同学科背景的需求差异</w:t>
            </w:r>
          </w:p>
        </w:tc>
        <w:tc>
          <w:tcPr>
            <w:tcW w:type="dxa" w:w="2209"/>
          </w:tcPr>
          <w:p>
            <w:pPr>
              <w:spacing w:line="240" w:lineRule="auto"/>
              <w:jc w:val="left"/>
            </w:pPr>
            <w:r>
              <w:rPr>
                <w:rFonts w:ascii="Times New Roman" w:hAnsi="Times New Roman" w:eastAsia="宋体"/>
                <w:b w:val="0"/>
                <w:sz w:val="21"/>
              </w:rPr>
              <w:t>题 5（组员）</w:t>
            </w:r>
          </w:p>
        </w:tc>
        <w:tc>
          <w:tcPr>
            <w:tcW w:type="dxa" w:w="2209"/>
          </w:tcPr>
          <w:p>
            <w:pPr>
              <w:spacing w:line="240" w:lineRule="auto"/>
              <w:jc w:val="left"/>
            </w:pPr>
            <w:r>
              <w:rPr>
                <w:rFonts w:ascii="Times New Roman" w:hAnsi="Times New Roman" w:eastAsia="宋体"/>
                <w:b w:val="0"/>
                <w:sz w:val="21"/>
              </w:rPr>
              <w:t>方向层面高度一致，实现层面明显分化</w:t>
            </w:r>
          </w:p>
        </w:tc>
        <w:tc>
          <w:tcPr>
            <w:tcW w:type="dxa" w:w="2209"/>
          </w:tcPr>
          <w:p>
            <w:pPr>
              <w:spacing w:line="240" w:lineRule="auto"/>
              <w:jc w:val="left"/>
            </w:pPr>
            <w:r>
              <w:rPr>
                <w:rFonts w:ascii="Times New Roman" w:hAnsi="Times New Roman" w:eastAsia="宋体"/>
                <w:b w:val="0"/>
                <w:sz w:val="21"/>
              </w:rPr>
              <w:t>问卷 A：46/72、38/72、35/72、34/72；均值极差 0.15；分专业交叉</w:t>
            </w:r>
          </w:p>
        </w:tc>
      </w:tr>
      <w:tr>
        <w:tc>
          <w:tcPr>
            <w:tcW w:type="dxa" w:w="2209"/>
          </w:tcPr>
          <w:p>
            <w:pPr>
              <w:spacing w:line="240" w:lineRule="auto"/>
              <w:jc w:val="left"/>
            </w:pPr>
            <w:r>
              <w:rPr>
                <w:rFonts w:ascii="Times New Roman" w:hAnsi="Times New Roman" w:eastAsia="宋体"/>
                <w:b w:val="0"/>
                <w:sz w:val="21"/>
              </w:rPr>
              <w:t>问题五　优先进入学生教育系统的内容</w:t>
            </w:r>
          </w:p>
        </w:tc>
        <w:tc>
          <w:tcPr>
            <w:tcW w:type="dxa" w:w="2209"/>
          </w:tcPr>
          <w:p>
            <w:pPr>
              <w:spacing w:line="240" w:lineRule="auto"/>
              <w:jc w:val="left"/>
            </w:pPr>
            <w:r>
              <w:rPr>
                <w:rFonts w:ascii="Times New Roman" w:hAnsi="Times New Roman" w:eastAsia="宋体"/>
                <w:b w:val="0"/>
                <w:sz w:val="21"/>
              </w:rPr>
              <w:t>题 6（组员）</w:t>
            </w:r>
          </w:p>
        </w:tc>
        <w:tc>
          <w:tcPr>
            <w:tcW w:type="dxa" w:w="2209"/>
          </w:tcPr>
          <w:p>
            <w:pPr>
              <w:spacing w:line="240" w:lineRule="auto"/>
              <w:jc w:val="left"/>
            </w:pPr>
            <w:r>
              <w:rPr>
                <w:rFonts w:ascii="Times New Roman" w:hAnsi="Times New Roman" w:eastAsia="宋体"/>
                <w:b w:val="0"/>
                <w:sz w:val="21"/>
              </w:rPr>
              <w:t>人工智能协同设计课程、可持续设计融入项目、跨学科联合项目、媒介素养</w:t>
            </w:r>
          </w:p>
        </w:tc>
        <w:tc>
          <w:tcPr>
            <w:tcW w:type="dxa" w:w="2209"/>
          </w:tcPr>
          <w:p>
            <w:pPr>
              <w:spacing w:line="240" w:lineRule="auto"/>
              <w:jc w:val="left"/>
            </w:pPr>
            <w:r>
              <w:rPr>
                <w:rFonts w:ascii="Times New Roman" w:hAnsi="Times New Roman" w:eastAsia="宋体"/>
                <w:b w:val="0"/>
                <w:sz w:val="21"/>
              </w:rPr>
              <w:t>桌面研究；经三道筛选复核，前者与本报告结论重合，可持续设计列为待观察</w:t>
            </w:r>
          </w:p>
        </w:tc>
      </w:tr>
    </w:tbl>
    <w:p>
      <w:pPr>
        <w:spacing w:before="40" w:after="160" w:line="240" w:lineRule="auto"/>
      </w:pPr>
      <w:r>
        <w:rPr>
          <w:rFonts w:ascii="Times New Roman" w:hAnsi="Times New Roman" w:eastAsia="宋体"/>
          <w:b w:val="0"/>
          <w:sz w:val="18"/>
        </w:rPr>
        <w:t>注：问题编号沿用小组认领的题号；回答要点为合并本报告第三、四、五章证据后的结论，数据基准 2026-10-07。</w:t>
      </w:r>
    </w:p>
    <w:p>
      <w:pPr>
        <w:spacing w:after="0"/>
        <w:ind w:firstLine="480"/>
      </w:pPr>
      <w:r>
        <w:rPr>
          <w:rFonts w:ascii="Times New Roman" w:hAnsi="Times New Roman" w:eastAsia="宋体"/>
          <w:b w:val="0"/>
          <w:sz w:val="24"/>
        </w:rPr>
        <w:t>（一）问题一，痛点集中在哪里。问卷与访谈共同指向三处结构性悬空。其一是实践经验不足，问卷 C 中有 12 人选择该项，为全部困难选项之首；其二是能力转化困难，认为理论学习与设计实践难以结合者 8 人，认为缺少高质量项目机会者亦为 8 人；其三是发展方向不明确，选择明确目标者仅 1 人，其余 19 人处于目标未实现、方向探索或迷茫状态。三项痛点并非并列的情绪表达，而是同一结构的三重表征：培养环节提供了方法与视野，却未稳定提供将外部要求转化为个人能力的通道。研二访谈中，受访者把从繁杂的场地信息与调研资料中提炼核心研究问题、以及真实项目落地经验不足列为最大困难，与问卷结果相互印证。</w:t>
      </w:r>
    </w:p>
    <w:p>
      <w:pPr>
        <w:spacing w:after="0"/>
        <w:ind w:firstLine="480"/>
      </w:pPr>
      <w:r>
        <w:rPr>
          <w:rFonts w:ascii="Times New Roman" w:hAnsi="Times New Roman" w:eastAsia="宋体"/>
          <w:b w:val="0"/>
          <w:sz w:val="24"/>
        </w:rPr>
        <w:t>（二）问题二，最需要哪些新的教育支持。回答指向三处。第一，把系统化设计与市场研究由隐含要求转为正式课程。系统化设计意识在招聘文本中被要求 39 条，在职责侧的岗位任务谱中有 35 句、27 个岗位的对应，而在 14 所院校的课程名义层查无对应，属于本研究识别出的最尖锐缺口。第二，开设以判断为目标的人工智能课程。市场对人工智能的要求已呈分层结构，会用工具的要求趋于常态，而要求对人工智能产出作质量判断者仅 6 个岗位，供给侧的智能与技术类课程又非普遍配置，两者之间的落差构成课程空间。第三，把项目制环节制度化，该项在问卷 A 与问卷 C 中均获得最强支持，企业与学生两端的要求也彼此一致。三处支持均以教育可及性为前提，即在学校现有资源条件下能够落地。</w:t>
      </w:r>
    </w:p>
    <w:p>
      <w:pPr>
        <w:spacing w:after="0"/>
        <w:ind w:firstLine="480"/>
      </w:pPr>
      <w:r>
        <w:rPr>
          <w:rFonts w:ascii="Times New Roman" w:hAnsi="Times New Roman" w:eastAsia="宋体"/>
          <w:b w:val="0"/>
          <w:sz w:val="24"/>
        </w:rPr>
        <w:t>（三）问题三，人工智能承担何种角色，决定权归于何处。问卷 B 的 55 份回答与 4 人访谈给出一致取向：人工智能被定位为辅助性手段或设计伙伴，而非教师的替代者。创意启发被认可 39 人，资料整理与研究辅助 35 人，技能教学 30 人，认为可以完全替代部分教师教学工作者仅 4 人。决定权仍归于人：选择最终方案时，由本人决定者 28 人、由教师决定者 24 人，由人工智能决定者 3 人；即便人工智能能够快速评价方案，仍有 46 人认为需要教师。教师被认为不可替代之处依次为发现隐藏问题 39 人、设计经验 37 人、理解设计背景与文化 36 人、情感支持 29 人，其共同点在于需要情境判断与经验积累。据此可以给出一处分工形态：人工智能辅助探索与实现，教师负责专业指导与能力培养，学生保留自主判断与决策。需要说明的是，这一结论测量的是角色期待，而非人工智能在课堂中的实际效果。</w:t>
      </w:r>
    </w:p>
    <w:p>
      <w:pPr>
        <w:spacing w:after="0"/>
        <w:ind w:firstLine="480"/>
      </w:pPr>
      <w:r>
        <w:rPr>
          <w:rFonts w:ascii="Times New Roman" w:hAnsi="Times New Roman" w:eastAsia="宋体"/>
          <w:b w:val="0"/>
          <w:sz w:val="24"/>
        </w:rPr>
        <w:t>（四）问题四，不同学科背景的学习需求是否存在差异。答案取决于观察的层面。在方向层面，差异并不显著：问卷 A 中跨学科、人工智能、可持续与项目制四项的选择数分别为 46、38、35 与 34，五道需求强度题的均值极差仅 0.15，说明学生对需要什么这一问题的判断高度接近。在方向之下的实现层面，分化则相当明确：数字媒体与工业设计偏向设计与人工智能的结合，环境艺术偏向可持续与社会创新，视觉传达偏向商业落地与品牌表达。这一结果意味着，统一的加课清单只能回应共识部分，对实现路径的差异无能为力；课程设计因此需要在共同核心能力之外保留方向性的选课与项目分流。</w:t>
      </w:r>
    </w:p>
    <w:p>
      <w:pPr>
        <w:spacing w:after="0"/>
        <w:ind w:firstLine="480"/>
      </w:pPr>
      <w:r>
        <w:rPr>
          <w:rFonts w:ascii="Times New Roman" w:hAnsi="Times New Roman" w:eastAsia="宋体"/>
          <w:b w:val="0"/>
          <w:sz w:val="24"/>
        </w:rPr>
        <w:t>（五）问题五，哪些未来教育应优先进入学生教育系统。桌面研究依据文献与平台内容给出四项候选，即人工智能协同设计课程、可持续设计融入项目、跨学科联合项目与媒介素养。本报告以三道筛选对其加以检验：人工智能协同设计课程与项目制相关项通过证据强度与教育可及性两道筛选，前者与本研究报告识别的判断型人工智能课程重合，后者与项目制环节制度化重合；可持续设计融入项目获得国家文本与趋势报告的多源证据，但在招聘文本中无一命中，故列为待观察项；媒介素养作为独立课程形态的证据尚不充分，建议作为既有课程的组成部分而非单独设课。就进入顺序而言，系统化设计与市场研究属于必须以正式课程承载的部分，宜先行推进；判断型人工智能课程与项目制制度化可同期展开。</w:t>
      </w:r>
    </w:p>
    <w:p>
      <w:pPr>
        <w:spacing w:after="0"/>
        <w:ind w:firstLine="480"/>
      </w:pPr>
      <w:r>
        <w:rPr>
          <w:rFonts w:ascii="Times New Roman" w:hAnsi="Times New Roman" w:eastAsia="宋体"/>
          <w:b w:val="0"/>
          <w:sz w:val="24"/>
        </w:rPr>
        <w:t>（六）优先次序与教育支持</w:t>
      </w:r>
    </w:p>
    <w:p>
      <w:pPr>
        <w:spacing w:before="120" w:after="40"/>
        <w:jc w:val="center"/>
      </w:pPr>
      <w:r>
        <w:rPr>
          <w:rFonts w:ascii="Times New Roman" w:hAnsi="Times New Roman" w:eastAsia="黑体"/>
          <w:b w:val="0"/>
          <w:sz w:val="21"/>
        </w:rPr>
        <w:t>表 9　缺口优先次序与三道筛选结果</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1768"/>
        <w:gridCol w:w="1768"/>
        <w:gridCol w:w="1768"/>
        <w:gridCol w:w="1768"/>
        <w:gridCol w:w="1768"/>
      </w:tblGrid>
      <w:tr>
        <w:tc>
          <w:tcPr>
            <w:tcW w:type="dxa" w:w="1768"/>
            <w:tcBorders>
              <w:bottom w:val="single" w:sz="6" w:color="000000"/>
            </w:tcBorders>
          </w:tcPr>
          <w:p>
            <w:pPr>
              <w:spacing w:line="240" w:lineRule="auto"/>
              <w:jc w:val="center"/>
            </w:pPr>
            <w:r/>
            <w:r>
              <w:rPr>
                <w:rFonts w:ascii="Times New Roman" w:hAnsi="Times New Roman" w:eastAsia="黑体"/>
                <w:b w:val="0"/>
                <w:sz w:val="21"/>
              </w:rPr>
              <w:t>候选支持方向</w:t>
            </w:r>
          </w:p>
        </w:tc>
        <w:tc>
          <w:tcPr>
            <w:tcW w:type="dxa" w:w="1768"/>
            <w:tcBorders>
              <w:bottom w:val="single" w:sz="6" w:color="000000"/>
            </w:tcBorders>
          </w:tcPr>
          <w:p>
            <w:pPr>
              <w:spacing w:line="240" w:lineRule="auto"/>
              <w:jc w:val="center"/>
            </w:pPr>
            <w:r/>
            <w:r>
              <w:rPr>
                <w:rFonts w:ascii="Times New Roman" w:hAnsi="Times New Roman" w:eastAsia="黑体"/>
                <w:b w:val="0"/>
                <w:sz w:val="21"/>
              </w:rPr>
              <w:t>证据强度</w:t>
            </w:r>
          </w:p>
        </w:tc>
        <w:tc>
          <w:tcPr>
            <w:tcW w:type="dxa" w:w="1768"/>
            <w:tcBorders>
              <w:bottom w:val="single" w:sz="6" w:color="000000"/>
            </w:tcBorders>
          </w:tcPr>
          <w:p>
            <w:pPr>
              <w:spacing w:line="240" w:lineRule="auto"/>
              <w:jc w:val="center"/>
            </w:pPr>
            <w:r/>
            <w:r>
              <w:rPr>
                <w:rFonts w:ascii="Times New Roman" w:hAnsi="Times New Roman" w:eastAsia="黑体"/>
                <w:b w:val="0"/>
                <w:sz w:val="21"/>
              </w:rPr>
              <w:t>教育可及性</w:t>
            </w:r>
          </w:p>
        </w:tc>
        <w:tc>
          <w:tcPr>
            <w:tcW w:type="dxa" w:w="1768"/>
            <w:tcBorders>
              <w:bottom w:val="single" w:sz="6" w:color="000000"/>
            </w:tcBorders>
          </w:tcPr>
          <w:p>
            <w:pPr>
              <w:spacing w:line="240" w:lineRule="auto"/>
              <w:jc w:val="center"/>
            </w:pPr>
            <w:r/>
            <w:r>
              <w:rPr>
                <w:rFonts w:ascii="Times New Roman" w:hAnsi="Times New Roman" w:eastAsia="黑体"/>
                <w:b w:val="0"/>
                <w:sz w:val="21"/>
              </w:rPr>
              <w:t>不可替代性</w:t>
            </w:r>
          </w:p>
        </w:tc>
        <w:tc>
          <w:tcPr>
            <w:tcW w:type="dxa" w:w="1768"/>
            <w:tcBorders>
              <w:bottom w:val="single" w:sz="6" w:color="000000"/>
            </w:tcBorders>
          </w:tcPr>
          <w:p>
            <w:pPr>
              <w:spacing w:line="240" w:lineRule="auto"/>
              <w:jc w:val="center"/>
            </w:pPr>
            <w:r/>
            <w:r>
              <w:rPr>
                <w:rFonts w:ascii="Times New Roman" w:hAnsi="Times New Roman" w:eastAsia="黑体"/>
                <w:b w:val="0"/>
                <w:sz w:val="21"/>
              </w:rPr>
              <w:t>优先次序</w:t>
            </w:r>
          </w:p>
        </w:tc>
      </w:tr>
      <w:tr>
        <w:tc>
          <w:tcPr>
            <w:tcW w:type="dxa" w:w="1768"/>
          </w:tcPr>
          <w:p>
            <w:pPr>
              <w:spacing w:line="240" w:lineRule="auto"/>
              <w:jc w:val="left"/>
            </w:pPr>
            <w:r>
              <w:rPr>
                <w:rFonts w:ascii="Times New Roman" w:hAnsi="Times New Roman" w:eastAsia="宋体"/>
                <w:b w:val="0"/>
                <w:sz w:val="21"/>
              </w:rPr>
              <w:t>系统化设计与市场研究课程化</w:t>
            </w:r>
          </w:p>
        </w:tc>
        <w:tc>
          <w:tcPr>
            <w:tcW w:type="dxa" w:w="1768"/>
          </w:tcPr>
          <w:p>
            <w:pPr>
              <w:spacing w:line="240" w:lineRule="auto"/>
              <w:jc w:val="left"/>
            </w:pPr>
            <w:r>
              <w:rPr>
                <w:rFonts w:ascii="Times New Roman" w:hAnsi="Times New Roman" w:eastAsia="宋体"/>
                <w:b w:val="0"/>
                <w:sz w:val="21"/>
              </w:rPr>
              <w:t>通过（要求侧与职责侧双端证据）</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第一优先</w:t>
            </w:r>
          </w:p>
        </w:tc>
      </w:tr>
      <w:tr>
        <w:tc>
          <w:tcPr>
            <w:tcW w:type="dxa" w:w="1768"/>
          </w:tcPr>
          <w:p>
            <w:pPr>
              <w:spacing w:line="240" w:lineRule="auto"/>
              <w:jc w:val="left"/>
            </w:pPr>
            <w:r>
              <w:rPr>
                <w:rFonts w:ascii="Times New Roman" w:hAnsi="Times New Roman" w:eastAsia="宋体"/>
                <w:b w:val="0"/>
                <w:sz w:val="21"/>
              </w:rPr>
              <w:t>以判断为目标的人工智能课程</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部分通过</w:t>
            </w:r>
          </w:p>
        </w:tc>
        <w:tc>
          <w:tcPr>
            <w:tcW w:type="dxa" w:w="1768"/>
          </w:tcPr>
          <w:p>
            <w:pPr>
              <w:spacing w:line="240" w:lineRule="auto"/>
              <w:jc w:val="left"/>
            </w:pPr>
            <w:r>
              <w:rPr>
                <w:rFonts w:ascii="Times New Roman" w:hAnsi="Times New Roman" w:eastAsia="宋体"/>
                <w:b w:val="0"/>
                <w:sz w:val="21"/>
              </w:rPr>
              <w:t>第二优先</w:t>
            </w:r>
          </w:p>
        </w:tc>
      </w:tr>
      <w:tr>
        <w:tc>
          <w:tcPr>
            <w:tcW w:type="dxa" w:w="1768"/>
          </w:tcPr>
          <w:p>
            <w:pPr>
              <w:spacing w:line="240" w:lineRule="auto"/>
              <w:jc w:val="left"/>
            </w:pPr>
            <w:r>
              <w:rPr>
                <w:rFonts w:ascii="Times New Roman" w:hAnsi="Times New Roman" w:eastAsia="宋体"/>
                <w:b w:val="0"/>
                <w:sz w:val="21"/>
              </w:rPr>
              <w:t>项目制环节制度化</w:t>
            </w:r>
          </w:p>
        </w:tc>
        <w:tc>
          <w:tcPr>
            <w:tcW w:type="dxa" w:w="1768"/>
          </w:tcPr>
          <w:p>
            <w:pPr>
              <w:spacing w:line="240" w:lineRule="auto"/>
              <w:jc w:val="left"/>
            </w:pPr>
            <w:r>
              <w:rPr>
                <w:rFonts w:ascii="Times New Roman" w:hAnsi="Times New Roman" w:eastAsia="宋体"/>
                <w:b w:val="0"/>
                <w:sz w:val="21"/>
              </w:rPr>
              <w:t>部分通过（依赖经验型要求的整体规模）</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第三优先</w:t>
            </w:r>
          </w:p>
        </w:tc>
      </w:tr>
      <w:tr>
        <w:tc>
          <w:tcPr>
            <w:tcW w:type="dxa" w:w="1768"/>
          </w:tcPr>
          <w:p>
            <w:pPr>
              <w:spacing w:line="240" w:lineRule="auto"/>
              <w:jc w:val="left"/>
            </w:pPr>
            <w:r>
              <w:rPr>
                <w:rFonts w:ascii="Times New Roman" w:hAnsi="Times New Roman" w:eastAsia="宋体"/>
                <w:b w:val="0"/>
                <w:sz w:val="21"/>
              </w:rPr>
              <w:t>绿色设计、批判性思维与持续学习</w:t>
            </w:r>
          </w:p>
        </w:tc>
        <w:tc>
          <w:tcPr>
            <w:tcW w:type="dxa" w:w="1768"/>
          </w:tcPr>
          <w:p>
            <w:pPr>
              <w:spacing w:line="240" w:lineRule="auto"/>
              <w:jc w:val="left"/>
            </w:pPr>
            <w:r>
              <w:rPr>
                <w:rFonts w:ascii="Times New Roman" w:hAnsi="Times New Roman" w:eastAsia="宋体"/>
                <w:b w:val="0"/>
                <w:sz w:val="21"/>
              </w:rPr>
              <w:t>通过（多源收敛）</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待观察（招聘文本零命中）</w:t>
            </w:r>
          </w:p>
        </w:tc>
      </w:tr>
    </w:tbl>
    <w:p>
      <w:pPr>
        <w:spacing w:after="0"/>
        <w:ind w:firstLine="480"/>
      </w:pPr>
      <w:r>
        <w:rPr>
          <w:rFonts w:ascii="Times New Roman" w:hAnsi="Times New Roman" w:eastAsia="宋体"/>
          <w:b w:val="0"/>
          <w:sz w:val="24"/>
        </w:rPr>
        <w:t>据此，本研究按三道筛选给出优先次序。系统化设计意识与市场研究通过全部三道筛选，且均具备要求侧与职责侧的双端证据，列为第一优先。以判断为目标的人工智能课程通过证据强度与教育可及性两道，在不可替代性上稍弱，因为部分判断能力可在工作中自然形成，列为第二优先。项目制环节的制度化通过教育可及性与不可替代性两道，其证据强度依赖经验型要求的整体规模，列为第三优先。绿色设计、批判性思维与持续学习虽有多源证据，但在招聘文本中零命中，须与就业现实对照之后再定，列为待观察项。</w:t>
      </w:r>
    </w:p>
    <w:p>
      <w:pPr>
        <w:spacing w:after="0"/>
        <w:ind w:firstLine="480"/>
      </w:pPr>
      <w:r>
        <w:rPr>
          <w:rFonts w:ascii="Times New Roman" w:hAnsi="Times New Roman" w:eastAsia="宋体"/>
          <w:b w:val="0"/>
          <w:sz w:val="24"/>
        </w:rPr>
        <w:t>教育支持的候选方向相应有三。第一，把系统化设计与市场研究由隐含要求转为正式课程，前者对应最尖锐的课名层零对应，后者对应只有泛载体的现状；其课程形态宜以工作方式训练为主，而非以知识讲授为主。第二，开设以判断为目标的人工智能课程，重点不在工具操作，而在对人工智能产出的评估、选择与精炼，使学生具备对生成结果的质量判断能力。第三，把项目制环节制度化，使实习、毕业设计与企业课题成为稳定的对接形态，同时服务作品集与项目落地经验两项要求。上述三项均以教育可及性为前提，即在学校现有资源条件下能够落地。</w:t>
      </w:r>
    </w:p>
    <w:p>
      <w:pPr>
        <w:spacing w:after="0"/>
        <w:ind w:firstLine="480"/>
      </w:pPr>
      <w:r>
        <w:rPr>
          <w:rFonts w:ascii="Times New Roman" w:hAnsi="Times New Roman" w:eastAsia="宋体"/>
          <w:b w:val="0"/>
          <w:sz w:val="24"/>
        </w:rPr>
        <w:t>（七）理论意涵</w:t>
      </w:r>
    </w:p>
    <w:p>
      <w:pPr>
        <w:spacing w:after="0"/>
        <w:ind w:firstLine="480"/>
      </w:pPr>
      <w:r>
        <w:rPr>
          <w:rFonts w:ascii="Times New Roman" w:hAnsi="Times New Roman" w:eastAsia="宋体"/>
          <w:b w:val="0"/>
          <w:sz w:val="24"/>
        </w:rPr>
        <w:t>本研究的理论意图在于把设计教育还原为一个具有社会属性的中介环节。课程设置既是知识分类的结果，也是资本分配与惯习塑造的机制；招聘文本、政策文本与趋势报告分别代表劳动力市场、国家治理与全球议程三类行动者的话语，它们通过学科目录、学分规定与评价指标等中介环节作用于院校决策；而设计物与设计实践则在这一结构中成为社会关系与文化意义的物质化形式。就此而言，设计教育的改革问题不应简化为课程门类的增减，而应追问何种能力被制度承认、何种能力被推给市场，以及这一分配方式对学生的职业路径与社会流动预期意味着什么。参与式设计与社会创新等取向在此具有现实意义：它们将设计的对象从孤立的产品扩展至关系与制度，因而也更依赖学生具备判断、协作与论证的能力，而这恰是本研究识别出的缺口所在。</w:t>
      </w:r>
    </w:p>
    <w:p>
      <w:pPr>
        <w:spacing w:after="0"/>
        <w:ind w:firstLine="480"/>
      </w:pPr>
      <w:r>
        <w:rPr>
          <w:rFonts w:ascii="Times New Roman" w:hAnsi="Times New Roman" w:eastAsia="宋体"/>
          <w:b w:val="0"/>
          <w:sz w:val="24"/>
        </w:rPr>
        <w:t>（八）研究局限</w:t>
      </w:r>
    </w:p>
    <w:p>
      <w:pPr>
        <w:spacing w:after="0"/>
        <w:ind w:firstLine="480"/>
      </w:pPr>
      <w:r>
        <w:rPr>
          <w:rFonts w:ascii="Times New Roman" w:hAnsi="Times New Roman" w:eastAsia="宋体"/>
          <w:b w:val="0"/>
          <w:sz w:val="24"/>
        </w:rPr>
        <w:t>本研究存在若干局限。供给面的观测止于课程名义层，“课名没有”不等于“没有教”。跨源对照为单编码，争议格由研究者逐条审定，未做第二编码者复核。人工盲编仅 3 条，不足以支撑稳定的信度系数。国内样本为定向采集，其比例不可与海外层直接比较。出口路径面只有一个数据源、一个年度，其代表性有限。后续研究可在三处推进：以教学大纲与课堂观察补充供给面的内容层；对跨源对照矩阵实施第二编码者复核，并单独留存课程名义层的检索记录；对系统化设计意识与市场研究两项开展雇主侧访谈，检验招聘要求与实际在岗使用之间的差距。至于这些支持应以何种课程形态、按什么顺序进入培养体系，属于教育专业判断，须由研究者以教师立场另行讨论，本研究不作替代性回答。</w:t>
      </w:r>
    </w:p>
    <w:p>
      <w:pPr>
        <w:spacing w:before="200" w:after="80"/>
        <w:jc w:val="left"/>
      </w:pPr>
      <w:r>
        <w:rPr>
          <w:rFonts w:ascii="Times New Roman" w:hAnsi="Times New Roman" w:eastAsia="黑体"/>
          <w:b/>
          <w:sz w:val="24"/>
        </w:rPr>
        <w:t>参考文献</w:t>
      </w:r>
    </w:p>
    <w:p>
      <w:pPr>
        <w:spacing w:after="40" w:line="240" w:lineRule="auto"/>
        <w:ind w:left="482" w:hanging="482"/>
      </w:pPr>
      <w:r>
        <w:rPr>
          <w:rFonts w:ascii="Times New Roman" w:hAnsi="Times New Roman" w:eastAsia="宋体"/>
          <w:b w:val="0"/>
          <w:sz w:val="21"/>
        </w:rPr>
        <w:t>[1] 布迪厄. 区分：判断力的社会批判[M]. 刘晖, 译. 北京: 商务印书馆, 2015.</w:t>
      </w:r>
    </w:p>
    <w:p>
      <w:pPr>
        <w:spacing w:after="40" w:line="240" w:lineRule="auto"/>
        <w:ind w:left="482" w:hanging="482"/>
      </w:pPr>
      <w:r>
        <w:rPr>
          <w:rFonts w:ascii="Times New Roman" w:hAnsi="Times New Roman" w:eastAsia="宋体"/>
          <w:b w:val="0"/>
          <w:sz w:val="21"/>
        </w:rPr>
        <w:t>[2] 布迪厄, 华康德. 实践与反思：反思社会学导引[M]. 李猛, 李康, 译. 北京: 中央编译出版社, 1998.</w:t>
      </w:r>
    </w:p>
    <w:p>
      <w:pPr>
        <w:spacing w:after="40" w:line="240" w:lineRule="auto"/>
        <w:ind w:left="482" w:hanging="482"/>
      </w:pPr>
      <w:r>
        <w:rPr>
          <w:rFonts w:ascii="Times New Roman" w:hAnsi="Times New Roman" w:eastAsia="宋体"/>
          <w:b w:val="0"/>
          <w:sz w:val="21"/>
        </w:rPr>
        <w:t>[3] 拉图尔. 重组社会：行动者网络理论导论[M]. 刘鹏, 安涅思, 译. 北京: 商务印书馆, 2022.</w:t>
      </w:r>
    </w:p>
    <w:p>
      <w:pPr>
        <w:spacing w:after="40" w:line="240" w:lineRule="auto"/>
        <w:ind w:left="482" w:hanging="482"/>
      </w:pPr>
      <w:r>
        <w:rPr>
          <w:rFonts w:ascii="Times New Roman" w:hAnsi="Times New Roman" w:eastAsia="宋体"/>
          <w:b w:val="0"/>
          <w:sz w:val="21"/>
        </w:rPr>
        <w:t>[4] 列斐伏尔. 空间的生产[M]. 刘怀玉, 等译. 北京: 商务印书馆, 2021.</w:t>
      </w:r>
    </w:p>
    <w:p>
      <w:pPr>
        <w:spacing w:after="40" w:line="240" w:lineRule="auto"/>
        <w:ind w:left="482" w:hanging="482"/>
      </w:pPr>
      <w:r>
        <w:rPr>
          <w:rFonts w:ascii="Times New Roman" w:hAnsi="Times New Roman" w:eastAsia="宋体"/>
          <w:b w:val="0"/>
          <w:sz w:val="21"/>
        </w:rPr>
        <w:t>[5] 吴杰. 高校有组织科研中教师协作的影响因素与优化路径研究[D]. 广州: 华南师范大学, 2026.</w:t>
      </w:r>
    </w:p>
    <w:p>
      <w:pPr>
        <w:spacing w:after="40" w:line="240" w:lineRule="auto"/>
        <w:ind w:left="482" w:hanging="482"/>
      </w:pPr>
      <w:r>
        <w:rPr>
          <w:rFonts w:ascii="Times New Roman" w:hAnsi="Times New Roman" w:eastAsia="宋体"/>
          <w:b w:val="0"/>
          <w:sz w:val="21"/>
        </w:rPr>
        <w:t>[6] 段胜峰, 等. 设计学科交叉融合与人才培养模式研究[J]. 装饰, 2026（卷期页码待核）.</w:t>
      </w:r>
    </w:p>
    <w:p>
      <w:pPr>
        <w:spacing w:after="40" w:line="240" w:lineRule="auto"/>
        <w:ind w:left="482" w:hanging="482"/>
      </w:pPr>
      <w:r>
        <w:rPr>
          <w:rFonts w:ascii="Times New Roman" w:hAnsi="Times New Roman" w:eastAsia="宋体"/>
          <w:b w:val="0"/>
          <w:sz w:val="21"/>
        </w:rPr>
        <w:t>[7] 陈旺, 李钰. 人工智能语境下设计教育的转型路径[J]. 艺术设计研究, 2024（期号待核）.</w:t>
      </w:r>
    </w:p>
    <w:p>
      <w:pPr>
        <w:spacing w:after="40" w:line="240" w:lineRule="auto"/>
        <w:ind w:left="482" w:hanging="482"/>
      </w:pPr>
      <w:r>
        <w:rPr>
          <w:rFonts w:ascii="Times New Roman" w:hAnsi="Times New Roman" w:eastAsia="宋体"/>
          <w:b w:val="0"/>
          <w:sz w:val="21"/>
        </w:rPr>
        <w:t>[8] 付学佳, 等. 生成式人工智能对设计从业能力结构的影响[J]. 设计, 2025（期号待核）.</w:t>
      </w:r>
    </w:p>
    <w:p>
      <w:pPr>
        <w:spacing w:after="40" w:line="240" w:lineRule="auto"/>
        <w:ind w:left="482" w:hanging="482"/>
      </w:pPr>
      <w:r>
        <w:rPr>
          <w:rFonts w:ascii="Times New Roman" w:hAnsi="Times New Roman" w:eastAsia="宋体"/>
          <w:b w:val="0"/>
          <w:sz w:val="21"/>
        </w:rPr>
        <w:t>[9] 闫五一. 设计类研究生培养方案的知识结构分析[J]. 装饰, 2025（期号待核）.</w:t>
      </w:r>
    </w:p>
    <w:p>
      <w:pPr>
        <w:spacing w:after="40" w:line="240" w:lineRule="auto"/>
        <w:ind w:left="482" w:hanging="482"/>
      </w:pPr>
      <w:r>
        <w:rPr>
          <w:rFonts w:ascii="Times New Roman" w:hAnsi="Times New Roman" w:eastAsia="宋体"/>
          <w:b w:val="0"/>
          <w:sz w:val="21"/>
        </w:rPr>
        <w:t>[10] Bankins, S., et al. Navigating career stages in the age of artificial intelligence: A systematic review[J]. Journal of Vocational Behavior, 2024, 153: 104011.</w:t>
      </w:r>
    </w:p>
    <w:p>
      <w:pPr>
        <w:spacing w:after="40" w:line="240" w:lineRule="auto"/>
        <w:ind w:left="482" w:hanging="482"/>
      </w:pPr>
      <w:r>
        <w:rPr>
          <w:rFonts w:ascii="Times New Roman" w:hAnsi="Times New Roman" w:eastAsia="宋体"/>
          <w:b w:val="0"/>
          <w:sz w:val="21"/>
        </w:rPr>
        <w:t>[11] Portocarrero Ramos, C., et al. Artificial intelligence and design education: A systematic review[J]. Frontiers in Artificial Intelligence, 2025, 8: 1629320.</w:t>
      </w:r>
    </w:p>
    <w:p>
      <w:pPr>
        <w:spacing w:after="40" w:line="240" w:lineRule="auto"/>
        <w:ind w:left="482" w:hanging="482"/>
      </w:pPr>
      <w:r>
        <w:rPr>
          <w:rFonts w:ascii="Times New Roman" w:hAnsi="Times New Roman" w:eastAsia="宋体"/>
          <w:b w:val="0"/>
          <w:sz w:val="21"/>
        </w:rPr>
        <w:t>[12] Creswell, J. W., &amp; Plano Clark, V. L. Designing and conducting mixed methods research[M]. 3rd ed. Thousand Oaks: SAGE, 2018.</w:t>
      </w:r>
    </w:p>
    <w:p>
      <w:pPr>
        <w:spacing w:after="40" w:line="240" w:lineRule="auto"/>
        <w:ind w:left="482" w:hanging="482"/>
      </w:pPr>
      <w:r>
        <w:rPr>
          <w:rFonts w:ascii="Times New Roman" w:hAnsi="Times New Roman" w:eastAsia="宋体"/>
          <w:b w:val="0"/>
          <w:sz w:val="21"/>
        </w:rPr>
        <w:t>[13] Hsieh, H. F., &amp; Shannon, S. E. Three approaches to qualitative content analysis[J]. Qualitative Health Research, 2005, 15(9): 1277-1288.</w:t>
      </w:r>
    </w:p>
    <w:p>
      <w:pPr>
        <w:spacing w:after="40" w:line="240" w:lineRule="auto"/>
        <w:ind w:left="482" w:hanging="482"/>
      </w:pPr>
      <w:r>
        <w:rPr>
          <w:rFonts w:ascii="Times New Roman" w:hAnsi="Times New Roman" w:eastAsia="宋体"/>
          <w:b w:val="0"/>
          <w:sz w:val="21"/>
        </w:rPr>
        <w:t>[14] Krippendorff, K. Content analysis: An introduction to its methodology[M]. 4th ed. Thousand Oaks: SAGE, 2018.</w:t>
      </w:r>
    </w:p>
    <w:p>
      <w:pPr>
        <w:spacing w:after="40" w:line="240" w:lineRule="auto"/>
        <w:ind w:left="482" w:hanging="482"/>
      </w:pPr>
      <w:r>
        <w:rPr>
          <w:rFonts w:ascii="Times New Roman" w:hAnsi="Times New Roman" w:eastAsia="宋体"/>
          <w:b w:val="0"/>
          <w:sz w:val="21"/>
        </w:rPr>
        <w:t>[15] Spence, M. Job market signaling[J]. The Quarterly Journal of Economics, 1973, 87(3): 355-374.</w:t>
      </w:r>
    </w:p>
    <w:p>
      <w:pPr>
        <w:spacing w:after="40" w:line="240" w:lineRule="auto"/>
        <w:ind w:left="482" w:hanging="482"/>
      </w:pPr>
      <w:r>
        <w:rPr>
          <w:rFonts w:ascii="Times New Roman" w:hAnsi="Times New Roman" w:eastAsia="宋体"/>
          <w:b w:val="0"/>
          <w:sz w:val="21"/>
        </w:rPr>
        <w:t>[16] Witkin, B. R., &amp; Altschuld, J. W. Planning and conducting needs assessments: A practical guide[M]. Thousand Oaks: SAGE, 1995.</w:t>
      </w:r>
    </w:p>
    <w:p>
      <w:pPr>
        <w:spacing w:after="40" w:line="240" w:lineRule="auto"/>
        <w:ind w:left="482" w:hanging="482"/>
      </w:pPr>
      <w:r>
        <w:rPr>
          <w:rFonts w:ascii="Times New Roman" w:hAnsi="Times New Roman" w:eastAsia="宋体"/>
          <w:b w:val="0"/>
          <w:sz w:val="21"/>
        </w:rPr>
        <w:t>[17] World Economic Forum. The future of jobs report[R]. Geneva: WEF, 2018, 2020, 2025.</w:t>
      </w:r>
    </w:p>
    <w:p>
      <w:pPr>
        <w:spacing w:after="40" w:line="240" w:lineRule="auto"/>
        <w:ind w:left="482" w:hanging="482"/>
      </w:pPr>
      <w:r>
        <w:rPr>
          <w:rFonts w:ascii="Times New Roman" w:hAnsi="Times New Roman" w:eastAsia="宋体"/>
          <w:b w:val="0"/>
          <w:sz w:val="21"/>
        </w:rPr>
        <w:t>[18] 中华人民共和国工业和信息化部. 制造业设计能力提升专项行动计划[Z]. 2019.</w:t>
      </w:r>
    </w:p>
    <w:p>
      <w:pPr>
        <w:spacing w:before="200" w:after="80"/>
        <w:jc w:val="left"/>
      </w:pPr>
      <w:r>
        <w:rPr>
          <w:rFonts w:ascii="Times New Roman" w:hAnsi="Times New Roman" w:eastAsia="黑体"/>
          <w:b/>
          <w:sz w:val="24"/>
        </w:rPr>
        <w:t>附录</w:t>
      </w:r>
    </w:p>
    <w:p>
      <w:pPr>
        <w:spacing w:before="240" w:after="120"/>
      </w:pPr>
      <w:r>
        <w:rPr>
          <w:rFonts w:ascii="Times New Roman" w:hAnsi="Times New Roman" w:eastAsia="黑体"/>
          <w:b/>
          <w:sz w:val="28"/>
        </w:rPr>
        <w:t>附录一　材料与采集</w:t>
      </w:r>
    </w:p>
    <w:p>
      <w:pPr>
        <w:spacing w:after="0"/>
        <w:ind w:firstLine="480"/>
      </w:pPr>
      <w:r>
        <w:rPr>
          <w:rFonts w:ascii="Times New Roman" w:hAnsi="Times New Roman" w:eastAsia="宋体"/>
          <w:b w:val="0"/>
          <w:sz w:val="24"/>
        </w:rPr>
        <w:t>本研究的材料共八项来源，其采集方式、时间窗、规模与承担者如表 A1 所示。其中问卷 B 与问卷 C 的原始导出表、问卷 A 的按文本导出表以及两次访谈的记录稿均已收存，来源可追溯。当前仍未取得的过程信息包括：题 6 桌面研究的检索时间窗与“高赞”筛选阈值；三份问卷的院校分布，其 IP 归属显示问卷 A 与问卷 B 以广东、浙江为主，问卷 C 另有湖南，只可作抽样来源的线索；两次访谈的时长、转录与编码规则。</w:t>
      </w:r>
    </w:p>
    <w:p>
      <w:pPr>
        <w:spacing w:before="120" w:after="40"/>
        <w:jc w:val="center"/>
      </w:pPr>
      <w:r>
        <w:rPr>
          <w:rFonts w:ascii="Times New Roman" w:hAnsi="Times New Roman" w:eastAsia="黑体"/>
          <w:b w:val="0"/>
          <w:sz w:val="21"/>
        </w:rPr>
        <w:t>表 A1　材料来源、采集方式与规模</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1768"/>
        <w:gridCol w:w="1768"/>
        <w:gridCol w:w="1768"/>
        <w:gridCol w:w="1768"/>
        <w:gridCol w:w="1768"/>
      </w:tblGrid>
      <w:tr>
        <w:tc>
          <w:tcPr>
            <w:tcW w:type="dxa" w:w="1768"/>
            <w:tcBorders>
              <w:bottom w:val="single" w:sz="6" w:color="000000"/>
            </w:tcBorders>
          </w:tcPr>
          <w:p>
            <w:pPr>
              <w:spacing w:line="240" w:lineRule="auto"/>
              <w:jc w:val="center"/>
            </w:pPr>
            <w:r/>
            <w:r>
              <w:rPr>
                <w:rFonts w:ascii="Times New Roman" w:hAnsi="Times New Roman" w:eastAsia="黑体"/>
                <w:b w:val="0"/>
                <w:sz w:val="21"/>
              </w:rPr>
              <w:t>来源</w:t>
            </w:r>
          </w:p>
        </w:tc>
        <w:tc>
          <w:tcPr>
            <w:tcW w:type="dxa" w:w="1768"/>
            <w:tcBorders>
              <w:bottom w:val="single" w:sz="6" w:color="000000"/>
            </w:tcBorders>
          </w:tcPr>
          <w:p>
            <w:pPr>
              <w:spacing w:line="240" w:lineRule="auto"/>
              <w:jc w:val="center"/>
            </w:pPr>
            <w:r/>
            <w:r>
              <w:rPr>
                <w:rFonts w:ascii="Times New Roman" w:hAnsi="Times New Roman" w:eastAsia="黑体"/>
                <w:b w:val="0"/>
                <w:sz w:val="21"/>
              </w:rPr>
              <w:t>采集方式</w:t>
            </w:r>
          </w:p>
        </w:tc>
        <w:tc>
          <w:tcPr>
            <w:tcW w:type="dxa" w:w="1768"/>
            <w:tcBorders>
              <w:bottom w:val="single" w:sz="6" w:color="000000"/>
            </w:tcBorders>
          </w:tcPr>
          <w:p>
            <w:pPr>
              <w:spacing w:line="240" w:lineRule="auto"/>
              <w:jc w:val="center"/>
            </w:pPr>
            <w:r/>
            <w:r>
              <w:rPr>
                <w:rFonts w:ascii="Times New Roman" w:hAnsi="Times New Roman" w:eastAsia="黑体"/>
                <w:b w:val="0"/>
                <w:sz w:val="21"/>
              </w:rPr>
              <w:t>时间窗</w:t>
            </w:r>
          </w:p>
        </w:tc>
        <w:tc>
          <w:tcPr>
            <w:tcW w:type="dxa" w:w="1768"/>
            <w:tcBorders>
              <w:bottom w:val="single" w:sz="6" w:color="000000"/>
            </w:tcBorders>
          </w:tcPr>
          <w:p>
            <w:pPr>
              <w:spacing w:line="240" w:lineRule="auto"/>
              <w:jc w:val="center"/>
            </w:pPr>
            <w:r/>
            <w:r>
              <w:rPr>
                <w:rFonts w:ascii="Times New Roman" w:hAnsi="Times New Roman" w:eastAsia="黑体"/>
                <w:b w:val="0"/>
                <w:sz w:val="21"/>
              </w:rPr>
              <w:t>规模与分母</w:t>
            </w:r>
          </w:p>
        </w:tc>
        <w:tc>
          <w:tcPr>
            <w:tcW w:type="dxa" w:w="1768"/>
            <w:tcBorders>
              <w:bottom w:val="single" w:sz="6" w:color="000000"/>
            </w:tcBorders>
          </w:tcPr>
          <w:p>
            <w:pPr>
              <w:spacing w:line="240" w:lineRule="auto"/>
              <w:jc w:val="center"/>
            </w:pPr>
            <w:r/>
            <w:r>
              <w:rPr>
                <w:rFonts w:ascii="Times New Roman" w:hAnsi="Times New Roman" w:eastAsia="黑体"/>
                <w:b w:val="0"/>
                <w:sz w:val="21"/>
              </w:rPr>
              <w:t>承担</w:t>
            </w:r>
          </w:p>
        </w:tc>
      </w:tr>
      <w:tr>
        <w:tc>
          <w:tcPr>
            <w:tcW w:type="dxa" w:w="1768"/>
          </w:tcPr>
          <w:p>
            <w:pPr>
              <w:spacing w:line="240" w:lineRule="auto"/>
              <w:jc w:val="left"/>
            </w:pPr>
            <w:r>
              <w:rPr>
                <w:rFonts w:ascii="Times New Roman" w:hAnsi="Times New Roman" w:eastAsia="宋体"/>
                <w:b w:val="0"/>
                <w:sz w:val="21"/>
              </w:rPr>
              <w:t>问卷 A</w:t>
            </w:r>
          </w:p>
        </w:tc>
        <w:tc>
          <w:tcPr>
            <w:tcW w:type="dxa" w:w="1768"/>
          </w:tcPr>
          <w:p>
            <w:pPr>
              <w:spacing w:line="240" w:lineRule="auto"/>
              <w:jc w:val="left"/>
            </w:pPr>
            <w:r>
              <w:rPr>
                <w:rFonts w:ascii="Times New Roman" w:hAnsi="Times New Roman" w:eastAsia="宋体"/>
                <w:b w:val="0"/>
                <w:sz w:val="21"/>
              </w:rPr>
              <w:t>微信 57、链接 9、手机提交 6</w:t>
            </w:r>
          </w:p>
        </w:tc>
        <w:tc>
          <w:tcPr>
            <w:tcW w:type="dxa" w:w="1768"/>
          </w:tcPr>
          <w:p>
            <w:pPr>
              <w:spacing w:line="240" w:lineRule="auto"/>
              <w:jc w:val="left"/>
            </w:pPr>
            <w:r>
              <w:rPr>
                <w:rFonts w:ascii="Times New Roman" w:hAnsi="Times New Roman" w:eastAsia="宋体"/>
                <w:b w:val="0"/>
                <w:sz w:val="21"/>
              </w:rPr>
              <w:t>2026-10-02 至 10-05</w:t>
            </w:r>
          </w:p>
        </w:tc>
        <w:tc>
          <w:tcPr>
            <w:tcW w:type="dxa" w:w="1768"/>
          </w:tcPr>
          <w:p>
            <w:pPr>
              <w:spacing w:line="240" w:lineRule="auto"/>
              <w:jc w:val="left"/>
            </w:pPr>
            <w:r>
              <w:rPr>
                <w:rFonts w:ascii="Times New Roman" w:hAnsi="Times New Roman" w:eastAsia="宋体"/>
                <w:b w:val="0"/>
                <w:sz w:val="21"/>
              </w:rPr>
              <w:t>有效样本 72（研究生 52、本科生 20）</w:t>
            </w:r>
          </w:p>
        </w:tc>
        <w:tc>
          <w:tcPr>
            <w:tcW w:type="dxa" w:w="1768"/>
          </w:tcPr>
          <w:p>
            <w:pPr>
              <w:spacing w:line="240" w:lineRule="auto"/>
              <w:jc w:val="left"/>
            </w:pPr>
            <w:r>
              <w:rPr>
                <w:rFonts w:ascii="Times New Roman" w:hAnsi="Times New Roman" w:eastAsia="宋体"/>
                <w:b w:val="0"/>
                <w:sz w:val="21"/>
              </w:rPr>
              <w:t>题 5（组员）</w:t>
            </w:r>
          </w:p>
        </w:tc>
      </w:tr>
      <w:tr>
        <w:tc>
          <w:tcPr>
            <w:tcW w:type="dxa" w:w="1768"/>
          </w:tcPr>
          <w:p>
            <w:pPr>
              <w:spacing w:line="240" w:lineRule="auto"/>
              <w:jc w:val="left"/>
            </w:pPr>
            <w:r>
              <w:rPr>
                <w:rFonts w:ascii="Times New Roman" w:hAnsi="Times New Roman" w:eastAsia="宋体"/>
                <w:b w:val="0"/>
                <w:sz w:val="21"/>
              </w:rPr>
              <w:t>问卷 B</w:t>
            </w:r>
          </w:p>
        </w:tc>
        <w:tc>
          <w:tcPr>
            <w:tcW w:type="dxa" w:w="1768"/>
          </w:tcPr>
          <w:p>
            <w:pPr>
              <w:spacing w:line="240" w:lineRule="auto"/>
              <w:jc w:val="left"/>
            </w:pPr>
            <w:r>
              <w:rPr>
                <w:rFonts w:ascii="Times New Roman" w:hAnsi="Times New Roman" w:eastAsia="宋体"/>
                <w:b w:val="0"/>
                <w:sz w:val="21"/>
              </w:rPr>
              <w:t>微信渠道</w:t>
            </w:r>
          </w:p>
        </w:tc>
        <w:tc>
          <w:tcPr>
            <w:tcW w:type="dxa" w:w="1768"/>
          </w:tcPr>
          <w:p>
            <w:pPr>
              <w:spacing w:line="240" w:lineRule="auto"/>
              <w:jc w:val="left"/>
            </w:pPr>
            <w:r>
              <w:rPr>
                <w:rFonts w:ascii="Times New Roman" w:hAnsi="Times New Roman" w:eastAsia="宋体"/>
                <w:b w:val="0"/>
                <w:sz w:val="21"/>
              </w:rPr>
              <w:t>2026-10-01 至 10-02</w:t>
            </w:r>
          </w:p>
        </w:tc>
        <w:tc>
          <w:tcPr>
            <w:tcW w:type="dxa" w:w="1768"/>
          </w:tcPr>
          <w:p>
            <w:pPr>
              <w:spacing w:line="240" w:lineRule="auto"/>
              <w:jc w:val="left"/>
            </w:pPr>
            <w:r>
              <w:rPr>
                <w:rFonts w:ascii="Times New Roman" w:hAnsi="Times New Roman" w:eastAsia="宋体"/>
                <w:b w:val="0"/>
                <w:sz w:val="21"/>
              </w:rPr>
              <w:t>有效样本 55（研究生 39、本科生 16）</w:t>
            </w:r>
          </w:p>
        </w:tc>
        <w:tc>
          <w:tcPr>
            <w:tcW w:type="dxa" w:w="1768"/>
          </w:tcPr>
          <w:p>
            <w:pPr>
              <w:spacing w:line="240" w:lineRule="auto"/>
              <w:jc w:val="left"/>
            </w:pPr>
            <w:r>
              <w:rPr>
                <w:rFonts w:ascii="Times New Roman" w:hAnsi="Times New Roman" w:eastAsia="宋体"/>
                <w:b w:val="0"/>
                <w:sz w:val="21"/>
              </w:rPr>
              <w:t>题 4（组员）</w:t>
            </w:r>
          </w:p>
        </w:tc>
      </w:tr>
      <w:tr>
        <w:tc>
          <w:tcPr>
            <w:tcW w:type="dxa" w:w="1768"/>
          </w:tcPr>
          <w:p>
            <w:pPr>
              <w:spacing w:line="240" w:lineRule="auto"/>
              <w:jc w:val="left"/>
            </w:pPr>
            <w:r>
              <w:rPr>
                <w:rFonts w:ascii="Times New Roman" w:hAnsi="Times New Roman" w:eastAsia="宋体"/>
                <w:b w:val="0"/>
                <w:sz w:val="21"/>
              </w:rPr>
              <w:t>问卷 C</w:t>
            </w:r>
          </w:p>
        </w:tc>
        <w:tc>
          <w:tcPr>
            <w:tcW w:type="dxa" w:w="1768"/>
          </w:tcPr>
          <w:p>
            <w:pPr>
              <w:spacing w:line="240" w:lineRule="auto"/>
              <w:jc w:val="left"/>
            </w:pPr>
            <w:r>
              <w:rPr>
                <w:rFonts w:ascii="Times New Roman" w:hAnsi="Times New Roman" w:eastAsia="宋体"/>
                <w:b w:val="0"/>
                <w:sz w:val="21"/>
              </w:rPr>
              <w:t>微信渠道</w:t>
            </w:r>
          </w:p>
        </w:tc>
        <w:tc>
          <w:tcPr>
            <w:tcW w:type="dxa" w:w="1768"/>
          </w:tcPr>
          <w:p>
            <w:pPr>
              <w:spacing w:line="240" w:lineRule="auto"/>
              <w:jc w:val="left"/>
            </w:pPr>
            <w:r>
              <w:rPr>
                <w:rFonts w:ascii="Times New Roman" w:hAnsi="Times New Roman" w:eastAsia="宋体"/>
                <w:b w:val="0"/>
                <w:sz w:val="21"/>
              </w:rPr>
              <w:t>2026-10-03 至 10-05</w:t>
            </w:r>
          </w:p>
        </w:tc>
        <w:tc>
          <w:tcPr>
            <w:tcW w:type="dxa" w:w="1768"/>
          </w:tcPr>
          <w:p>
            <w:pPr>
              <w:spacing w:line="240" w:lineRule="auto"/>
              <w:jc w:val="left"/>
            </w:pPr>
            <w:r>
              <w:rPr>
                <w:rFonts w:ascii="Times New Roman" w:hAnsi="Times New Roman" w:eastAsia="宋体"/>
                <w:b w:val="0"/>
                <w:sz w:val="21"/>
              </w:rPr>
              <w:t>发放 30、回收 21（多数题有效 20）</w:t>
            </w:r>
          </w:p>
        </w:tc>
        <w:tc>
          <w:tcPr>
            <w:tcW w:type="dxa" w:w="1768"/>
          </w:tcPr>
          <w:p>
            <w:pPr>
              <w:spacing w:line="240" w:lineRule="auto"/>
              <w:jc w:val="left"/>
            </w:pPr>
            <w:r>
              <w:rPr>
                <w:rFonts w:ascii="Times New Roman" w:hAnsi="Times New Roman" w:eastAsia="宋体"/>
                <w:b w:val="0"/>
                <w:sz w:val="21"/>
              </w:rPr>
              <w:t>题 1（组员）</w:t>
            </w:r>
          </w:p>
        </w:tc>
      </w:tr>
      <w:tr>
        <w:tc>
          <w:tcPr>
            <w:tcW w:type="dxa" w:w="1768"/>
          </w:tcPr>
          <w:p>
            <w:pPr>
              <w:spacing w:line="240" w:lineRule="auto"/>
              <w:jc w:val="left"/>
            </w:pPr>
            <w:r>
              <w:rPr>
                <w:rFonts w:ascii="Times New Roman" w:hAnsi="Times New Roman" w:eastAsia="宋体"/>
                <w:b w:val="0"/>
                <w:sz w:val="21"/>
              </w:rPr>
              <w:t>研二访谈</w:t>
            </w:r>
          </w:p>
        </w:tc>
        <w:tc>
          <w:tcPr>
            <w:tcW w:type="dxa" w:w="1768"/>
          </w:tcPr>
          <w:p>
            <w:pPr>
              <w:spacing w:line="240" w:lineRule="auto"/>
              <w:jc w:val="left"/>
            </w:pPr>
            <w:r>
              <w:rPr>
                <w:rFonts w:ascii="Times New Roman" w:hAnsi="Times New Roman" w:eastAsia="宋体"/>
                <w:b w:val="0"/>
                <w:sz w:val="21"/>
              </w:rPr>
              <w:t>半结构访谈</w:t>
            </w:r>
          </w:p>
        </w:tc>
        <w:tc>
          <w:tcPr>
            <w:tcW w:type="dxa" w:w="1768"/>
          </w:tcPr>
          <w:p>
            <w:pPr>
              <w:spacing w:line="240" w:lineRule="auto"/>
              <w:jc w:val="left"/>
            </w:pPr>
            <w:r>
              <w:rPr>
                <w:rFonts w:ascii="Times New Roman" w:hAnsi="Times New Roman" w:eastAsia="宋体"/>
                <w:b w:val="0"/>
                <w:sz w:val="21"/>
              </w:rPr>
              <w:t>待补</w:t>
            </w:r>
          </w:p>
        </w:tc>
        <w:tc>
          <w:tcPr>
            <w:tcW w:type="dxa" w:w="1768"/>
          </w:tcPr>
          <w:p>
            <w:pPr>
              <w:spacing w:line="240" w:lineRule="auto"/>
              <w:jc w:val="left"/>
            </w:pPr>
            <w:r>
              <w:rPr>
                <w:rFonts w:ascii="Times New Roman" w:hAnsi="Times New Roman" w:eastAsia="宋体"/>
                <w:b w:val="0"/>
                <w:sz w:val="21"/>
              </w:rPr>
              <w:t>提纲 12 问，记录稿 1 份</w:t>
            </w:r>
          </w:p>
        </w:tc>
        <w:tc>
          <w:tcPr>
            <w:tcW w:type="dxa" w:w="1768"/>
          </w:tcPr>
          <w:p>
            <w:pPr>
              <w:spacing w:line="240" w:lineRule="auto"/>
              <w:jc w:val="left"/>
            </w:pPr>
            <w:r>
              <w:rPr>
                <w:rFonts w:ascii="Times New Roman" w:hAnsi="Times New Roman" w:eastAsia="宋体"/>
                <w:b w:val="0"/>
                <w:sz w:val="21"/>
              </w:rPr>
              <w:t>题 1（组员）</w:t>
            </w:r>
          </w:p>
        </w:tc>
      </w:tr>
      <w:tr>
        <w:tc>
          <w:tcPr>
            <w:tcW w:type="dxa" w:w="1768"/>
          </w:tcPr>
          <w:p>
            <w:pPr>
              <w:spacing w:line="240" w:lineRule="auto"/>
              <w:jc w:val="left"/>
            </w:pPr>
            <w:r>
              <w:rPr>
                <w:rFonts w:ascii="Times New Roman" w:hAnsi="Times New Roman" w:eastAsia="宋体"/>
                <w:b w:val="0"/>
                <w:sz w:val="21"/>
              </w:rPr>
              <w:t>4 人访谈</w:t>
            </w:r>
          </w:p>
        </w:tc>
        <w:tc>
          <w:tcPr>
            <w:tcW w:type="dxa" w:w="1768"/>
          </w:tcPr>
          <w:p>
            <w:pPr>
              <w:spacing w:line="240" w:lineRule="auto"/>
              <w:jc w:val="left"/>
            </w:pPr>
            <w:r>
              <w:rPr>
                <w:rFonts w:ascii="Times New Roman" w:hAnsi="Times New Roman" w:eastAsia="宋体"/>
                <w:b w:val="0"/>
                <w:sz w:val="21"/>
              </w:rPr>
              <w:t>半结构访谈</w:t>
            </w:r>
          </w:p>
        </w:tc>
        <w:tc>
          <w:tcPr>
            <w:tcW w:type="dxa" w:w="1768"/>
          </w:tcPr>
          <w:p>
            <w:pPr>
              <w:spacing w:line="240" w:lineRule="auto"/>
              <w:jc w:val="left"/>
            </w:pPr>
            <w:r>
              <w:rPr>
                <w:rFonts w:ascii="Times New Roman" w:hAnsi="Times New Roman" w:eastAsia="宋体"/>
                <w:b w:val="0"/>
                <w:sz w:val="21"/>
              </w:rPr>
              <w:t>待补</w:t>
            </w:r>
          </w:p>
        </w:tc>
        <w:tc>
          <w:tcPr>
            <w:tcW w:type="dxa" w:w="1768"/>
          </w:tcPr>
          <w:p>
            <w:pPr>
              <w:spacing w:line="240" w:lineRule="auto"/>
              <w:jc w:val="left"/>
            </w:pPr>
            <w:r>
              <w:rPr>
                <w:rFonts w:ascii="Times New Roman" w:hAnsi="Times New Roman" w:eastAsia="宋体"/>
                <w:b w:val="0"/>
                <w:sz w:val="21"/>
              </w:rPr>
              <w:t>提纲 6 问，4 位受访者</w:t>
            </w:r>
          </w:p>
        </w:tc>
        <w:tc>
          <w:tcPr>
            <w:tcW w:type="dxa" w:w="1768"/>
          </w:tcPr>
          <w:p>
            <w:pPr>
              <w:spacing w:line="240" w:lineRule="auto"/>
              <w:jc w:val="left"/>
            </w:pPr>
            <w:r>
              <w:rPr>
                <w:rFonts w:ascii="Times New Roman" w:hAnsi="Times New Roman" w:eastAsia="宋体"/>
                <w:b w:val="0"/>
                <w:sz w:val="21"/>
              </w:rPr>
              <w:t>题 4（组员）</w:t>
            </w:r>
          </w:p>
        </w:tc>
      </w:tr>
      <w:tr>
        <w:tc>
          <w:tcPr>
            <w:tcW w:type="dxa" w:w="1768"/>
          </w:tcPr>
          <w:p>
            <w:pPr>
              <w:spacing w:line="240" w:lineRule="auto"/>
              <w:jc w:val="left"/>
            </w:pPr>
            <w:r>
              <w:rPr>
                <w:rFonts w:ascii="Times New Roman" w:hAnsi="Times New Roman" w:eastAsia="宋体"/>
                <w:b w:val="0"/>
                <w:sz w:val="21"/>
              </w:rPr>
              <w:t>桌面研究</w:t>
            </w:r>
          </w:p>
        </w:tc>
        <w:tc>
          <w:tcPr>
            <w:tcW w:type="dxa" w:w="1768"/>
          </w:tcPr>
          <w:p>
            <w:pPr>
              <w:spacing w:line="240" w:lineRule="auto"/>
              <w:jc w:val="left"/>
            </w:pPr>
            <w:r>
              <w:rPr>
                <w:rFonts w:ascii="Times New Roman" w:hAnsi="Times New Roman" w:eastAsia="宋体"/>
                <w:b w:val="0"/>
                <w:sz w:val="21"/>
              </w:rPr>
              <w:t>知网与平台检索</w:t>
            </w:r>
          </w:p>
        </w:tc>
        <w:tc>
          <w:tcPr>
            <w:tcW w:type="dxa" w:w="1768"/>
          </w:tcPr>
          <w:p>
            <w:pPr>
              <w:spacing w:line="240" w:lineRule="auto"/>
              <w:jc w:val="left"/>
            </w:pPr>
            <w:r>
              <w:rPr>
                <w:rFonts w:ascii="Times New Roman" w:hAnsi="Times New Roman" w:eastAsia="宋体"/>
                <w:b w:val="0"/>
                <w:sz w:val="21"/>
              </w:rPr>
              <w:t>待补</w:t>
            </w:r>
          </w:p>
        </w:tc>
        <w:tc>
          <w:tcPr>
            <w:tcW w:type="dxa" w:w="1768"/>
          </w:tcPr>
          <w:p>
            <w:pPr>
              <w:spacing w:line="240" w:lineRule="auto"/>
              <w:jc w:val="left"/>
            </w:pPr>
            <w:r>
              <w:rPr>
                <w:rFonts w:ascii="Times New Roman" w:hAnsi="Times New Roman" w:eastAsia="宋体"/>
                <w:b w:val="0"/>
                <w:sz w:val="21"/>
              </w:rPr>
              <w:t>文献与高赞帖子若干</w:t>
            </w:r>
          </w:p>
        </w:tc>
        <w:tc>
          <w:tcPr>
            <w:tcW w:type="dxa" w:w="1768"/>
          </w:tcPr>
          <w:p>
            <w:pPr>
              <w:spacing w:line="240" w:lineRule="auto"/>
              <w:jc w:val="left"/>
            </w:pPr>
            <w:r>
              <w:rPr>
                <w:rFonts w:ascii="Times New Roman" w:hAnsi="Times New Roman" w:eastAsia="宋体"/>
                <w:b w:val="0"/>
                <w:sz w:val="21"/>
              </w:rPr>
              <w:t>题 6（组员）</w:t>
            </w:r>
          </w:p>
        </w:tc>
      </w:tr>
      <w:tr>
        <w:tc>
          <w:tcPr>
            <w:tcW w:type="dxa" w:w="1768"/>
          </w:tcPr>
          <w:p>
            <w:pPr>
              <w:spacing w:line="240" w:lineRule="auto"/>
              <w:jc w:val="left"/>
            </w:pPr>
            <w:r>
              <w:rPr>
                <w:rFonts w:ascii="Times New Roman" w:hAnsi="Times New Roman" w:eastAsia="宋体"/>
                <w:b w:val="0"/>
                <w:sz w:val="21"/>
              </w:rPr>
              <w:t>职位说明书</w:t>
            </w:r>
          </w:p>
        </w:tc>
        <w:tc>
          <w:tcPr>
            <w:tcW w:type="dxa" w:w="1768"/>
          </w:tcPr>
          <w:p>
            <w:pPr>
              <w:spacing w:line="240" w:lineRule="auto"/>
              <w:jc w:val="left"/>
            </w:pPr>
            <w:r>
              <w:rPr>
                <w:rFonts w:ascii="Times New Roman" w:hAnsi="Times New Roman" w:eastAsia="宋体"/>
                <w:b w:val="0"/>
                <w:sz w:val="21"/>
              </w:rPr>
              <w:t>申请者追踪系统公开页与人工浏览</w:t>
            </w:r>
          </w:p>
        </w:tc>
        <w:tc>
          <w:tcPr>
            <w:tcW w:type="dxa" w:w="1768"/>
          </w:tcPr>
          <w:p>
            <w:pPr>
              <w:spacing w:line="240" w:lineRule="auto"/>
              <w:jc w:val="left"/>
            </w:pPr>
            <w:r>
              <w:rPr>
                <w:rFonts w:ascii="Times New Roman" w:hAnsi="Times New Roman" w:eastAsia="宋体"/>
                <w:b w:val="0"/>
                <w:sz w:val="21"/>
              </w:rPr>
              <w:t>截至 2026-10-07</w:t>
            </w:r>
          </w:p>
        </w:tc>
        <w:tc>
          <w:tcPr>
            <w:tcW w:type="dxa" w:w="1768"/>
          </w:tcPr>
          <w:p>
            <w:pPr>
              <w:spacing w:line="240" w:lineRule="auto"/>
              <w:jc w:val="left"/>
            </w:pPr>
            <w:r>
              <w:rPr>
                <w:rFonts w:ascii="Times New Roman" w:hAnsi="Times New Roman" w:eastAsia="宋体"/>
                <w:b w:val="0"/>
                <w:sz w:val="21"/>
              </w:rPr>
              <w:t>103 条</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国考职位表</w:t>
            </w:r>
          </w:p>
        </w:tc>
        <w:tc>
          <w:tcPr>
            <w:tcW w:type="dxa" w:w="1768"/>
          </w:tcPr>
          <w:p>
            <w:pPr>
              <w:spacing w:line="240" w:lineRule="auto"/>
              <w:jc w:val="left"/>
            </w:pPr>
            <w:r>
              <w:rPr>
                <w:rFonts w:ascii="Times New Roman" w:hAnsi="Times New Roman" w:eastAsia="宋体"/>
                <w:b w:val="0"/>
                <w:sz w:val="21"/>
              </w:rPr>
              <w:t>官方全量表结构化筛选</w:t>
            </w:r>
          </w:p>
        </w:tc>
        <w:tc>
          <w:tcPr>
            <w:tcW w:type="dxa" w:w="1768"/>
          </w:tcPr>
          <w:p>
            <w:pPr>
              <w:spacing w:line="240" w:lineRule="auto"/>
              <w:jc w:val="left"/>
            </w:pPr>
            <w:r>
              <w:rPr>
                <w:rFonts w:ascii="Times New Roman" w:hAnsi="Times New Roman" w:eastAsia="宋体"/>
                <w:b w:val="0"/>
                <w:sz w:val="21"/>
              </w:rPr>
              <w:t>截至 2026-10</w:t>
            </w:r>
          </w:p>
        </w:tc>
        <w:tc>
          <w:tcPr>
            <w:tcW w:type="dxa" w:w="1768"/>
          </w:tcPr>
          <w:p>
            <w:pPr>
              <w:spacing w:line="240" w:lineRule="auto"/>
              <w:jc w:val="left"/>
            </w:pPr>
            <w:r>
              <w:rPr>
                <w:rFonts w:ascii="Times New Roman" w:hAnsi="Times New Roman" w:eastAsia="宋体"/>
                <w:b w:val="0"/>
                <w:sz w:val="21"/>
              </w:rPr>
              <w:t>设计相关可报 380 岗</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国家与制度文本</w:t>
            </w:r>
          </w:p>
        </w:tc>
        <w:tc>
          <w:tcPr>
            <w:tcW w:type="dxa" w:w="1768"/>
          </w:tcPr>
          <w:p>
            <w:pPr>
              <w:spacing w:line="240" w:lineRule="auto"/>
              <w:jc w:val="left"/>
            </w:pPr>
            <w:r>
              <w:rPr>
                <w:rFonts w:ascii="Times New Roman" w:hAnsi="Times New Roman" w:eastAsia="宋体"/>
                <w:b w:val="0"/>
                <w:sz w:val="21"/>
              </w:rPr>
              <w:t>官方发布渠道</w:t>
            </w:r>
          </w:p>
        </w:tc>
        <w:tc>
          <w:tcPr>
            <w:tcW w:type="dxa" w:w="1768"/>
          </w:tcPr>
          <w:p>
            <w:pPr>
              <w:spacing w:line="240" w:lineRule="auto"/>
              <w:jc w:val="left"/>
            </w:pPr>
            <w:r>
              <w:rPr>
                <w:rFonts w:ascii="Times New Roman" w:hAnsi="Times New Roman" w:eastAsia="宋体"/>
                <w:b w:val="0"/>
                <w:sz w:val="21"/>
              </w:rPr>
              <w:t>截至 2026-10</w:t>
            </w:r>
          </w:p>
        </w:tc>
        <w:tc>
          <w:tcPr>
            <w:tcW w:type="dxa" w:w="1768"/>
          </w:tcPr>
          <w:p>
            <w:pPr>
              <w:spacing w:line="240" w:lineRule="auto"/>
              <w:jc w:val="left"/>
            </w:pPr>
            <w:r>
              <w:rPr>
                <w:rFonts w:ascii="Times New Roman" w:hAnsi="Times New Roman" w:eastAsia="宋体"/>
                <w:b w:val="0"/>
                <w:sz w:val="21"/>
              </w:rPr>
              <w:t>9 件</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趋势报告与文献</w:t>
            </w:r>
          </w:p>
        </w:tc>
        <w:tc>
          <w:tcPr>
            <w:tcW w:type="dxa" w:w="1768"/>
          </w:tcPr>
          <w:p>
            <w:pPr>
              <w:spacing w:line="240" w:lineRule="auto"/>
              <w:jc w:val="left"/>
            </w:pPr>
            <w:r>
              <w:rPr>
                <w:rFonts w:ascii="Times New Roman" w:hAnsi="Times New Roman" w:eastAsia="宋体"/>
                <w:b w:val="0"/>
                <w:sz w:val="21"/>
              </w:rPr>
              <w:t>国际组织官网与期刊数据库</w:t>
            </w:r>
          </w:p>
        </w:tc>
        <w:tc>
          <w:tcPr>
            <w:tcW w:type="dxa" w:w="1768"/>
          </w:tcPr>
          <w:p>
            <w:pPr>
              <w:spacing w:line="240" w:lineRule="auto"/>
              <w:jc w:val="left"/>
            </w:pPr>
            <w:r>
              <w:rPr>
                <w:rFonts w:ascii="Times New Roman" w:hAnsi="Times New Roman" w:eastAsia="宋体"/>
                <w:b w:val="0"/>
                <w:sz w:val="21"/>
              </w:rPr>
              <w:t>三期报告加趋势文献</w:t>
            </w:r>
          </w:p>
        </w:tc>
        <w:tc>
          <w:tcPr>
            <w:tcW w:type="dxa" w:w="1768"/>
          </w:tcPr>
          <w:p>
            <w:pPr>
              <w:spacing w:line="240" w:lineRule="auto"/>
              <w:jc w:val="left"/>
            </w:pPr>
            <w:r>
              <w:rPr>
                <w:rFonts w:ascii="Times New Roman" w:hAnsi="Times New Roman" w:eastAsia="宋体"/>
                <w:b w:val="0"/>
                <w:sz w:val="21"/>
              </w:rPr>
              <w:t>3 期加若干</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培养方案</w:t>
            </w:r>
          </w:p>
        </w:tc>
        <w:tc>
          <w:tcPr>
            <w:tcW w:type="dxa" w:w="1768"/>
          </w:tcPr>
          <w:p>
            <w:pPr>
              <w:spacing w:line="240" w:lineRule="auto"/>
              <w:jc w:val="left"/>
            </w:pPr>
            <w:r>
              <w:rPr>
                <w:rFonts w:ascii="Times New Roman" w:hAnsi="Times New Roman" w:eastAsia="宋体"/>
                <w:b w:val="0"/>
                <w:sz w:val="21"/>
              </w:rPr>
              <w:t>官网、互联网档案馆与第三方转载</w:t>
            </w:r>
          </w:p>
        </w:tc>
        <w:tc>
          <w:tcPr>
            <w:tcW w:type="dxa" w:w="1768"/>
          </w:tcPr>
          <w:p>
            <w:pPr>
              <w:spacing w:line="240" w:lineRule="auto"/>
              <w:jc w:val="left"/>
            </w:pPr>
            <w:r>
              <w:rPr>
                <w:rFonts w:ascii="Times New Roman" w:hAnsi="Times New Roman" w:eastAsia="宋体"/>
                <w:b w:val="0"/>
                <w:sz w:val="21"/>
              </w:rPr>
              <w:t>2019 至 2026 各年份</w:t>
            </w:r>
          </w:p>
        </w:tc>
        <w:tc>
          <w:tcPr>
            <w:tcW w:type="dxa" w:w="1768"/>
          </w:tcPr>
          <w:p>
            <w:pPr>
              <w:spacing w:line="240" w:lineRule="auto"/>
              <w:jc w:val="left"/>
            </w:pPr>
            <w:r>
              <w:rPr>
                <w:rFonts w:ascii="Times New Roman" w:hAnsi="Times New Roman" w:eastAsia="宋体"/>
                <w:b w:val="0"/>
                <w:sz w:val="21"/>
              </w:rPr>
              <w:t>16 所，其中 14 所取得课名层</w:t>
            </w:r>
          </w:p>
        </w:tc>
        <w:tc>
          <w:tcPr>
            <w:tcW w:type="dxa" w:w="1768"/>
          </w:tcPr>
          <w:p>
            <w:pPr>
              <w:spacing w:line="240" w:lineRule="auto"/>
              <w:jc w:val="left"/>
            </w:pPr>
            <w:r>
              <w:rPr>
                <w:rFonts w:ascii="Times New Roman" w:hAnsi="Times New Roman" w:eastAsia="宋体"/>
                <w:b w:val="0"/>
                <w:sz w:val="21"/>
              </w:rPr>
              <w:t>题 3（笔者）</w:t>
            </w:r>
          </w:p>
        </w:tc>
      </w:tr>
    </w:tbl>
    <w:p>
      <w:pPr>
        <w:spacing w:before="240" w:after="120"/>
      </w:pPr>
      <w:r>
        <w:rPr>
          <w:rFonts w:ascii="Times New Roman" w:hAnsi="Times New Roman" w:eastAsia="黑体"/>
          <w:b/>
          <w:sz w:val="28"/>
        </w:rPr>
        <w:t>附录二　三次问卷的统计要点</w:t>
      </w:r>
    </w:p>
    <w:p>
      <w:pPr>
        <w:spacing w:after="0"/>
        <w:ind w:firstLine="480"/>
      </w:pPr>
      <w:r>
        <w:rPr>
          <w:rFonts w:ascii="Times New Roman" w:hAnsi="Times New Roman" w:eastAsia="宋体"/>
          <w:b w:val="0"/>
          <w:sz w:val="24"/>
        </w:rPr>
        <w:t>问卷 A 共 17 题，除趋势判断与资源短缺两项外，还包括对课程与行业需求脱节程度的评价（均值 3.89，同意与非常同意 50 人，不同意 0 人）以及对人工智能影响就业的判断（均值 3.83，认为影响较大与非常大者 57 人）。问卷 B 共 10 题，除角色期待外，还包括使用环节与最大帮助两项，其结果已见表 2。问卷 C 共 16 题，除成长状态、困难与能力缺口外，还包括影响学习状态的因素，其中未来方向不明确被选择 13 次、竞争压力 10 次、成长路径不清晰 8 次；对职业发展清晰程度的自评为“比较模糊”5 人、“一般”10 人、“比较明确”5 人，最高与最低两档均为 0。逐题计数与比例见项目文件中的统计导出表。</w:t>
      </w:r>
    </w:p>
    <w:p>
      <w:pPr>
        <w:spacing w:before="240" w:after="120"/>
      </w:pPr>
      <w:r>
        <w:rPr>
          <w:rFonts w:ascii="Times New Roman" w:hAnsi="Times New Roman" w:eastAsia="黑体"/>
          <w:b/>
          <w:sz w:val="28"/>
        </w:rPr>
        <w:t>附录三　访谈提纲</w:t>
      </w:r>
    </w:p>
    <w:p>
      <w:pPr>
        <w:spacing w:after="0"/>
        <w:ind w:firstLine="480"/>
      </w:pPr>
      <w:r>
        <w:rPr>
          <w:rFonts w:ascii="Times New Roman" w:hAnsi="Times New Roman" w:eastAsia="宋体"/>
          <w:b w:val="0"/>
          <w:sz w:val="24"/>
        </w:rPr>
        <w:t>研二访谈提纲共 12 问，依次为专业方向与所处阶段、读研动机、课程与培养方式同入学期待的差距（含追问）、研究生阶段最重要的能力与学校培养最多的能力、设计与研究中最大的困难、学校项目与行业项目的差别、对人工智能影响的看法与能力焦虑、希望学校提供的支持、阻碍未来规划的最大因素、用一句话描述最大的困惑，以及两次追问。题 4 的 4 人访谈提纲共 6 问，依次为人工智能工具的使用阶段、未来在设计教育中应扮演的角色（追问工具、老师或设计伙伴）、可交由人工智能完成的工作、必须由学生本人完成的工作、人工智能评价方案时教师的不可替代作用以及希望增加的课程内容。访谈要点已并入正文第三章。</w:t>
      </w:r>
    </w:p>
    <w:p>
      <w:pPr>
        <w:spacing w:before="240" w:after="120"/>
      </w:pPr>
      <w:r>
        <w:rPr>
          <w:rFonts w:ascii="Times New Roman" w:hAnsi="Times New Roman" w:eastAsia="黑体"/>
          <w:b/>
          <w:sz w:val="28"/>
        </w:rPr>
        <w:t>附录四　编码手册与信度</w:t>
      </w:r>
    </w:p>
    <w:p>
      <w:pPr>
        <w:spacing w:after="0"/>
        <w:ind w:firstLine="480"/>
      </w:pPr>
      <w:r>
        <w:rPr>
          <w:rFonts w:ascii="Times New Roman" w:hAnsi="Times New Roman" w:eastAsia="宋体"/>
          <w:b w:val="0"/>
          <w:sz w:val="24"/>
        </w:rPr>
        <w:t>编码手册经历两次修订，最终版本包含 28 项能力与一个不属于能力框架的岗位经验小节。手册的修订记录分为三类：其一为初次比对之后所作的能力项边界裁决，编号 R1 至 R11；其二为能力项边界的再次审定，编号 R12 至 R14；其三为把无法归入既有项的表述集中归纳为新的能力项，编号 R17 至 R22。信度方面，21 条复核样本中层级一致 57 处、族类一致 20 处、逐项命中一致 5 处；争议最大的能力项在边界收紧之后，其 κ 值由 0.34 升至 0.88；研究者本人 3 条独立盲编与主编码的 Jaccard 相似度均值为 0.32，样本量不足，仅供参考。政策面与时代面坚持各自编码、互不套用，前者得到九类政策任务，后者得到十个趋势主题；词频统计以文本全文为分母，政策纲要去除空白后为 76,841 个字符。</w:t>
      </w:r>
    </w:p>
    <w:p>
      <w:pPr>
        <w:spacing w:before="240" w:after="120"/>
      </w:pPr>
      <w:r>
        <w:rPr>
          <w:rFonts w:ascii="Times New Roman" w:hAnsi="Times New Roman" w:eastAsia="黑体"/>
          <w:b/>
          <w:sz w:val="28"/>
        </w:rPr>
        <w:t>附录五　跨源对照矩阵</w:t>
      </w:r>
    </w:p>
    <w:p>
      <w:pPr>
        <w:spacing w:after="0"/>
        <w:ind w:firstLine="480"/>
      </w:pPr>
      <w:r>
        <w:rPr>
          <w:rFonts w:ascii="Times New Roman" w:hAnsi="Times New Roman" w:eastAsia="宋体"/>
          <w:b w:val="0"/>
          <w:sz w:val="24"/>
        </w:rPr>
        <w:t>矩阵以 28 项能力为行，以供给、国家、时代三类文本为列，逐格标注对映关系与共现计数，其节选已见表 8。登记在框架之外的范畴共 14 条，包括绿色设计、美育、中华美学与城市风貌、批判性思维与元认知、共情与照护、持续学习、理论史论素养、人文与社会、公共必修与语言、发展环境与教科人才一体等制度类条目、再培训的心理成本、提示工程与策展半边，以及出口路径面整表。矩阵的完整版本与逐格证据出处见项目文件。</w:t>
      </w:r>
    </w:p>
    <w:p>
      <w:pPr>
        <w:spacing w:before="240" w:after="120"/>
      </w:pPr>
      <w:r>
        <w:rPr>
          <w:rFonts w:ascii="Times New Roman" w:hAnsi="Times New Roman" w:eastAsia="黑体"/>
          <w:b/>
          <w:sz w:val="28"/>
        </w:rPr>
        <w:t>附录六　口径与引用核验</w:t>
      </w:r>
    </w:p>
    <w:p>
      <w:pPr>
        <w:spacing w:after="0"/>
        <w:ind w:firstLine="480"/>
      </w:pPr>
      <w:r>
        <w:rPr>
          <w:rFonts w:ascii="Times New Roman" w:hAnsi="Times New Roman" w:eastAsia="宋体"/>
          <w:b w:val="0"/>
          <w:sz w:val="24"/>
        </w:rPr>
        <w:t>缺口判定与优先次序的筛选规则汇总于表 A2。</w:t>
      </w:r>
    </w:p>
    <w:p>
      <w:pPr>
        <w:spacing w:before="120" w:after="40"/>
        <w:jc w:val="center"/>
      </w:pPr>
      <w:r>
        <w:rPr>
          <w:rFonts w:ascii="Times New Roman" w:hAnsi="Times New Roman" w:eastAsia="黑体"/>
          <w:b w:val="0"/>
          <w:sz w:val="21"/>
        </w:rPr>
        <w:t>表 A2　缺口判定规则与优先次序筛选</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环节</w:t>
            </w:r>
          </w:p>
        </w:tc>
        <w:tc>
          <w:tcPr>
            <w:tcW w:type="dxa" w:w="4419"/>
            <w:tcBorders>
              <w:bottom w:val="single" w:sz="6" w:color="000000"/>
            </w:tcBorders>
          </w:tcPr>
          <w:p>
            <w:pPr>
              <w:spacing w:line="240" w:lineRule="auto"/>
              <w:jc w:val="center"/>
            </w:pPr>
            <w:r/>
            <w:r>
              <w:rPr>
                <w:rFonts w:ascii="Times New Roman" w:hAnsi="Times New Roman" w:eastAsia="黑体"/>
                <w:b w:val="0"/>
                <w:sz w:val="21"/>
              </w:rPr>
              <w:t>规则内容</w:t>
            </w:r>
          </w:p>
        </w:tc>
      </w:tr>
      <w:tr>
        <w:tc>
          <w:tcPr>
            <w:tcW w:type="dxa" w:w="4419"/>
          </w:tcPr>
          <w:p>
            <w:pPr>
              <w:spacing w:line="240" w:lineRule="auto"/>
              <w:jc w:val="left"/>
            </w:pPr>
            <w:r>
              <w:rPr>
                <w:rFonts w:ascii="Times New Roman" w:hAnsi="Times New Roman" w:eastAsia="宋体"/>
                <w:b w:val="0"/>
                <w:sz w:val="21"/>
              </w:rPr>
              <w:t>缺口判定</w:t>
            </w:r>
          </w:p>
        </w:tc>
        <w:tc>
          <w:tcPr>
            <w:tcW w:type="dxa" w:w="4419"/>
          </w:tcPr>
          <w:p>
            <w:pPr>
              <w:spacing w:line="240" w:lineRule="auto"/>
              <w:jc w:val="left"/>
            </w:pPr>
            <w:r>
              <w:rPr>
                <w:rFonts w:ascii="Times New Roman" w:hAnsi="Times New Roman" w:eastAsia="宋体"/>
                <w:b w:val="0"/>
                <w:sz w:val="21"/>
              </w:rPr>
              <w:t>需求侧有证据在要，且供给侧公开课名层查无对应，两端均须落到可指认条目；排除只能由工作年限自然积累的要求</w:t>
            </w:r>
          </w:p>
        </w:tc>
      </w:tr>
      <w:tr>
        <w:tc>
          <w:tcPr>
            <w:tcW w:type="dxa" w:w="4419"/>
          </w:tcPr>
          <w:p>
            <w:pPr>
              <w:spacing w:line="240" w:lineRule="auto"/>
              <w:jc w:val="left"/>
            </w:pPr>
            <w:r>
              <w:rPr>
                <w:rFonts w:ascii="Times New Roman" w:hAnsi="Times New Roman" w:eastAsia="宋体"/>
                <w:b w:val="0"/>
                <w:sz w:val="21"/>
              </w:rPr>
              <w:t>第一道筛选</w:t>
            </w:r>
          </w:p>
        </w:tc>
        <w:tc>
          <w:tcPr>
            <w:tcW w:type="dxa" w:w="4419"/>
          </w:tcPr>
          <w:p>
            <w:pPr>
              <w:spacing w:line="240" w:lineRule="auto"/>
              <w:jc w:val="left"/>
            </w:pPr>
            <w:r>
              <w:rPr>
                <w:rFonts w:ascii="Times New Roman" w:hAnsi="Times New Roman" w:eastAsia="宋体"/>
                <w:b w:val="0"/>
                <w:sz w:val="21"/>
              </w:rPr>
              <w:t>证据强度：多源收敛优先于单源，一手材料优先于二手转述</w:t>
            </w:r>
          </w:p>
        </w:tc>
      </w:tr>
      <w:tr>
        <w:tc>
          <w:tcPr>
            <w:tcW w:type="dxa" w:w="4419"/>
          </w:tcPr>
          <w:p>
            <w:pPr>
              <w:spacing w:line="240" w:lineRule="auto"/>
              <w:jc w:val="left"/>
            </w:pPr>
            <w:r>
              <w:rPr>
                <w:rFonts w:ascii="Times New Roman" w:hAnsi="Times New Roman" w:eastAsia="宋体"/>
                <w:b w:val="0"/>
                <w:sz w:val="21"/>
              </w:rPr>
              <w:t>第二道筛选</w:t>
            </w:r>
          </w:p>
        </w:tc>
        <w:tc>
          <w:tcPr>
            <w:tcW w:type="dxa" w:w="4419"/>
          </w:tcPr>
          <w:p>
            <w:pPr>
              <w:spacing w:line="240" w:lineRule="auto"/>
              <w:jc w:val="left"/>
            </w:pPr>
            <w:r>
              <w:rPr>
                <w:rFonts w:ascii="Times New Roman" w:hAnsi="Times New Roman" w:eastAsia="宋体"/>
                <w:b w:val="0"/>
                <w:sz w:val="21"/>
              </w:rPr>
              <w:t>教育可及性：学校能否在课程或项目环节提供相应支持</w:t>
            </w:r>
          </w:p>
        </w:tc>
      </w:tr>
      <w:tr>
        <w:tc>
          <w:tcPr>
            <w:tcW w:type="dxa" w:w="4419"/>
          </w:tcPr>
          <w:p>
            <w:pPr>
              <w:spacing w:line="240" w:lineRule="auto"/>
              <w:jc w:val="left"/>
            </w:pPr>
            <w:r>
              <w:rPr>
                <w:rFonts w:ascii="Times New Roman" w:hAnsi="Times New Roman" w:eastAsia="宋体"/>
                <w:b w:val="0"/>
                <w:sz w:val="21"/>
              </w:rPr>
              <w:t>第三道筛选</w:t>
            </w:r>
          </w:p>
        </w:tc>
        <w:tc>
          <w:tcPr>
            <w:tcW w:type="dxa" w:w="4419"/>
          </w:tcPr>
          <w:p>
            <w:pPr>
              <w:spacing w:line="240" w:lineRule="auto"/>
              <w:jc w:val="left"/>
            </w:pPr>
            <w:r>
              <w:rPr>
                <w:rFonts w:ascii="Times New Roman" w:hAnsi="Times New Roman" w:eastAsia="宋体"/>
                <w:b w:val="0"/>
                <w:sz w:val="21"/>
              </w:rPr>
              <w:t>不可替代性：该项能否在工作年限中自然积累</w:t>
            </w:r>
          </w:p>
        </w:tc>
      </w:tr>
      <w:tr>
        <w:tc>
          <w:tcPr>
            <w:tcW w:type="dxa" w:w="4419"/>
          </w:tcPr>
          <w:p>
            <w:pPr>
              <w:spacing w:line="240" w:lineRule="auto"/>
              <w:jc w:val="left"/>
            </w:pPr>
            <w:r>
              <w:rPr>
                <w:rFonts w:ascii="Times New Roman" w:hAnsi="Times New Roman" w:eastAsia="宋体"/>
                <w:b w:val="0"/>
                <w:sz w:val="21"/>
              </w:rPr>
              <w:t>结果分档</w:t>
            </w:r>
          </w:p>
        </w:tc>
        <w:tc>
          <w:tcPr>
            <w:tcW w:type="dxa" w:w="4419"/>
          </w:tcPr>
          <w:p>
            <w:pPr>
              <w:spacing w:line="240" w:lineRule="auto"/>
              <w:jc w:val="left"/>
            </w:pPr>
            <w:r>
              <w:rPr>
                <w:rFonts w:ascii="Times New Roman" w:hAnsi="Times New Roman" w:eastAsia="宋体"/>
                <w:b w:val="0"/>
                <w:sz w:val="21"/>
              </w:rPr>
              <w:t>三道均通过者进入结论建议，通过两道者进入讨论，仅通过一道者列为观察项</w:t>
            </w:r>
          </w:p>
        </w:tc>
      </w:tr>
    </w:tbl>
    <w:p>
      <w:pPr>
        <w:spacing w:after="0"/>
        <w:ind w:firstLine="480"/>
      </w:pPr>
      <w:r>
        <w:rPr>
          <w:rFonts w:ascii="Times New Roman" w:hAnsi="Times New Roman" w:eastAsia="宋体"/>
          <w:b w:val="0"/>
          <w:sz w:val="24"/>
        </w:rPr>
        <w:t>本研究对跨源比较设定如下口径纪律。市场面百分比的分母为 103 条独立招聘需求，而非发布次数，国内层与海外层不得直接比较数值。任务谱的分母为 693 句与 103 个岗位，一句可计入多类。三份问卷的分母分别为 72、55 与 21，问卷 C 多数题目为 20，三者不可合并统计。供给面课程名关键词对照表的分母是表格行数而非课程门数。学分口径不可跨校比较数值。项目文件中标注为“全量 284”的数据为去重修正之前的旧值，现行口径为全量 285、海外层 268。引用层面，世界经济论坛三期报告、工业和信息化部文件、教育部专业目录以及两办美育意见等均可核原件；Witkin 与 Altschuld（1995）、Bankins 等（2024）与 Portocarrero Ramos 等（2025）的部分著录信息经联网核验；Hsieh 与 Shannon（2005）、Krippendorff（2018）、Spence（1973）以及数篇中文文献在本地暂无原件，其著录已逐条核对，正文引用时一并标出。</w:t>
      </w:r>
    </w:p>
    <w:p>
      <w:pPr>
        <w:spacing w:before="240" w:after="120"/>
      </w:pPr>
      <w:r>
        <w:rPr>
          <w:rFonts w:ascii="Times New Roman" w:hAnsi="Times New Roman" w:eastAsia="黑体"/>
          <w:b/>
          <w:sz w:val="28"/>
        </w:rPr>
        <w:t>附录七　待补清单</w:t>
      </w:r>
    </w:p>
    <w:p>
      <w:pPr>
        <w:spacing w:after="0"/>
        <w:ind w:firstLine="480"/>
      </w:pPr>
      <w:r>
        <w:rPr>
          <w:rFonts w:ascii="Times New Roman" w:hAnsi="Times New Roman" w:eastAsia="宋体"/>
          <w:b w:val="0"/>
          <w:sz w:val="24"/>
        </w:rPr>
        <w:t>待补事项共六项：题 6 的检索边界；三份问卷的院校分布；两次访谈的时长、转录与编码规则；课程名义层跨校检索的可复核记录；补入能力项的层级回填；小组成员姓名与题目对应的署名信息。</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