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C2AB6" w14:textId="77777777" w:rsidR="00EF4088" w:rsidRPr="00EF4088" w:rsidRDefault="00EF4088" w:rsidP="00EF4088">
      <w:pPr>
        <w:rPr>
          <w:b/>
          <w:bCs/>
        </w:rPr>
      </w:pPr>
      <w:r w:rsidRPr="00EF4088">
        <w:rPr>
          <w:b/>
          <w:bCs/>
        </w:rPr>
        <w:t>Description</w:t>
      </w:r>
    </w:p>
    <w:p w14:paraId="0A3DC83F" w14:textId="77777777" w:rsidR="00EF4088" w:rsidRPr="00EF4088" w:rsidRDefault="00EF4088" w:rsidP="00EF4088">
      <w:pPr>
        <w:rPr>
          <w:b/>
          <w:bCs/>
        </w:rPr>
      </w:pPr>
      <w:r w:rsidRPr="00EF4088">
        <w:t xml:space="preserve">The Company Car Benefit enables eligible employees to lease a vehicle through the Company's designated leasing partner and manage associated fuel and maintenance expenses through the </w:t>
      </w:r>
      <w:proofErr w:type="spellStart"/>
      <w:r w:rsidRPr="00EF4088">
        <w:t>Pluxee</w:t>
      </w:r>
      <w:proofErr w:type="spellEnd"/>
      <w:r w:rsidRPr="00EF4088">
        <w:t xml:space="preserve"> platform. Employees can choose a vehicle and lease tenure based on their eligibility, while benefiting from a streamlined solution for vehicle ownership, fuel expenses, maintenance reimbursements and applicable tax advantages</w:t>
      </w:r>
      <w:r>
        <w:t>.</w:t>
      </w:r>
      <w:r>
        <w:br/>
      </w:r>
      <w:r>
        <w:br/>
      </w:r>
      <w:r w:rsidRPr="00EF4088">
        <w:rPr>
          <w:b/>
          <w:bCs/>
        </w:rPr>
        <w:t>What is Covered</w:t>
      </w:r>
    </w:p>
    <w:p w14:paraId="7F37D38D" w14:textId="77777777" w:rsidR="00EF4088" w:rsidRPr="00EF4088" w:rsidRDefault="00EF4088" w:rsidP="00EF4088">
      <w:pPr>
        <w:numPr>
          <w:ilvl w:val="0"/>
          <w:numId w:val="2"/>
        </w:numPr>
      </w:pPr>
      <w:r w:rsidRPr="00EF4088">
        <w:t>Company-leased vehicle for eligible employees</w:t>
      </w:r>
    </w:p>
    <w:p w14:paraId="1BBBD10B" w14:textId="77777777" w:rsidR="00EF4088" w:rsidRPr="00EF4088" w:rsidRDefault="00EF4088" w:rsidP="00EF4088">
      <w:pPr>
        <w:numPr>
          <w:ilvl w:val="0"/>
          <w:numId w:val="2"/>
        </w:numPr>
      </w:pPr>
      <w:r w:rsidRPr="00EF4088">
        <w:t>Flexible lease tenure options</w:t>
      </w:r>
    </w:p>
    <w:p w14:paraId="0F4F608D" w14:textId="77777777" w:rsidR="00EF4088" w:rsidRPr="00EF4088" w:rsidRDefault="00EF4088" w:rsidP="00EF4088">
      <w:pPr>
        <w:numPr>
          <w:ilvl w:val="0"/>
          <w:numId w:val="2"/>
        </w:numPr>
      </w:pPr>
      <w:r w:rsidRPr="00EF4088">
        <w:t xml:space="preserve">Fuel expenses through the </w:t>
      </w:r>
      <w:proofErr w:type="spellStart"/>
      <w:r w:rsidRPr="00EF4088">
        <w:t>Pluxee</w:t>
      </w:r>
      <w:proofErr w:type="spellEnd"/>
      <w:r w:rsidRPr="00EF4088">
        <w:t xml:space="preserve"> Fuel Wallet</w:t>
      </w:r>
    </w:p>
    <w:p w14:paraId="3E7F4D5A" w14:textId="7337B49F" w:rsidR="00EF4088" w:rsidRPr="00EF4088" w:rsidRDefault="00EF4088" w:rsidP="00EF4088"/>
    <w:p w14:paraId="350D309B" w14:textId="77777777" w:rsidR="00EF4088" w:rsidRDefault="00EF4088"/>
    <w:sectPr w:rsidR="00EF4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C3011"/>
    <w:multiLevelType w:val="multilevel"/>
    <w:tmpl w:val="58A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57A6B"/>
    <w:multiLevelType w:val="multilevel"/>
    <w:tmpl w:val="7F2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895890">
    <w:abstractNumId w:val="1"/>
  </w:num>
  <w:num w:numId="2" w16cid:durableId="163460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88"/>
    <w:rsid w:val="00BA1F9C"/>
    <w:rsid w:val="00EF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36A0"/>
  <w15:chartTrackingRefBased/>
  <w15:docId w15:val="{8195A4C2-C764-487D-8D0E-0E38E5A9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2026-08-13T05:53:00Z</dcterms:created>
  <dcterms:modified xsi:type="dcterms:W3CDTF">2026-08-13T05:55:00Z</dcterms:modified>
</cp:coreProperties>
</file>