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085B1" w14:textId="354D1320" w:rsidR="00BD199B" w:rsidRDefault="00BD199B">
      <w:r>
        <w:t xml:space="preserve">2.2. The first model is a better fit as it had more values to work with to better determine the influence of each of the variables on the EPI </w:t>
      </w:r>
      <w:r w:rsidR="00FC4CB7">
        <w:t>variable.</w:t>
      </w:r>
    </w:p>
    <w:sectPr w:rsidR="00BD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F4"/>
    <w:rsid w:val="005A318D"/>
    <w:rsid w:val="00BD199B"/>
    <w:rsid w:val="00BE21A8"/>
    <w:rsid w:val="00D20BF4"/>
    <w:rsid w:val="00F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7E46"/>
  <w15:chartTrackingRefBased/>
  <w15:docId w15:val="{CC3B402E-868A-4BFE-B7D0-8649C4C3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Bajaj, Bhavesh</dc:creator>
  <cp:keywords/>
  <dc:description/>
  <cp:lastModifiedBy>Bajaj, Bhavesh</cp:lastModifiedBy>
  <cp:revision>3</cp:revision>
  <dcterms:created xsi:type="dcterms:W3CDTF">2024-10-04T19:11:00Z</dcterms:created>
  <dcterms:modified xsi:type="dcterms:W3CDTF">2024-10-04T19:12:00Z</dcterms:modified>
</cp:coreProperties>
</file>