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CAPITALIZACIÓN DEL PROCAMPO</w:t>
      </w:r>
    </w:p>
    <w:p>
      <w:pPr>
        <w:pStyle w:val="Normal"/>
        <w:jc w:val="center"/>
        <w:rPr>
          <w:rFonts w:ascii="Tahoma" w:hAnsi="Tahoma" w:cs="Tahoma"/>
          <w:sz w:val="16"/>
          <w:szCs w:val="16"/>
        </w:rPr>
      </w:pPr>
      <w:r>
        <w:rPr>
          <w:rFonts w:cs="Tahoma" w:ascii="Tahoma" w:hAnsi="Tahoma"/>
          <w:sz w:val="16"/>
          <w:szCs w:val="16"/>
        </w:rPr>
      </w:r>
    </w:p>
    <w:p>
      <w:pPr>
        <w:pStyle w:val="Normal"/>
        <w:jc w:val="center"/>
        <w:rPr>
          <w:rFonts w:ascii="Tahoma" w:hAnsi="Tahoma" w:cs="Tahoma"/>
          <w:b/>
          <w:bCs/>
          <w:sz w:val="16"/>
          <w:szCs w:val="16"/>
          <w:lang w:val="es-MX"/>
        </w:rPr>
      </w:pPr>
      <w:r>
        <w:rPr>
          <w:rFonts w:cs="Tahoma" w:ascii="Tahoma" w:hAnsi="Tahoma"/>
          <w:b/>
          <w:bCs/>
          <w:sz w:val="16"/>
          <w:szCs w:val="16"/>
          <w:lang w:val="es-MX"/>
        </w:rPr>
        <w:t>TEXTO VIGENTE</w:t>
      </w:r>
    </w:p>
    <w:p>
      <w:pPr>
        <w:pStyle w:val="Normal"/>
        <w:jc w:val="center"/>
        <w:rPr>
          <w:rFonts w:ascii="Tahoma" w:hAnsi="Tahoma" w:cs="Tahoma"/>
          <w:b/>
          <w:bCs/>
          <w:color w:val="CC3300"/>
          <w:sz w:val="16"/>
          <w:szCs w:val="16"/>
        </w:rPr>
      </w:pPr>
      <w:r>
        <w:rPr>
          <w:rFonts w:cs="Tahoma" w:ascii="Tahoma" w:hAnsi="Tahoma"/>
          <w:b/>
          <w:bCs/>
          <w:color w:val="CC3300"/>
          <w:sz w:val="16"/>
          <w:szCs w:val="16"/>
        </w:rPr>
        <w:t>Nueva Ley publicada en el Diario Oficial de la Federación el 31 de diciembre de 2001</w:t>
      </w:r>
    </w:p>
    <w:p>
      <w:pPr>
        <w:pStyle w:val="Normal"/>
        <w:rPr>
          <w:rFonts w:ascii="Arial" w:hAnsi="Arial" w:cs="Arial"/>
          <w:b/>
          <w:bCs/>
          <w:color w:val="CC3300"/>
          <w:sz w:val="16"/>
          <w:szCs w:val="16"/>
        </w:rPr>
      </w:pPr>
      <w:r>
        <w:rPr>
          <w:rFonts w:cs="Arial" w:ascii="Arial" w:hAnsi="Arial"/>
          <w:b/>
          <w:bCs/>
          <w:color w:val="CC3300"/>
          <w:sz w:val="16"/>
          <w:szCs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o"/>
        <w:spacing w:lineRule="auto" w:line="240" w:before="0" w:after="0"/>
        <w:ind w:hanging="0" w:end="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szCs w:val="16"/>
        </w:rPr>
        <w:t>"</w:t>
      </w:r>
      <w:r>
        <w:rPr>
          <w:rFonts w:cs="Arial"/>
          <w:sz w:val="20"/>
          <w:szCs w:val="16"/>
        </w:rPr>
        <w:t>EL CONGRESO DE LOS ESTADOS UNIDOS MEXICANOS, DECRETA: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DE CAPITALIZACIÓN DEL PROCAMPO</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b/>
          <w:sz w:val="22"/>
        </w:rPr>
      </w:pPr>
      <w:r>
        <w:rPr>
          <w:rFonts w:cs="Arial"/>
          <w:b/>
          <w:sz w:val="22"/>
        </w:rPr>
        <w:t>TÍTULO PRIMERO</w:t>
      </w:r>
    </w:p>
    <w:p>
      <w:pPr>
        <w:pStyle w:val="texto"/>
        <w:spacing w:lineRule="auto" w:line="240" w:before="0" w:after="0"/>
        <w:ind w:hanging="0" w:end="0"/>
        <w:jc w:val="center"/>
        <w:rPr>
          <w:rFonts w:cs="Arial"/>
          <w:b/>
          <w:sz w:val="22"/>
        </w:rPr>
      </w:pPr>
      <w:r>
        <w:rPr>
          <w:rFonts w:cs="Arial"/>
          <w:b/>
          <w:sz w:val="22"/>
        </w:rPr>
        <w:t>DEL OBJETO DE LA LEY</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0" w:name="Artículo_1o"/>
      <w:r>
        <w:rPr>
          <w:rFonts w:cs="Arial"/>
          <w:b/>
          <w:sz w:val="20"/>
        </w:rPr>
        <w:t>Artículo 1o</w:t>
      </w:r>
      <w:bookmarkEnd w:id="0"/>
      <w:r>
        <w:rPr>
          <w:rFonts w:cs="Arial"/>
          <w:b/>
          <w:sz w:val="20"/>
        </w:rPr>
        <w:t>.</w:t>
      </w:r>
      <w:r>
        <w:rPr>
          <w:rFonts w:cs="Arial"/>
          <w:sz w:val="20"/>
        </w:rPr>
        <w:t xml:space="preserve"> Se emite la presente Ley de Capitalización del PROCAMPO, en el marco de los artículos 25, 27 fracción XX y demás dispositivos correspondientes de la Constitución Política de los Estados Unidos Mexicanos, la Ley de Desarrollo Rural Sustentable, y otras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presente ley es de aplicación general y regirá en todo el territorio de los Estados Unidos Mexicanos; sus disposiciones son de orden público e interés general. Tiene por objeto establecer las disposiciones para el acceso anticipado y la utilización como garantía crediticia, de los pagos futuros a que tienen derecho los beneficiarios del Programa de Apoyos Directos al Campo, en adelante "PROCAMPO", cuando así convenga a sus intereses de acuerdo con lo establecido en la Ley de Desarrollo Rural Sustentable y demás ordenamientos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Mediante esta Ley se establece el Sistema de Garantías y Acceso Anticipado a Pagos Futuros del PROCAMPO, en adelante "El Sistema", como mecanismo para estimular la capitalización de los beneficiarios del programa, con base en las propuestas de los beneficiarios del PROCAMPO y de los criterios de priorización que establezcan las entidades federativas y los municipios.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o"/>
      <w:r>
        <w:rPr>
          <w:rFonts w:cs="Arial"/>
          <w:b/>
          <w:sz w:val="20"/>
        </w:rPr>
        <w:t>Artículo 3o</w:t>
      </w:r>
      <w:bookmarkEnd w:id="2"/>
      <w:r>
        <w:rPr>
          <w:rFonts w:cs="Arial"/>
          <w:b/>
          <w:sz w:val="20"/>
        </w:rPr>
        <w:t>.</w:t>
      </w:r>
      <w:r>
        <w:rPr>
          <w:rFonts w:cs="Arial"/>
          <w:sz w:val="20"/>
        </w:rPr>
        <w:t xml:space="preserve"> El Sistema, perseguirá los siguientes propósitos: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lang w:val="en-US"/>
        </w:rPr>
        <w:t>I.</w:t>
        <w:tab/>
      </w:r>
      <w:r>
        <w:rPr>
          <w:rFonts w:cs="Arial"/>
          <w:sz w:val="20"/>
        </w:rPr>
        <w:t>Posibilitar a los beneficiarios el acceso por anticipado a los recursos previstos en los años restantes de vigencia del PROCAMPO, para capitalizar sus unidades de producción y desarrollar sus proyectos y acciones de modernización;</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II.</w:t>
        <w:tab/>
      </w:r>
      <w:r>
        <w:rPr>
          <w:rFonts w:cs="Arial"/>
          <w:sz w:val="20"/>
        </w:rPr>
        <w:t>Proporcionar a los productores certidumbre de que recibirán los apoyos para instrumentar los proyectos productivos que permitan una mayor capacidad de negociación al enfrentar los compromisos mercantiles, así como aprovechar las oportunidades derivadas de los acuerdos y tratados internacionales sobre la materia; y</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III.</w:t>
        <w:tab/>
      </w:r>
      <w:r>
        <w:rPr>
          <w:rFonts w:cs="Arial"/>
          <w:sz w:val="20"/>
        </w:rPr>
        <w:t>Proporcionar condiciones para la disponibilidad y acceso a recursos crediticios.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 w:name="Artículo_4o"/>
      <w:r>
        <w:rPr>
          <w:rFonts w:cs="Arial"/>
          <w:b/>
          <w:sz w:val="20"/>
        </w:rPr>
        <w:t>Artículo 4o</w:t>
      </w:r>
      <w:bookmarkEnd w:id="3"/>
      <w:r>
        <w:rPr>
          <w:rFonts w:cs="Arial"/>
          <w:b/>
          <w:sz w:val="20"/>
        </w:rPr>
        <w:t>.</w:t>
      </w:r>
      <w:r>
        <w:rPr>
          <w:rFonts w:cs="Arial"/>
          <w:sz w:val="20"/>
        </w:rPr>
        <w:t xml:space="preserve"> La Secretaría de Agricultura, Ganadería, Desarrollo Rural, Pesca y Alimentación, en adelante “La Secretaría”, será responsable de aplicar las disposiciones del presente ordenamiento, para lo cual establecerá los convenios de coordinación necesarios con otras dependencias y entidades de la Administración Pública Federal, los gobiernos de los estados, del Distrito Federal y municipales.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todo propósito correlativo con lo anterior, la Secretaría procederá tomando en cuenta las disposiciones contenidas en la Ley de Desarrollo Rural Sustentable, en cuanto a los procedimientos de planeación, organización, ejecución y evaluación, incluyendo la participación del Consejo Nacional, los Estatales, Distritales y Municipales para el Desarrollo Rural Sustentable y los Comités de Sistema-Producto, siguiendo criterios de federalización y descentralización.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4" w:name="Artículo_5o"/>
      <w:r>
        <w:rPr>
          <w:rFonts w:cs="Arial"/>
          <w:b/>
          <w:sz w:val="20"/>
        </w:rPr>
        <w:t>Artículo 5o</w:t>
      </w:r>
      <w:bookmarkEnd w:id="4"/>
      <w:r>
        <w:rPr>
          <w:rFonts w:cs="Arial"/>
          <w:b/>
          <w:sz w:val="20"/>
        </w:rPr>
        <w:t>.</w:t>
      </w:r>
      <w:r>
        <w:rPr>
          <w:rFonts w:cs="Arial"/>
          <w:sz w:val="20"/>
        </w:rPr>
        <w:t xml:space="preserve"> Podrán beneficiarse del Sistema todos los productores inscritos en el padrón del PROCAMPO que cumplan sus reglas de operación y conforme a la disponibilidad de recursos del Sistema, sin distinción de aquéllos que se encuentren en cartera vencida u otros antecedentes crediticios restrictivos.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Tendrán prioridad los beneficiarios del PROCAMPO: de menor ingreso; que se encuentren debidamente asociados y organizados; quienes tengan 5 hectáreas o menos; las mujeres; y los grupos indígenas.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beneficiarios del PROCAMPO podrán obtener simultáneamente, recursos de otros programas, previo cumplimiento de la normatividad que al efecto expidan las dependencias federales, estatales o municipales que correspondan.</w:t>
      </w:r>
    </w:p>
    <w:p>
      <w:pPr>
        <w:pStyle w:val="texto"/>
        <w:spacing w:lineRule="auto" w:line="240" w:before="0" w:after="0"/>
        <w:rPr>
          <w:rFonts w:cs="Arial"/>
          <w:sz w:val="20"/>
        </w:rPr>
      </w:pPr>
      <w:r>
        <w:rPr>
          <w:rFonts w:cs="Arial"/>
          <w:sz w:val="20"/>
        </w:rPr>
      </w:r>
    </w:p>
    <w:p>
      <w:pPr>
        <w:pStyle w:val="texto"/>
        <w:spacing w:lineRule="auto" w:line="240" w:before="0" w:after="0"/>
        <w:rPr/>
      </w:pPr>
      <w:bookmarkStart w:id="5" w:name="Artículo_6o"/>
      <w:r>
        <w:rPr>
          <w:rFonts w:cs="Arial"/>
          <w:b/>
          <w:sz w:val="20"/>
        </w:rPr>
        <w:t>Artículo 6o</w:t>
      </w:r>
      <w:bookmarkEnd w:id="5"/>
      <w:r>
        <w:rPr>
          <w:rFonts w:cs="Arial"/>
          <w:b/>
          <w:sz w:val="20"/>
        </w:rPr>
        <w:t>.</w:t>
      </w:r>
      <w:r>
        <w:rPr>
          <w:rFonts w:cs="Arial"/>
          <w:sz w:val="20"/>
        </w:rPr>
        <w:t xml:space="preserve"> La Secretaría establecerá los mecanismos para informar plenamente a los beneficiarios del PROCAMPO sobre las modalidades y reglas de operación del Sistema.</w:t>
      </w:r>
    </w:p>
    <w:p>
      <w:pPr>
        <w:pStyle w:val="texto"/>
        <w:spacing w:lineRule="auto" w:line="240" w:before="0" w:after="0"/>
        <w:rPr>
          <w:rFonts w:cs="Arial"/>
          <w:sz w:val="20"/>
        </w:rPr>
      </w:pPr>
      <w:r>
        <w:rPr>
          <w:rFonts w:cs="Arial"/>
          <w:sz w:val="20"/>
        </w:rPr>
      </w:r>
    </w:p>
    <w:p>
      <w:pPr>
        <w:pStyle w:val="texto"/>
        <w:spacing w:lineRule="auto" w:line="240" w:before="0" w:after="0"/>
        <w:rPr/>
      </w:pPr>
      <w:bookmarkStart w:id="6" w:name="Artículo_7o"/>
      <w:r>
        <w:rPr>
          <w:rFonts w:cs="Arial"/>
          <w:b/>
          <w:sz w:val="20"/>
        </w:rPr>
        <w:t>Artículo 7o</w:t>
      </w:r>
      <w:bookmarkEnd w:id="6"/>
      <w:r>
        <w:rPr>
          <w:rFonts w:cs="Arial"/>
          <w:b/>
          <w:sz w:val="20"/>
        </w:rPr>
        <w:t>.</w:t>
      </w:r>
      <w:r>
        <w:rPr>
          <w:rFonts w:cs="Arial"/>
          <w:sz w:val="20"/>
        </w:rPr>
        <w:t xml:space="preserve"> La aplicación de la presente Ley seguirá invariablemente las prioridades, orientaciones y disposiciones previstas por la Ley de Desarrollo Rural Sustentable en cuanto a equidad entre regiones y grupos menos favorecidos, así como la conservación y mejoramiento de los recursos naturales y los servicios ambientales.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TÍTULO SEGUNDO</w:t>
      </w:r>
    </w:p>
    <w:p>
      <w:pPr>
        <w:pStyle w:val="texto"/>
        <w:spacing w:lineRule="auto" w:line="240" w:before="0" w:after="0"/>
        <w:ind w:hanging="0" w:end="0"/>
        <w:jc w:val="center"/>
        <w:rPr>
          <w:rFonts w:cs="Arial"/>
          <w:b/>
          <w:sz w:val="22"/>
        </w:rPr>
      </w:pPr>
      <w:r>
        <w:rPr>
          <w:rFonts w:cs="Arial"/>
          <w:b/>
          <w:sz w:val="22"/>
        </w:rPr>
        <w:t>DEL SISTEMA DE GARANTÍAS Y ACCESO ANTICIPADO A PAGOS FUTUROS DEL PROCAMPO</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7" w:name="Artículo_8o"/>
      <w:r>
        <w:rPr>
          <w:rFonts w:cs="Arial"/>
          <w:b/>
          <w:sz w:val="20"/>
        </w:rPr>
        <w:t>Artículo 8o</w:t>
      </w:r>
      <w:bookmarkEnd w:id="7"/>
      <w:r>
        <w:rPr>
          <w:rFonts w:cs="Arial"/>
          <w:b/>
          <w:sz w:val="20"/>
        </w:rPr>
        <w:t>.</w:t>
      </w:r>
      <w:r>
        <w:rPr>
          <w:rFonts w:cs="Arial"/>
          <w:sz w:val="20"/>
        </w:rPr>
        <w:t xml:space="preserve"> El acceso al Sistema invariablemente será mediante un proyecto productivo que deberá estar directamente relacionado con la producción primaria, la agroindustrialización y el abastecimiento de insumos y equipos necesarios para la realización o desarrollo del proyecto respectivo u otras actividades económicas vinculadas a las cadenas productivas agropecuarias, forestales y pesqueras. Tendrán prioridad aquellos proyectos que contribuyan a la seguridad y soberanía alimentaria; a la optimización en el uso y aprovechamiento del agua; la conservación y mejoramiento de los recursos naturales y los servicios ambientales; a la generación de empleo; al incremento de la capacidad de los productores para alcanzar economías de escala y capacidad de negociación y a la integración de cadenas productivas y agregación de valor a los productos del campo.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con la participación del Consejo Mexicano para el Desarrollo Rural Sustentable apoyado en los Consejos Estatales, Distritales y Municipales para el Desarrollo Rural Sustentable, establecerá un procedimiento de calificación, selección y evaluación de proyectos, el cual reflejará las prioridades y orientaciones establecidas en la presente Ley, la Ley de Desarrollo Rural Sustentable y demás ordenamientos aplicables. Dicho procedimiento será difundido ampliamente entre los beneficiarios del PROCAMPO.</w:t>
      </w:r>
    </w:p>
    <w:p>
      <w:pPr>
        <w:pStyle w:val="texto"/>
        <w:spacing w:lineRule="auto" w:line="240" w:before="0" w:after="0"/>
        <w:rPr>
          <w:rFonts w:cs="Arial"/>
          <w:sz w:val="20"/>
        </w:rPr>
      </w:pPr>
      <w:r>
        <w:rPr>
          <w:rFonts w:cs="Arial"/>
          <w:sz w:val="20"/>
        </w:rPr>
      </w:r>
    </w:p>
    <w:p>
      <w:pPr>
        <w:pStyle w:val="texto"/>
        <w:spacing w:lineRule="auto" w:line="240" w:before="0" w:after="0"/>
        <w:rPr/>
      </w:pPr>
      <w:bookmarkStart w:id="8" w:name="Artículo_9o"/>
      <w:r>
        <w:rPr>
          <w:rFonts w:cs="Arial"/>
          <w:b/>
          <w:sz w:val="20"/>
        </w:rPr>
        <w:t>Artículo 9o</w:t>
      </w:r>
      <w:bookmarkEnd w:id="8"/>
      <w:r>
        <w:rPr>
          <w:rFonts w:cs="Arial"/>
          <w:b/>
          <w:sz w:val="20"/>
        </w:rPr>
        <w:t>.</w:t>
      </w:r>
      <w:r>
        <w:rPr>
          <w:rFonts w:cs="Arial"/>
          <w:sz w:val="20"/>
        </w:rPr>
        <w:t xml:space="preserve"> Para lograr el mejor efecto del Sistema, los gobiernos en sus diferentes órdenes, así como los particulares, individual u organizadamente, podrán establecer los acuerdos pertinentes, para la participación en el desarrollo de los proyectos. Dichos acuerdos quedarán establecidos en los convenios respectivos.</w:t>
      </w:r>
    </w:p>
    <w:p>
      <w:pPr>
        <w:pStyle w:val="texto"/>
        <w:spacing w:lineRule="auto" w:line="240" w:before="0" w:after="0"/>
        <w:rPr>
          <w:rFonts w:cs="Arial"/>
          <w:sz w:val="20"/>
        </w:rPr>
      </w:pPr>
      <w:r>
        <w:rPr>
          <w:rFonts w:cs="Arial"/>
          <w:sz w:val="20"/>
        </w:rPr>
      </w:r>
    </w:p>
    <w:p>
      <w:pPr>
        <w:pStyle w:val="texto"/>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La Secretaría diseñará e instrumentará los mecanismos para facilitar el acceso a los distintos tipos de beneficiarios del PROCAMPO al Sistema y los apoyará en materia de organización y capacitación, identificación y concertación de ideas de inversión, formulación y evaluación de proyectos, asistencia técnica continuada, así como acceso a los mercados, entre otras, para lo cual se aprovecharán los recursos materiales y humanos de las instituciones competentes.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1"/>
      <w:r>
        <w:rPr>
          <w:rFonts w:cs="Arial"/>
          <w:b/>
          <w:sz w:val="20"/>
        </w:rPr>
        <w:t>Artículo 11</w:t>
      </w:r>
      <w:bookmarkEnd w:id="10"/>
      <w:r>
        <w:rPr>
          <w:rFonts w:cs="Arial"/>
          <w:b/>
          <w:sz w:val="20"/>
        </w:rPr>
        <w:t>.</w:t>
      </w:r>
      <w:r>
        <w:rPr>
          <w:rFonts w:cs="Arial"/>
          <w:sz w:val="20"/>
        </w:rPr>
        <w:t xml:space="preserve"> La Secretaría, a través del órgano competente, actualizará permanentemente el Padrón de beneficiarios del PROCAMPO y reasignará los recursos disponibles en su presupuesto, tomando en cuenta, a los productores que demuestren haber sido excluidos injustificadamente del padrón y a los que demuestren haber sido elegibles en el momento en que se estableció el padrón vigente del PROCAMPO. Para la reasignación, se preferirá a los productores titulares de un predio de 5 hectáreas o menos, así como a aquéllos cuyo predio se ubique en la demarcación municipal en donde se actualice el padrón.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El titular del Ejecutivo Federal, al enviar al Congreso de la Unión la Iniciativa de Ley de Ingresos de la Federación y el proyecto de Decreto del Presupuesto de Egresos de la Federación, para cada uno de los ejercicios fiscales en que se encuentre en vigor el presente ordenamiento, establecerá las previsiones presupuestales que se requieran para dar cumplimiento a las disposiciones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w:t>
      </w:r>
      <w:r>
        <w:rPr>
          <w:rFonts w:cs="Arial"/>
          <w:sz w:val="20"/>
        </w:rPr>
        <w:t xml:space="preserve"> La Cámara de Diputados, durante la vigencia de la presente Ley, proveerá en los correspondientes decretos del Presupuesto de Egresos de la Federación, partidas y disponibilidades presupuestales para el PROCAMPO.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Dichas partidas tendrán un valor real constante, para lo cual se ajustarán en cada ejercicio presupuestal, de acuerdo con la variación del Índice Nacional de Precios al Consumidor. La diferencia resultante por los incrementos derivados de dichos ajustes, una vez descontados los costos financieros generados por el acceso al Sistema se abonará a favor de los beneficiarios.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4"/>
      <w:r>
        <w:rPr>
          <w:rFonts w:cs="Arial"/>
          <w:b/>
          <w:sz w:val="20"/>
        </w:rPr>
        <w:t>Artículo 14</w:t>
      </w:r>
      <w:bookmarkEnd w:id="13"/>
      <w:r>
        <w:rPr>
          <w:rFonts w:cs="Arial"/>
          <w:b/>
          <w:sz w:val="20"/>
        </w:rPr>
        <w:t>.</w:t>
      </w:r>
      <w:r>
        <w:rPr>
          <w:rFonts w:cs="Arial"/>
          <w:sz w:val="20"/>
        </w:rPr>
        <w:t xml:space="preserve"> Para los efectos de la presente Ley, se continuarán aplicando todas y cada una de las disposiciones del Decreto de creación del PROCAMPO, publicado en el </w:t>
      </w:r>
      <w:r>
        <w:rPr>
          <w:rFonts w:cs="Arial"/>
          <w:b/>
          <w:sz w:val="20"/>
        </w:rPr>
        <w:t>Diario Oficial de la Federación</w:t>
      </w:r>
      <w:r>
        <w:rPr>
          <w:rFonts w:cs="Arial"/>
          <w:sz w:val="20"/>
        </w:rPr>
        <w:t xml:space="preserve"> del 25 de julio de 1994, así como sus modificaciones y adecuaciones correspondientes, en lo que no se oponga a la presente Ley. Los apoyos directos a los productores rurales a que se refiere dicho Decreto, se otorgarán para mejorar las condiciones de vida de la población rural y responder a los desequilibrios del mercado internacional, con las condiciones y para los propósitos que establece la Ley de Desarrollo Rural Sustentable en su artículo séptimo y demás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Mientras persistan condiciones desfavorables de competencia en el mercado internacional se continuarán aportando a los productores apoyos directos determinados por el Ejecutivo, de acuerdo con lo establecido en la Ley de Desarrollo Rural Sustentable.</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5"/>
      <w:r>
        <w:rPr>
          <w:rFonts w:cs="Arial"/>
          <w:b/>
          <w:sz w:val="20"/>
        </w:rPr>
        <w:t>Artículo 15</w:t>
      </w:r>
      <w:bookmarkEnd w:id="14"/>
      <w:r>
        <w:rPr>
          <w:rFonts w:cs="Arial"/>
          <w:b/>
          <w:sz w:val="20"/>
        </w:rPr>
        <w:t>.</w:t>
      </w:r>
      <w:r>
        <w:rPr>
          <w:rFonts w:cs="Arial"/>
          <w:sz w:val="20"/>
        </w:rPr>
        <w:t xml:space="preserve"> Mediante la presente Ley, se apoyará a los productores a través de proyectos productivos que sean financiera y técnicamente viables, para lo cual la Secretaría proporcionará información sobre las opciones técnicas que mejoren los procesos productivos acostumbrados y sobre otras actividades que presenten mejores condiciones productivas y de mercado, que les permita tomar las decisiones que convengan a sus intereses.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5" w:name="Artículo_16"/>
      <w:r>
        <w:rPr>
          <w:rFonts w:cs="Arial"/>
          <w:b/>
          <w:sz w:val="20"/>
        </w:rPr>
        <w:t>Artículo 16</w:t>
      </w:r>
      <w:bookmarkEnd w:id="15"/>
      <w:r>
        <w:rPr>
          <w:rFonts w:cs="Arial"/>
          <w:b/>
          <w:sz w:val="20"/>
        </w:rPr>
        <w:t>.</w:t>
      </w:r>
      <w:r>
        <w:rPr>
          <w:rFonts w:cs="Arial"/>
          <w:sz w:val="20"/>
        </w:rPr>
        <w:t xml:space="preserve"> El productor que desee incorporarse al Sistema, para estar en aptitud de disponer anticipadamente de los recursos del mismo o utilizarlos como garantía crediticia, deberá cumplir con los siguientes requisitos: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lang w:val="en-US"/>
        </w:rPr>
        <w:t>I.</w:t>
        <w:tab/>
      </w:r>
      <w:r>
        <w:rPr>
          <w:rFonts w:cs="Arial"/>
          <w:sz w:val="20"/>
        </w:rPr>
        <w:t>Estar inscrito en el Padrón del PROCAMPO;</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II.</w:t>
        <w:tab/>
      </w:r>
      <w:r>
        <w:rPr>
          <w:rFonts w:cs="Arial"/>
          <w:sz w:val="20"/>
        </w:rPr>
        <w:t>Ser titular del predio beneficiario del PROCAMPO;</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III.</w:t>
        <w:tab/>
      </w:r>
      <w:r>
        <w:rPr>
          <w:rFonts w:cs="Arial"/>
          <w:sz w:val="20"/>
        </w:rPr>
        <w:t>Presentar solicitud para utilizar el Sistema, señalando los ciclos agrícolas para los cuales se requiere, la que se calificará en atención a su proyecto;</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IV.</w:t>
        <w:tab/>
      </w:r>
      <w:r>
        <w:rPr>
          <w:rFonts w:cs="Arial"/>
          <w:sz w:val="20"/>
        </w:rPr>
        <w:t>Anexar, en los términos de los artículos 8 y 19 de esta Ley, el proyecto o proyectos que pretenden realizar con dichos apoyos, comprometiéndose a ejecutarlos;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Presentar, tratándose de personas físicas, copia de la credencial para votar expedida por el Instituto Federal Electoral o la Clave Única de Registro de Población (CURP) u otra identificación oficial con fotografía y firma o huella digital; para productores personas morales, copia de su Cédula de Identificación Fiscal por conducto de su representante debidamente acreditado.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6" w:name="Artículo_17"/>
      <w:r>
        <w:rPr>
          <w:rFonts w:cs="Arial"/>
          <w:b/>
          <w:sz w:val="20"/>
        </w:rPr>
        <w:t>Artículo 17</w:t>
      </w:r>
      <w:bookmarkEnd w:id="16"/>
      <w:r>
        <w:rPr>
          <w:rFonts w:cs="Arial"/>
          <w:b/>
          <w:sz w:val="20"/>
        </w:rPr>
        <w:t>.</w:t>
      </w:r>
      <w:r>
        <w:rPr>
          <w:rFonts w:cs="Arial"/>
          <w:sz w:val="20"/>
        </w:rPr>
        <w:t xml:space="preserve"> Los demás beneficiarios del PROCAMPO que deseen mantenerse conforme a lo establecido por el Decreto correspondiente y sus normas de operación, seguirán recibiendo los apoyos de conformidad con las normas establecidas en el mismo decreto.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El Sistema operará bajo las directrices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lang w:val="en-US"/>
        </w:rPr>
        <w:t>I.</w:t>
        <w:tab/>
      </w:r>
      <w:r>
        <w:rPr>
          <w:rFonts w:cs="Arial"/>
          <w:sz w:val="20"/>
        </w:rPr>
        <w:t>Certidumbre de su temporalidad al fijar en esta Ley la vigencia del Sistema y la posibilidad de solicitar por adelantado los recursos previstos en él;</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II.</w:t>
        <w:tab/>
      </w:r>
      <w:r>
        <w:rPr>
          <w:rFonts w:cs="Arial"/>
          <w:sz w:val="20"/>
        </w:rPr>
        <w:t>Precisión en cuanto a su naturaleza generalizada o diferenciada por tipo de productor, ubicación geográfica y nivel socioeconómico del beneficiario;</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III.</w:t>
        <w:tab/>
      </w:r>
      <w:r>
        <w:rPr>
          <w:rFonts w:cs="Arial"/>
          <w:sz w:val="20"/>
        </w:rPr>
        <w:t>Transparencia mediante la difusión de las reglas para su acceso y la publicación de los montos y el tipo de apoyo por beneficiario;</w:t>
      </w:r>
    </w:p>
    <w:p>
      <w:pPr>
        <w:pStyle w:val="ROMANOS"/>
        <w:spacing w:lineRule="auto" w:line="240" w:before="0" w:after="0"/>
        <w:rPr>
          <w:rFonts w:cs="Arial"/>
          <w:sz w:val="20"/>
          <w:lang w:val="en-US"/>
        </w:rPr>
      </w:pPr>
      <w:r>
        <w:rPr>
          <w:rFonts w:cs="Arial"/>
          <w:sz w:val="20"/>
          <w:lang w:val="en-US"/>
        </w:rPr>
      </w:r>
    </w:p>
    <w:p>
      <w:pPr>
        <w:pStyle w:val="ROMANOS"/>
        <w:spacing w:lineRule="auto" w:line="240" w:before="0" w:after="0"/>
        <w:rPr/>
      </w:pPr>
      <w:r>
        <w:rPr>
          <w:rFonts w:cs="Arial"/>
          <w:b/>
          <w:sz w:val="20"/>
          <w:lang w:val="en-US"/>
        </w:rPr>
        <w:t>IV.</w:t>
        <w:tab/>
      </w:r>
      <w:r>
        <w:rPr>
          <w:rFonts w:cs="Arial"/>
          <w:sz w:val="20"/>
        </w:rPr>
        <w:t>Responsabilidad de los productores, respecto a la utilización de los apoyos;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Posibilidad de evaluarlos para medir su eficiencia y administración, conforme a lo establecido en los proyectos y en las reglas previstas.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Los recursos del Sistema podrán emplearse como fuente de pago de la inversión requerida por los proyectos a desarrollar por los beneficiarios; como garantía crediticia o para constituir y fortalecer los organismos económicos de los productores, orientados a financiar proyectos productivos agropecuarios, forestales y pesqueros.</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b/>
          <w:sz w:val="22"/>
        </w:rPr>
      </w:pPr>
      <w:r>
        <w:rPr>
          <w:rFonts w:cs="Arial"/>
          <w:b/>
          <w:sz w:val="22"/>
        </w:rPr>
        <w:t>TÍTULO TERCERO</w:t>
      </w:r>
    </w:p>
    <w:p>
      <w:pPr>
        <w:pStyle w:val="texto"/>
        <w:spacing w:lineRule="auto" w:line="240" w:before="0" w:after="0"/>
        <w:ind w:hanging="0" w:end="0"/>
        <w:jc w:val="center"/>
        <w:rPr>
          <w:rFonts w:cs="Arial"/>
          <w:b/>
          <w:sz w:val="22"/>
        </w:rPr>
      </w:pPr>
      <w:r>
        <w:rPr>
          <w:rFonts w:cs="Arial"/>
          <w:b/>
          <w:sz w:val="22"/>
        </w:rPr>
        <w:t>DE LA APLICACIÓN DE LA LEY</w:t>
      </w:r>
    </w:p>
    <w:p>
      <w:pPr>
        <w:pStyle w:val="texto"/>
        <w:spacing w:lineRule="auto" w:line="240" w:before="0" w:after="0"/>
        <w:ind w:hanging="0" w:end="0"/>
        <w:jc w:val="center"/>
        <w:rPr>
          <w:rFonts w:cs="Arial"/>
          <w:b/>
          <w:sz w:val="22"/>
        </w:rPr>
      </w:pPr>
      <w:r>
        <w:rPr>
          <w:rFonts w:cs="Arial"/>
          <w:b/>
          <w:sz w:val="22"/>
        </w:rPr>
      </w:r>
    </w:p>
    <w:p>
      <w:pPr>
        <w:pStyle w:val="texto"/>
        <w:spacing w:lineRule="auto" w:line="240" w:before="0" w:after="0"/>
        <w:ind w:hanging="0" w:end="0"/>
        <w:jc w:val="center"/>
        <w:rPr>
          <w:rFonts w:cs="Arial"/>
          <w:b/>
          <w:sz w:val="22"/>
        </w:rPr>
      </w:pPr>
      <w:r>
        <w:rPr>
          <w:rFonts w:cs="Arial"/>
          <w:b/>
          <w:sz w:val="22"/>
        </w:rPr>
        <w:t>CAPÍTULO ÚNICO</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La Secretaría, con sujeción a las disposiciones establecidas en la presente Ley, emitirá la normatividad operativa para el acceso a los recursos a que se refiere la misma. Normatividad que dará a conocer al Congreso de la Unión para que emita sus observaciones; a la vez que aplicará e interpretará para efectos administrativos lo establecido en este ordenamiento. De la misma manera, determinará los mecanismos de seguimiento y control sobre los recursos que se otorguen y verificará su correcta aplicación en los proyectos aprobados, a la vez que establecerá las sanciones para los productores que incurran en desvíos o simulaciones o no ejecuten dichos proyectos en los plazos previstos.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reglas de operación especificarán las condiciones económicas y financieras a las que se sujetará el Sistema, el costo anualizado y el costo total que tendrá para el productor. Asimismo, para la aplicación del Sistema definirá las disposiciones para que las ministraciones en el acceso a los recursos sean ejercidas con apego a las necesidades previstas en los proyectos correspondientes y sujetas al avance en su ejecución.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La Secretaría definirá, en el seno de la Comisión Intersecretarial, contemplada en la Ley de Desarrollo Rural Sustentable, con la participación del Consejo Mexicano para el Desarrollo Rural Sustentable, los mecanismos para determinar las tasas máximas de crédito a aplicar por el tiempo que duren los programas de apoyo y reducir a los productores los costos financieros que resulten de la aplicación del Sistema, haciendo énfasis en la Banca de Desarrollo y dando preferencia a la Banca Social para operarlo. Las instituciones financieras omitirán el concepto de riesgo en el cobro de intereses. Los productores con 5 hectáreas o menos, no pagarán costos financieros por participar en el Sistema.</w:t>
      </w:r>
    </w:p>
    <w:p>
      <w:pPr>
        <w:pStyle w:val="texto"/>
        <w:spacing w:lineRule="auto" w:line="240" w:before="0" w:after="0"/>
        <w:rPr>
          <w:rFonts w:cs="Arial"/>
          <w:sz w:val="20"/>
        </w:rPr>
      </w:pPr>
      <w:r>
        <w:rPr>
          <w:rFonts w:cs="Arial"/>
          <w:sz w:val="20"/>
        </w:rPr>
      </w:r>
    </w:p>
    <w:p>
      <w:pPr>
        <w:pStyle w:val="texto"/>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La Secretaría, resolverá las inconformidades que presenten los productores en la aplicación de la presente Ley, con la participación del Consejo Mexicano para el Desarrollo Rural Sustentable.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bookmarkStart w:id="22" w:name="TRANSITORIOS"/>
      <w:r>
        <w:rPr>
          <w:rFonts w:cs="Arial" w:ascii="Arial" w:hAnsi="Arial"/>
          <w:sz w:val="22"/>
        </w:rPr>
        <w:t>TRANSITORIOS</w:t>
      </w:r>
      <w:bookmarkEnd w:id="22"/>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23" w:name="Primero"/>
      <w:r>
        <w:rPr>
          <w:rFonts w:cs="Arial"/>
          <w:b/>
          <w:sz w:val="20"/>
        </w:rPr>
        <w:t>Primero</w:t>
      </w:r>
      <w:bookmarkEnd w:id="23"/>
      <w:r>
        <w:rPr>
          <w:rFonts w:cs="Arial"/>
          <w:b/>
          <w:sz w:val="20"/>
        </w:rPr>
        <w:t>.-</w:t>
      </w:r>
      <w:r>
        <w:rPr>
          <w:rFonts w:cs="Arial"/>
          <w:sz w:val="20"/>
        </w:rPr>
        <w:t xml:space="preserve"> La presente Ley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24" w:name="Segundo"/>
      <w:r>
        <w:rPr>
          <w:rFonts w:cs="Arial"/>
          <w:b/>
          <w:sz w:val="20"/>
        </w:rPr>
        <w:t>Segundo</w:t>
      </w:r>
      <w:bookmarkEnd w:id="24"/>
      <w:r>
        <w:rPr>
          <w:rFonts w:cs="Arial"/>
          <w:b/>
          <w:sz w:val="20"/>
        </w:rPr>
        <w:t>.-</w:t>
      </w:r>
      <w:r>
        <w:rPr>
          <w:rFonts w:cs="Arial"/>
          <w:sz w:val="20"/>
        </w:rPr>
        <w:t xml:space="preserve"> La Secretaría enviará al Congreso de la Unión la memoria de cálculo y las proyecciones correspondientes al ejercicio del Sistema noventa días después de la publicación de la presente Ley y, anualmente, al 30 de noviembre el informe de avances del ejercicio y las proyecciones correspondientes al ejercicio fiscal siguiente.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5" w:name="Tercero"/>
      <w:r>
        <w:rPr>
          <w:rFonts w:cs="Arial"/>
          <w:b/>
          <w:sz w:val="20"/>
        </w:rPr>
        <w:t>Tercero</w:t>
      </w:r>
      <w:bookmarkEnd w:id="25"/>
      <w:r>
        <w:rPr>
          <w:rFonts w:cs="Arial"/>
          <w:b/>
          <w:sz w:val="20"/>
        </w:rPr>
        <w:t>.-</w:t>
      </w:r>
      <w:r>
        <w:rPr>
          <w:rFonts w:cs="Arial"/>
          <w:sz w:val="20"/>
        </w:rPr>
        <w:t xml:space="preserve"> El Sistema tendrá vigencia hasta el 31 de diciembre del año 2008.</w:t>
      </w:r>
    </w:p>
    <w:p>
      <w:pPr>
        <w:pStyle w:val="texto"/>
        <w:spacing w:lineRule="auto" w:line="240" w:before="0" w:after="0"/>
        <w:rPr>
          <w:rFonts w:cs="Arial"/>
          <w:sz w:val="20"/>
        </w:rPr>
      </w:pPr>
      <w:r>
        <w:rPr>
          <w:rFonts w:cs="Arial"/>
          <w:sz w:val="20"/>
        </w:rPr>
      </w:r>
    </w:p>
    <w:p>
      <w:pPr>
        <w:pStyle w:val="texto"/>
        <w:spacing w:lineRule="auto" w:line="240" w:before="0" w:after="0"/>
        <w:rPr/>
      </w:pPr>
      <w:bookmarkStart w:id="26" w:name="Cuarto"/>
      <w:r>
        <w:rPr>
          <w:rFonts w:cs="Arial"/>
          <w:b/>
          <w:sz w:val="20"/>
        </w:rPr>
        <w:t>Cuarto</w:t>
      </w:r>
      <w:bookmarkEnd w:id="26"/>
      <w:r>
        <w:rPr>
          <w:rFonts w:cs="Arial"/>
          <w:b/>
          <w:sz w:val="20"/>
        </w:rPr>
        <w:t>.-</w:t>
      </w:r>
      <w:r>
        <w:rPr>
          <w:rFonts w:cs="Arial"/>
          <w:sz w:val="20"/>
        </w:rPr>
        <w:t xml:space="preserve"> El Ejecutivo Federal por conducto de la Secretaría de Hacienda y Crédito Público, en coordinación con la Secretaría de Agricultura, Ganadería, Desarrollo Rural, Pesca y Alimentación, a la entrada en vigor de esta Ley, promoverá las acciones de fomento a la capitalización a que se refiere la misma, así como la instrumentación de los mecanismos financieros que se requieran para el cumplimiento de sus disposiciones.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15 de diciembre de 2001.-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María Lucero Saldaña Pérez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Courier New">
    <w:charset w:val="00" w:characterSet="windows-1252"/>
    <w:family w:val="modern"/>
    <w:pitch w:val="default"/>
  </w:font>
  <w:font w:name="CG Palacio (WN)">
    <w:charset w:val="00" w:characterSet="windows-1252"/>
    <w:family w:val="roman"/>
    <w:pitch w:val="default"/>
  </w:font>
  <w:font w:name="Arial (W1)">
    <w:charset w:val="00" w:characterSet="windows-1252"/>
    <w:family w:val="swiss"/>
    <w:pitch w:val="variable"/>
  </w:font>
  <w:font w:name="Courier">
    <w:altName w:val="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5</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5</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2028960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 CAPITALIZACIÓN DEL PROCAMPO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31-12-2001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W1);Times New Roman" w:hAnsi="Times New (W1);Times New Roman" w:eastAsia="Times New Roman" w:cs="Times New Roman"/>
      <w:color w:val="auto"/>
      <w:sz w:val="20"/>
      <w:szCs w:val="20"/>
      <w:lang w:val="es-ES_tradnl" w:bidi="ar-SA" w:eastAsia="zh-CN"/>
    </w:rPr>
  </w:style>
  <w:style w:type="paragraph" w:styleId="Heading1">
    <w:name w:val="heading 1"/>
    <w:basedOn w:val="Normal"/>
    <w:next w:val="Normal"/>
    <w:qFormat/>
    <w:pPr>
      <w:keepNext w:val="true"/>
      <w:numPr>
        <w:ilvl w:val="0"/>
        <w:numId w:val="1"/>
      </w:numPr>
      <w:pBdr>
        <w:bottom w:val="single" w:sz="12" w:space="1" w:color="000000"/>
      </w:pBdr>
      <w:spacing w:lineRule="exact" w:line="216"/>
      <w:jc w:val="both"/>
      <w:outlineLvl w:val="0"/>
    </w:pPr>
    <w:rPr>
      <w:b/>
      <w:sz w:val="18"/>
    </w:rPr>
  </w:style>
  <w:style w:type="paragraph" w:styleId="Heading2">
    <w:name w:val="heading 2"/>
    <w:basedOn w:val="Normal"/>
    <w:next w:val="Normal"/>
    <w:qFormat/>
    <w:pPr>
      <w:keepNext w:val="true"/>
      <w:numPr>
        <w:ilvl w:val="1"/>
        <w:numId w:val="1"/>
      </w:numPr>
      <w:pBdr>
        <w:top w:val="double" w:sz="6" w:space="1" w:color="000000"/>
      </w:pBdr>
      <w:spacing w:lineRule="exac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keepNext w:val="true"/>
      <w:numPr>
        <w:ilvl w:val="3"/>
        <w:numId w:val="1"/>
      </w:numPr>
      <w:jc w:val="center"/>
      <w:outlineLvl w:val="3"/>
    </w:pPr>
    <w:rPr>
      <w:rFonts w:ascii="Arial" w:hAnsi="Arial" w:cs="Arial"/>
      <w:b/>
      <w:bCs/>
      <w:color w:val="FF0000"/>
      <w:sz w:val="16"/>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basedOn w:val="Fuentedeprrafopredeter"/>
    <w:qFormat/>
    <w:rPr>
      <w:lang w:val="es-ES_tradnl"/>
    </w:rPr>
  </w:style>
  <w:style w:type="character" w:styleId="PiedepginaCar">
    <w:name w:val="Pie de página Car"/>
    <w:basedOn w:val="Fuentedeprrafopredeter"/>
    <w:qFormat/>
    <w:rPr>
      <w:lang w:val="es-ES_tradnl"/>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center"/>
    </w:pPr>
    <w:rPr>
      <w:rFonts w:ascii="Courier New" w:hAnsi="Courier New" w:cs="Courier New"/>
      <w:b/>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Times New (W1);Times New Roman" w:hAnsi="Times New (W1);Times New Roman" w:cs="Times New (W1);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Arial (W1)" w:hAnsi="Arial (W1)" w:cs="Arial (W1)"/>
      <w:b/>
    </w:rPr>
  </w:style>
  <w:style w:type="paragraph" w:styleId="modelo">
    <w:name w:val="modelo"/>
    <w:basedOn w:val="texto"/>
    <w:qFormat/>
    <w:pPr>
      <w:tabs>
        <w:tab w:val="clear" w:pos="708"/>
        <w:tab w:val="left" w:pos="2970" w:leader="none"/>
        <w:tab w:val="left" w:pos="4950" w:leader="none"/>
      </w:tabs>
    </w:pPr>
    <w:rPr>
      <w:rFonts w:ascii="Arial (W1)" w:hAnsi="Arial (W1)" w:cs="Arial (W1)"/>
    </w:rPr>
  </w:style>
  <w:style w:type="paragraph" w:styleId="versin">
    <w:name w:val="versión"/>
    <w:basedOn w:val="texto"/>
    <w:qFormat/>
    <w:pPr>
      <w:tabs>
        <w:tab w:val="clear" w:pos="708"/>
        <w:tab w:val="left" w:pos="2970" w:leader="none"/>
        <w:tab w:val="left" w:pos="4950" w:leader="none"/>
        <w:tab w:val="left" w:pos="5580" w:leader="none"/>
      </w:tabs>
    </w:pPr>
    <w:rPr>
      <w:rFonts w:ascii="Arial (W1)" w:hAnsi="Arial (W1)" w:cs="Arial (W1)"/>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Arial (W1)" w:hAnsi="Arial (W1)" w:cs="Arial (W1)"/>
    </w:rPr>
  </w:style>
  <w:style w:type="paragraph" w:styleId="partido">
    <w:name w:val="partido"/>
    <w:basedOn w:val="texto"/>
    <w:qFormat/>
    <w:pPr>
      <w:tabs>
        <w:tab w:val="clear" w:pos="708"/>
        <w:tab w:val="right" w:pos="5760" w:leader="none"/>
        <w:tab w:val="right" w:pos="8010" w:leader="none"/>
      </w:tabs>
    </w:pPr>
    <w:rPr>
      <w:rFonts w:ascii="Arial (W1)" w:hAnsi="Arial (W1)" w:cs="Arial (W1)"/>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Arial (W1)" w:hAnsi="Arial (W1)" w:cs="Arial (W1)"/>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Arial (W1)" w:hAnsi="Arial (W1)" w:cs="Arial (W1)"/>
    </w:rPr>
  </w:style>
  <w:style w:type="paragraph" w:styleId="pscentro">
    <w:name w:val="pscentro"/>
    <w:basedOn w:val="Normal"/>
    <w:qFormat/>
    <w:pPr>
      <w:spacing w:lineRule="atLeast" w:line="216" w:before="0" w:after="101"/>
      <w:jc w:val="center"/>
    </w:pPr>
    <w:rPr>
      <w:rFonts w:ascii="Arial (W1)" w:hAnsi="Arial (W1)" w:cs="Arial (W1)"/>
      <w:b/>
      <w:sz w:val="22"/>
    </w:rPr>
  </w:style>
  <w:style w:type="paragraph" w:styleId="psroma">
    <w:name w:val="psroma"/>
    <w:basedOn w:val="Normal"/>
    <w:qFormat/>
    <w:pPr>
      <w:spacing w:lineRule="atLeast" w:line="216" w:before="0" w:after="101"/>
      <w:ind w:hanging="720" w:start="1440" w:end="0"/>
      <w:jc w:val="both"/>
    </w:pPr>
    <w:rPr>
      <w:rFonts w:ascii="Arial (W1)" w:hAnsi="Arial (W1)" w:cs="Arial (W1)"/>
      <w:sz w:val="22"/>
    </w:rPr>
  </w:style>
  <w:style w:type="paragraph" w:styleId="psinci">
    <w:name w:val="psinci"/>
    <w:basedOn w:val="psroma"/>
    <w:qFormat/>
    <w:pPr>
      <w:ind w:hanging="720" w:start="2160" w:end="0"/>
    </w:pPr>
    <w:rPr/>
  </w:style>
  <w:style w:type="paragraph" w:styleId="t">
    <w:name w:val="t"/>
    <w:basedOn w:val="texto"/>
    <w:qFormat/>
    <w:pPr>
      <w:tabs>
        <w:tab w:val="clear" w:pos="708"/>
        <w:tab w:val="right" w:pos="8820" w:leader="dot"/>
      </w:tabs>
    </w:pPr>
    <w:rPr/>
  </w:style>
  <w:style w:type="paragraph" w:styleId="3">
    <w:name w:val="3"/>
    <w:basedOn w:val="texto"/>
    <w:qFormat/>
    <w:pPr>
      <w:ind w:hanging="540" w:start="1710" w:end="0"/>
    </w:pPr>
    <w:rPr/>
  </w:style>
  <w:style w:type="paragraph" w:styleId="WW-TX">
    <w:name w:val="WW-TX"/>
    <w:basedOn w:val="texto"/>
    <w:qFormat/>
    <w:pPr/>
    <w:rPr>
      <w:b/>
    </w:rPr>
  </w:style>
  <w:style w:type="paragraph" w:styleId="BodyText2">
    <w:name w:val="Body Text 2"/>
    <w:basedOn w:val="Normal"/>
    <w:qFormat/>
    <w:pPr>
      <w:tabs>
        <w:tab w:val="clear" w:pos="708"/>
        <w:tab w:val="left" w:pos="993" w:leader="none"/>
      </w:tabs>
      <w:ind w:hanging="993" w:start="993" w:end="0"/>
      <w:jc w:val="both"/>
    </w:pPr>
    <w:rPr>
      <w:rFonts w:ascii="Courier New" w:hAnsi="Courier New" w:cs="Courier New"/>
      <w:sz w:val="24"/>
    </w:rPr>
  </w:style>
  <w:style w:type="paragraph" w:styleId="BlockText">
    <w:name w:val="Block Text"/>
    <w:basedOn w:val="Normal"/>
    <w:qFormat/>
    <w:pPr>
      <w:tabs>
        <w:tab w:val="clear" w:pos="708"/>
        <w:tab w:val="left" w:pos="720" w:leader="none"/>
      </w:tabs>
      <w:spacing w:lineRule="exact" w:line="240"/>
      <w:ind w:hanging="0" w:start="426" w:end="396"/>
      <w:jc w:val="both"/>
    </w:pPr>
    <w:rPr>
      <w:rFonts w:ascii="Courier" w:hAnsi="Courier" w:cs="Courier"/>
      <w:b/>
      <w:i/>
      <w:sz w:val="24"/>
    </w:rPr>
  </w:style>
  <w:style w:type="paragraph" w:styleId="BodyTextIndent2">
    <w:name w:val="Body Text Indent 2"/>
    <w:basedOn w:val="Normal"/>
    <w:qFormat/>
    <w:pPr>
      <w:tabs>
        <w:tab w:val="clear" w:pos="708"/>
        <w:tab w:val="left" w:pos="720" w:leader="none"/>
        <w:tab w:val="left" w:pos="1701" w:leader="none"/>
      </w:tabs>
      <w:spacing w:lineRule="exact" w:line="260"/>
      <w:ind w:hanging="0" w:start="1134" w:end="0"/>
      <w:jc w:val="both"/>
    </w:pPr>
    <w:rPr>
      <w:rFonts w:ascii="Courier" w:hAnsi="Courier" w:cs="Courier"/>
      <w:sz w:val="24"/>
    </w:rPr>
  </w:style>
  <w:style w:type="paragraph" w:styleId="BodyTextIndent3">
    <w:name w:val="Body Text Indent 3"/>
    <w:basedOn w:val="Normal"/>
    <w:qFormat/>
    <w:pPr>
      <w:tabs>
        <w:tab w:val="clear" w:pos="708"/>
        <w:tab w:val="left" w:pos="720" w:leader="none"/>
      </w:tabs>
      <w:spacing w:lineRule="exact" w:line="260"/>
      <w:ind w:hanging="0" w:start="709" w:end="0"/>
      <w:jc w:val="both"/>
    </w:pPr>
    <w:rPr>
      <w:rFonts w:ascii="Courier" w:hAnsi="Courier" w:cs="Courier"/>
      <w:sz w:val="24"/>
    </w:rPr>
  </w:style>
  <w:style w:type="paragraph" w:styleId="NormalWeb">
    <w:name w:val="Normal (Web)"/>
    <w:basedOn w:val="Normal"/>
    <w:qFormat/>
    <w:pPr>
      <w:spacing w:before="100" w:after="100"/>
    </w:pPr>
    <w:rPr>
      <w:color w:val="000000"/>
      <w:sz w:val="24"/>
      <w:lang w:val="es-ES"/>
    </w:rPr>
  </w:style>
  <w:style w:type="paragraph" w:styleId="FECJAS">
    <w:name w:val="FECJAS"/>
    <w:basedOn w:val="ANOTAC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2008-10-01T10:45:00Z</dcterms:created>
  <dc:creator>Cámara de Diputados del H. Congreso de la Unión</dc:creator>
  <dc:description/>
  <cp:keywords/>
  <dc:language>en-US</dc:language>
  <cp:lastModifiedBy>Armando Torres</cp:lastModifiedBy>
  <cp:lastPrinted>2001-12-29T15:44:00Z</cp:lastPrinted>
  <dcterms:modified xsi:type="dcterms:W3CDTF">2018-09-20T09:19:00Z</dcterms:modified>
  <cp:revision>5</cp:revision>
  <dc:subject/>
  <dc:title>Ley de Capitalización del Procampo</dc:title>
</cp:coreProperties>
</file>