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media/image1.wmf" ContentType="image/x-wm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bottom w:val="nil"/>
        </w:pBdr>
        <w:spacing w:lineRule="auto" w:line="240"/>
        <w:ind w:hanging="0" w:start="0"/>
        <w:jc w:val="center"/>
        <w:rPr>
          <w:rFonts w:ascii="Tahoma" w:hAnsi="Tahoma" w:cs="Tahoma"/>
          <w:color w:val="008000"/>
          <w:sz w:val="22"/>
          <w:szCs w:val="22"/>
          <w:lang w:val="es-MX"/>
        </w:rPr>
      </w:pPr>
      <w:r>
        <w:rPr>
          <w:rFonts w:cs="Tahoma" w:ascii="Tahoma" w:hAnsi="Tahoma"/>
          <w:color w:val="008000"/>
          <w:sz w:val="22"/>
          <w:szCs w:val="22"/>
          <w:lang w:val="es-MX"/>
        </w:rPr>
        <w:t>LEY DE PROTECCIÓN AL COMERCIO Y LA INVERSIÓN DE NORMAS EXTRANJERAS QUE CONTRAVENGAN EL DERECHO INTERNACIONAL</w:t>
      </w:r>
    </w:p>
    <w:p>
      <w:pPr>
        <w:pStyle w:val="Normal"/>
        <w:jc w:val="center"/>
        <w:rPr>
          <w:rFonts w:ascii="Tahoma" w:hAnsi="Tahoma" w:cs="Tahoma"/>
          <w:color w:val="008000"/>
          <w:sz w:val="20"/>
          <w:szCs w:val="22"/>
          <w:lang w:val="es-MX"/>
        </w:rPr>
      </w:pPr>
      <w:r>
        <w:rPr>
          <w:rFonts w:cs="Tahoma" w:ascii="Tahoma" w:hAnsi="Tahoma"/>
          <w:color w:val="008000"/>
          <w:sz w:val="20"/>
          <w:szCs w:val="22"/>
          <w:lang w:val="es-MX"/>
        </w:rPr>
      </w:r>
    </w:p>
    <w:p>
      <w:pPr>
        <w:pStyle w:val="Subtitle"/>
        <w:rPr>
          <w:rFonts w:ascii="Tahoma" w:hAnsi="Tahoma" w:cs="Tahoma"/>
          <w:sz w:val="16"/>
          <w:lang w:val="es-MX"/>
        </w:rPr>
      </w:pPr>
      <w:r>
        <w:rPr>
          <w:rFonts w:cs="Tahoma" w:ascii="Tahoma" w:hAnsi="Tahoma"/>
          <w:sz w:val="16"/>
          <w:lang w:val="es-MX"/>
        </w:rPr>
        <w:t>Nueva Ley publicada en el Diario Oficial de la Federación el 23 de octubre de 1996</w:t>
      </w:r>
    </w:p>
    <w:p>
      <w:pPr>
        <w:pStyle w:val="texto"/>
        <w:spacing w:lineRule="auto" w:line="240" w:before="0" w:after="0"/>
        <w:ind w:hanging="0" w:end="0"/>
        <w:jc w:val="center"/>
        <w:rPr>
          <w:rFonts w:ascii="Tahoma" w:hAnsi="Tahoma" w:cs="Tahoma"/>
          <w:b/>
          <w:sz w:val="16"/>
          <w:lang w:val="es-MX"/>
        </w:rPr>
      </w:pPr>
      <w:r>
        <w:rPr>
          <w:rFonts w:cs="Tahoma" w:ascii="Tahoma" w:hAnsi="Tahoma"/>
          <w:b/>
          <w:sz w:val="16"/>
          <w:lang w:val="es-MX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rFonts w:ascii="Tahoma" w:hAnsi="Tahoma" w:cs="Tahoma"/>
          <w:b/>
          <w:sz w:val="16"/>
          <w:lang w:val="es-MX"/>
        </w:rPr>
      </w:pPr>
      <w:r>
        <w:rPr>
          <w:rFonts w:cs="Tahoma" w:ascii="Tahoma" w:hAnsi="Tahoma"/>
          <w:b/>
          <w:sz w:val="16"/>
          <w:lang w:val="es-MX"/>
        </w:rPr>
        <w:t>TEXTO VIGENTE</w:t>
      </w:r>
    </w:p>
    <w:p>
      <w:pPr>
        <w:pStyle w:val="texto"/>
        <w:spacing w:lineRule="auto" w:line="240" w:before="0" w:after="0"/>
        <w:ind w:hanging="0" w:end="0"/>
        <w:jc w:val="center"/>
        <w:rPr>
          <w:rFonts w:ascii="Tahoma" w:hAnsi="Tahoma" w:cs="Tahoma"/>
          <w:b/>
          <w:color w:val="CC3300"/>
          <w:sz w:val="16"/>
          <w:lang w:val="es-MX"/>
        </w:rPr>
      </w:pPr>
      <w:r>
        <w:rPr>
          <w:rFonts w:cs="Tahoma" w:ascii="Tahoma" w:hAnsi="Tahoma"/>
          <w:b/>
          <w:color w:val="CC3300"/>
          <w:sz w:val="16"/>
          <w:lang w:val="es-MX"/>
        </w:rPr>
        <w:t>Última reforma publicada DOF 09-04-2012</w:t>
      </w:r>
    </w:p>
    <w:p>
      <w:pPr>
        <w:pStyle w:val="Normal"/>
        <w:rPr>
          <w:rFonts w:ascii="Arial" w:hAnsi="Arial" w:cs="Arial"/>
          <w:b/>
          <w:color w:val="CC3300"/>
          <w:sz w:val="20"/>
          <w:lang w:val="es-MX"/>
        </w:rPr>
      </w:pPr>
      <w:r>
        <w:rPr>
          <w:rFonts w:cs="Arial" w:ascii="Arial" w:hAnsi="Arial"/>
          <w:b/>
          <w:color w:val="CC3300"/>
          <w:sz w:val="20"/>
          <w:lang w:val="es-MX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ing2"/>
        <w:pBdr>
          <w:top w:val="nil"/>
        </w:pBdr>
        <w:spacing w:lineRule="auto" w:line="240" w:before="0" w:after="0"/>
        <w:ind w:hanging="0" w:start="0"/>
        <w:rPr>
          <w:sz w:val="20"/>
          <w:lang w:val="es-MX"/>
        </w:rPr>
      </w:pPr>
      <w:r>
        <w:rPr>
          <w:sz w:val="20"/>
          <w:lang w:val="es-MX"/>
        </w:rPr>
        <w:t>Al margen un sello con el Escudo Nacional, que dice: Estados Unidos Mexicanos.- Presidencia de la República.</w:t>
      </w:r>
    </w:p>
    <w:p>
      <w:pPr>
        <w:pStyle w:val="Normal"/>
        <w:rPr>
          <w:rFonts w:ascii="Arial" w:hAnsi="Arial" w:cs="Arial"/>
          <w:sz w:val="20"/>
          <w:lang w:val="es-MX"/>
        </w:rPr>
      </w:pPr>
      <w:r>
        <w:rPr>
          <w:rFonts w:cs="Arial" w:ascii="Arial" w:hAnsi="Arial"/>
          <w:sz w:val="20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  <w:lang w:val="es-MX"/>
        </w:rPr>
        <w:t>ERNESTO ZEDILLO PONCE DE LEON</w:t>
      </w:r>
      <w:r>
        <w:rPr>
          <w:sz w:val="20"/>
          <w:lang w:val="es-MX"/>
        </w:rPr>
        <w:t>, Presidente de los Estados Unidos Mexicanos, a sus habitantes sabed: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  <w:t>Que el Honorable Congreso de la Unión, se ha servido dirigirme el siguiente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ANOTACION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  <w:t>DECRETO</w:t>
      </w:r>
    </w:p>
    <w:p>
      <w:pPr>
        <w:pStyle w:val="ANOTACION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  <w:t>"EL CONGRESO DE LOS ESTADOS UNIDOS MEXICANOS, D E C R E T A: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ANOTACION"/>
        <w:spacing w:lineRule="auto" w:line="240" w:before="0" w:after="0"/>
        <w:rPr>
          <w:sz w:val="22"/>
          <w:lang w:val="es-MX"/>
        </w:rPr>
      </w:pPr>
      <w:r>
        <w:rPr>
          <w:sz w:val="22"/>
          <w:lang w:val="es-MX"/>
        </w:rPr>
        <w:t>LEY DE PROTECCION AL COMERCIO Y LA INVERSION DE NORMAS EXTRANJERAS QUE CONTRAVENGAN EL DERECHO INTERNACIONAL</w:t>
      </w:r>
    </w:p>
    <w:p>
      <w:pPr>
        <w:pStyle w:val="ANOTACION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/>
      </w:pPr>
      <w:bookmarkStart w:id="0" w:name="Artículo_1o"/>
      <w:r>
        <w:rPr>
          <w:b/>
          <w:sz w:val="20"/>
          <w:lang w:val="es-MX"/>
        </w:rPr>
        <w:t>ARTICULO 1o</w:t>
      </w:r>
      <w:bookmarkEnd w:id="0"/>
      <w:r>
        <w:rPr>
          <w:b/>
          <w:sz w:val="20"/>
          <w:lang w:val="es-MX"/>
        </w:rPr>
        <w:t xml:space="preserve">.- </w:t>
      </w:r>
      <w:r>
        <w:rPr>
          <w:sz w:val="20"/>
          <w:lang w:val="es-MX"/>
        </w:rPr>
        <w:t>Se</w:t>
      </w:r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prohíbe a las personas físicas o morales, públicas o privadas que se encuentren en el territorio nacional, a aquéllas cuyos actos ocurran o surtan efectos total o parcialmente en dicho territorio, así como a aquéllas que se sometan a las leyes mexicanas, realizar actos que afecten el comercio o la inversión, cuando tales actos sean consecuencia de los efectos extraterritoriales de leyes extranjeras.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  <w:t>Se entenderá que una ley extranjera tiene efectos extraterritoriales que afectan el comercio o la inversión de México, cuando tenga o pueda tener cualesquiera de los siguientes objetivos: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ROMANOS"/>
        <w:spacing w:lineRule="auto" w:line="240" w:before="0" w:after="0"/>
        <w:rPr/>
      </w:pPr>
      <w:r>
        <w:rPr>
          <w:b/>
          <w:sz w:val="20"/>
          <w:lang w:val="es-MX"/>
        </w:rPr>
        <w:t>I</w:t>
      </w:r>
      <w:r>
        <w:rPr>
          <w:sz w:val="20"/>
          <w:lang w:val="es-MX"/>
        </w:rPr>
        <w:tab/>
        <w:t>Que pretenda imponer un bloqueo económico o incluso limitar la inversión hacia un país para provocar el cambio en su forma de gobierno.</w:t>
      </w:r>
    </w:p>
    <w:p>
      <w:pPr>
        <w:pStyle w:val="ROMANOS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ROMANOS"/>
        <w:spacing w:lineRule="auto" w:line="240" w:before="0" w:after="0"/>
        <w:rPr/>
      </w:pPr>
      <w:r>
        <w:rPr>
          <w:b/>
          <w:sz w:val="20"/>
          <w:lang w:val="es-MX"/>
        </w:rPr>
        <w:t>II</w:t>
      </w:r>
      <w:r>
        <w:rPr>
          <w:sz w:val="20"/>
          <w:lang w:val="es-MX"/>
        </w:rPr>
        <w:tab/>
        <w:t>Que permita reclamar pagos a particulares con motivo de expropiaciones realizadas en el país al que se aplique el bloqueo.</w:t>
      </w:r>
    </w:p>
    <w:p>
      <w:pPr>
        <w:pStyle w:val="ROMANOS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ROMANOS"/>
        <w:spacing w:lineRule="auto" w:line="240" w:before="0" w:after="0"/>
        <w:rPr/>
      </w:pPr>
      <w:r>
        <w:rPr>
          <w:b/>
          <w:sz w:val="20"/>
          <w:lang w:val="es-MX"/>
        </w:rPr>
        <w:t>III</w:t>
      </w:r>
      <w:r>
        <w:rPr>
          <w:sz w:val="20"/>
          <w:lang w:val="es-MX"/>
        </w:rPr>
        <w:tab/>
        <w:t>Que prevea restringir la entrada al país que expide la ley como uno de los medios para alcanzar los objetivos antes citados.</w:t>
      </w:r>
    </w:p>
    <w:p>
      <w:pPr>
        <w:pStyle w:val="texto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texto"/>
        <w:spacing w:lineRule="auto" w:line="240" w:before="0" w:after="0"/>
        <w:rPr/>
      </w:pPr>
      <w:bookmarkStart w:id="1" w:name="Artículo_2o"/>
      <w:r>
        <w:rPr>
          <w:b/>
          <w:sz w:val="20"/>
          <w:lang w:val="es-MX"/>
        </w:rPr>
        <w:t>ARTICULO 2o</w:t>
      </w:r>
      <w:bookmarkEnd w:id="1"/>
      <w:r>
        <w:rPr>
          <w:b/>
          <w:sz w:val="20"/>
          <w:lang w:val="es-MX"/>
        </w:rPr>
        <w:t>.-</w:t>
      </w:r>
      <w:r>
        <w:rPr>
          <w:sz w:val="20"/>
          <w:lang w:val="es-MX"/>
        </w:rPr>
        <w:t xml:space="preserve"> Queda prohibido a las personas mencionadas en el artículo 1o. de esta ley proporcionar cualquier información, por cualquier medio, que le sea requerida por tribunales o autoridades extranjeros, con base en las leyes extranjeras a que se refiere el artículo 1o.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1"/>
        <w:spacing w:lineRule="auto" w:line="240" w:before="0" w:after="0"/>
        <w:rPr/>
      </w:pPr>
      <w:bookmarkStart w:id="2" w:name="Artículo_3o"/>
      <w:r>
        <w:rPr>
          <w:b/>
          <w:sz w:val="20"/>
          <w:lang w:val="es-MX"/>
        </w:rPr>
        <w:t xml:space="preserve">ARTICULO </w:t>
      </w:r>
      <w:r>
        <w:rPr>
          <w:b/>
          <w:color w:val="000000"/>
          <w:sz w:val="20"/>
          <w:lang w:val="es-MX"/>
        </w:rPr>
        <w:t>3o</w:t>
      </w:r>
      <w:bookmarkEnd w:id="2"/>
      <w:r>
        <w:rPr>
          <w:b/>
          <w:color w:val="000000"/>
          <w:sz w:val="20"/>
          <w:lang w:val="es-MX"/>
        </w:rPr>
        <w:t>.</w:t>
      </w:r>
      <w:r>
        <w:rPr>
          <w:color w:val="000000"/>
          <w:sz w:val="20"/>
          <w:lang w:val="es-MX"/>
        </w:rPr>
        <w:t xml:space="preserve"> Las personas afectadas deberán informar a la Secretaría de Relaciones Exteriores y a la Secretaría de Economía, de aquellos casos en que: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</w:rPr>
        <w:t>Párrafo reformado DOF 09-04-2012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lang w:val="es-MX"/>
        </w:rPr>
      </w:r>
    </w:p>
    <w:p>
      <w:pPr>
        <w:pStyle w:val="ROMANOS"/>
        <w:spacing w:lineRule="auto" w:line="240" w:before="0" w:after="0"/>
        <w:rPr/>
      </w:pPr>
      <w:r>
        <w:rPr>
          <w:b/>
          <w:sz w:val="20"/>
          <w:lang w:val="es-MX"/>
        </w:rPr>
        <w:t>I</w:t>
      </w:r>
      <w:r>
        <w:rPr>
          <w:sz w:val="20"/>
          <w:lang w:val="es-MX"/>
        </w:rPr>
        <w:tab/>
        <w:t>Pudieren verse perjudicadas en sus actividades o inversión, por los efectos de las leyes extranjeras a que se refiere el artículo 1o., y</w:t>
      </w:r>
    </w:p>
    <w:p>
      <w:pPr>
        <w:pStyle w:val="ROMANOS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ROMANOS"/>
        <w:spacing w:lineRule="auto" w:line="240" w:before="0" w:after="0"/>
        <w:rPr/>
      </w:pPr>
      <w:r>
        <w:rPr>
          <w:b/>
          <w:sz w:val="20"/>
          <w:lang w:val="es-MX"/>
        </w:rPr>
        <w:t>II</w:t>
      </w:r>
      <w:r>
        <w:rPr>
          <w:sz w:val="20"/>
          <w:lang w:val="es-MX"/>
        </w:rPr>
        <w:tab/>
        <w:t>Reciban requerimientos o notificaciones, emitidos con base en las leyes extranjeras a que se refiere el artículo 1o.</w:t>
      </w:r>
    </w:p>
    <w:p>
      <w:pPr>
        <w:pStyle w:val="texto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texto"/>
        <w:spacing w:lineRule="auto" w:line="240" w:before="0" w:after="0"/>
        <w:rPr/>
      </w:pPr>
      <w:bookmarkStart w:id="3" w:name="Artículo_4o"/>
      <w:r>
        <w:rPr>
          <w:b/>
          <w:sz w:val="20"/>
          <w:lang w:val="es-MX"/>
        </w:rPr>
        <w:t>ARTICULO 4o</w:t>
      </w:r>
      <w:bookmarkEnd w:id="3"/>
      <w:r>
        <w:rPr>
          <w:b/>
          <w:sz w:val="20"/>
          <w:lang w:val="es-MX"/>
        </w:rPr>
        <w:t>.-</w:t>
      </w:r>
      <w:r>
        <w:rPr>
          <w:sz w:val="20"/>
          <w:lang w:val="es-MX"/>
        </w:rPr>
        <w:t xml:space="preserve"> Los tribunales nacionales denegarán el reconocimiento y ejecución de sentencias, requerimientos judiciales o laudos arbitrales, emitidos con base en las leyes extranjeras a que se refiere el artículo 1o.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/>
      </w:pPr>
      <w:bookmarkStart w:id="4" w:name="Artículo_5o"/>
      <w:r>
        <w:rPr>
          <w:b/>
          <w:sz w:val="20"/>
          <w:lang w:val="es-MX"/>
        </w:rPr>
        <w:t>ARTICULO 5o</w:t>
      </w:r>
      <w:bookmarkEnd w:id="4"/>
      <w:r>
        <w:rPr>
          <w:b/>
          <w:sz w:val="20"/>
          <w:lang w:val="es-MX"/>
        </w:rPr>
        <w:t>.-</w:t>
      </w:r>
      <w:r>
        <w:rPr>
          <w:sz w:val="20"/>
          <w:lang w:val="es-MX"/>
        </w:rPr>
        <w:t xml:space="preserve"> Quienes hubieren sido condenados al pago de una indemnización mediante sentencia o laudo emitido con base en las leyes extranjeras a que se refiere el artículo 1o., tendrán derecho de demandar ante tribunales federales, el pago por parte del demandante del juicio en país extranjero: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ROMANOS"/>
        <w:spacing w:lineRule="auto" w:line="240" w:before="0" w:after="0"/>
        <w:rPr/>
      </w:pPr>
      <w:r>
        <w:rPr>
          <w:b/>
          <w:sz w:val="20"/>
          <w:lang w:val="es-MX"/>
        </w:rPr>
        <w:t>I</w:t>
      </w:r>
      <w:r>
        <w:rPr>
          <w:sz w:val="20"/>
          <w:lang w:val="es-MX"/>
        </w:rPr>
        <w:tab/>
        <w:t>En concepto de daño y como suerte principal, la cantidad establecida en la sentencia o laudo extranjero, y</w:t>
      </w:r>
    </w:p>
    <w:p>
      <w:pPr>
        <w:pStyle w:val="ROMANOS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ROMANOS"/>
        <w:spacing w:lineRule="auto" w:line="240" w:before="0" w:after="0"/>
        <w:rPr/>
      </w:pPr>
      <w:r>
        <w:rPr>
          <w:b/>
          <w:sz w:val="20"/>
          <w:lang w:val="es-MX"/>
        </w:rPr>
        <w:t>II</w:t>
      </w:r>
      <w:r>
        <w:rPr>
          <w:sz w:val="20"/>
          <w:lang w:val="es-MX"/>
        </w:rPr>
        <w:tab/>
        <w:t>Los perjuicios ocasionados, así como los gastos y las costas judiciales respectivos.</w:t>
      </w:r>
    </w:p>
    <w:p>
      <w:pPr>
        <w:pStyle w:val="texto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texto"/>
        <w:spacing w:lineRule="auto" w:line="240" w:before="0" w:after="0"/>
        <w:rPr/>
      </w:pPr>
      <w:bookmarkStart w:id="5" w:name="Artículo_6o"/>
      <w:r>
        <w:rPr>
          <w:b/>
          <w:sz w:val="20"/>
          <w:lang w:val="es-MX"/>
        </w:rPr>
        <w:t>ARTICULO 6o</w:t>
      </w:r>
      <w:bookmarkEnd w:id="5"/>
      <w:r>
        <w:rPr>
          <w:b/>
          <w:sz w:val="20"/>
          <w:lang w:val="es-MX"/>
        </w:rPr>
        <w:t xml:space="preserve">.- </w:t>
      </w:r>
      <w:r>
        <w:rPr>
          <w:sz w:val="20"/>
          <w:lang w:val="es-MX"/>
        </w:rPr>
        <w:t>Los tribunales nacionales de conformidad con la legislación aplicable, podrán homologar y ejecutar en su caso, las sentencias o laudos emitidos en el extranjero, que condenen a indemnización, pago de daños y perjuicios así como gastos y costas, a una persona que a su vez hubiere obtenido un beneficio económico derivado de una sentencia o laudo emitidos con base en las leyes extranjeras a que se refiere el artículo 1o.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1"/>
        <w:spacing w:lineRule="auto" w:line="240" w:before="0" w:after="0"/>
        <w:rPr/>
      </w:pPr>
      <w:bookmarkStart w:id="6" w:name="Artículo_7o"/>
      <w:r>
        <w:rPr>
          <w:b/>
          <w:sz w:val="20"/>
          <w:lang w:val="es-MX"/>
        </w:rPr>
        <w:t xml:space="preserve">ARTICULO </w:t>
      </w:r>
      <w:r>
        <w:rPr>
          <w:b/>
          <w:color w:val="000000"/>
          <w:sz w:val="20"/>
          <w:lang w:val="es-MX"/>
        </w:rPr>
        <w:t>7o</w:t>
      </w:r>
      <w:bookmarkEnd w:id="6"/>
      <w:r>
        <w:rPr>
          <w:b/>
          <w:color w:val="000000"/>
          <w:sz w:val="20"/>
          <w:lang w:val="es-MX"/>
        </w:rPr>
        <w:t>.</w:t>
      </w:r>
      <w:r>
        <w:rPr>
          <w:b/>
          <w:color w:val="000000"/>
          <w:sz w:val="20"/>
        </w:rPr>
        <w:t>-</w:t>
      </w:r>
      <w:r>
        <w:rPr>
          <w:color w:val="000000"/>
          <w:sz w:val="20"/>
          <w:lang w:val="es-MX"/>
        </w:rPr>
        <w:t xml:space="preserve"> La Secretaría de Relaciones Exteriores y la Secretaría de Economía asesorarán a las personas que se vean afectadas por la aplicación de las leyes a que se refiere el artículo 1o.</w:t>
      </w:r>
    </w:p>
    <w:p>
      <w:pPr>
        <w:pStyle w:val="Textosinformato"/>
        <w:ind w:firstLine="708" w:end="0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</w:rPr>
        <w:t>Artículo reformado DOF 09-04-2012</w:t>
      </w:r>
    </w:p>
    <w:p>
      <w:pPr>
        <w:pStyle w:val="Texto1"/>
        <w:spacing w:lineRule="auto" w:line="240" w:before="0" w:after="0"/>
        <w:rPr>
          <w:rFonts w:ascii="Times New Roman" w:hAnsi="Times New Roman" w:eastAsia="MS Mincho;ＭＳ 明朝" w:cs="Times New Roman"/>
          <w:b/>
          <w:i/>
          <w:i/>
          <w:iCs/>
          <w:color w:val="0000FF"/>
          <w:sz w:val="20"/>
        </w:rPr>
      </w:pPr>
      <w:r>
        <w:rPr>
          <w:rFonts w:eastAsia="MS Mincho;ＭＳ 明朝" w:cs="Times New Roman" w:ascii="Times New Roman" w:hAnsi="Times New Roman"/>
          <w:b/>
          <w:i/>
          <w:iCs/>
          <w:color w:val="0000FF"/>
          <w:sz w:val="20"/>
        </w:rPr>
      </w:r>
    </w:p>
    <w:p>
      <w:pPr>
        <w:pStyle w:val="Texto1"/>
        <w:spacing w:lineRule="auto" w:line="240" w:before="0" w:after="0"/>
        <w:rPr/>
      </w:pPr>
      <w:bookmarkStart w:id="7" w:name="Artículo_8o"/>
      <w:r>
        <w:rPr>
          <w:b/>
          <w:sz w:val="20"/>
          <w:lang w:val="es-MX"/>
        </w:rPr>
        <w:t xml:space="preserve">ARTICULO </w:t>
      </w:r>
      <w:r>
        <w:rPr>
          <w:b/>
          <w:color w:val="000000"/>
          <w:sz w:val="20"/>
          <w:lang w:val="es-MX"/>
        </w:rPr>
        <w:t>8o</w:t>
      </w:r>
      <w:bookmarkEnd w:id="7"/>
      <w:r>
        <w:rPr>
          <w:b/>
          <w:color w:val="000000"/>
          <w:sz w:val="20"/>
          <w:lang w:val="es-MX"/>
        </w:rPr>
        <w:t>.</w:t>
      </w:r>
      <w:r>
        <w:rPr>
          <w:b/>
          <w:color w:val="000000"/>
          <w:sz w:val="20"/>
        </w:rPr>
        <w:t>-</w:t>
      </w:r>
      <w:r>
        <w:rPr>
          <w:color w:val="000000"/>
          <w:sz w:val="20"/>
          <w:lang w:val="es-MX"/>
        </w:rPr>
        <w:t xml:space="preserve"> La Secretaría de Relaciones Exteriores y la Secretaría de Economía, en sus respectivas competencias, quedan facultadas para emitir criterios generales de interpretación de esta ley.</w:t>
      </w:r>
    </w:p>
    <w:p>
      <w:pPr>
        <w:pStyle w:val="Textosinformato"/>
        <w:ind w:firstLine="708" w:end="0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</w:rPr>
        <w:t>Artículo reformado DOF 09-04-2012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lang w:val="es-MX"/>
        </w:rPr>
      </w:r>
    </w:p>
    <w:p>
      <w:pPr>
        <w:pStyle w:val="texto"/>
        <w:spacing w:lineRule="auto" w:line="240" w:before="0" w:after="0"/>
        <w:rPr/>
      </w:pPr>
      <w:bookmarkStart w:id="8" w:name="Artículo_9o"/>
      <w:r>
        <w:rPr>
          <w:b/>
          <w:sz w:val="20"/>
          <w:lang w:val="es-MX"/>
        </w:rPr>
        <w:t>ARTICULO 9o</w:t>
      </w:r>
      <w:bookmarkEnd w:id="8"/>
      <w:r>
        <w:rPr>
          <w:b/>
          <w:sz w:val="20"/>
          <w:lang w:val="es-MX"/>
        </w:rPr>
        <w:t>.-</w:t>
      </w:r>
      <w:r>
        <w:rPr>
          <w:sz w:val="20"/>
          <w:lang w:val="es-MX"/>
        </w:rPr>
        <w:t xml:space="preserve"> Sin perjuicio de las responsabilidades de carácter civil, penal o de otra índole que puedan generarse por la violación de los artículos 1o., 2o. y 3o., la Secretaría de Relaciones Exteriores podrá imponer, al infractor, las sanciones administrativas siguientes: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ROMANOS"/>
        <w:spacing w:lineRule="auto" w:line="240" w:before="0" w:after="0"/>
        <w:rPr/>
      </w:pPr>
      <w:r>
        <w:rPr>
          <w:b/>
          <w:sz w:val="20"/>
          <w:lang w:val="es-MX"/>
        </w:rPr>
        <w:t>I</w:t>
        <w:tab/>
      </w:r>
      <w:r>
        <w:rPr>
          <w:sz w:val="20"/>
          <w:lang w:val="es-MX"/>
        </w:rPr>
        <w:t>Por violación al primer párrafo del artículo 1o., multa hasta por 100,000 días de salario mínimo diario general, vigente en el Distrito Federal.</w:t>
      </w:r>
    </w:p>
    <w:p>
      <w:pPr>
        <w:pStyle w:val="ROMANOS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ROMANOS"/>
        <w:spacing w:lineRule="auto" w:line="240" w:before="0" w:after="0"/>
        <w:rPr/>
      </w:pPr>
      <w:r>
        <w:rPr>
          <w:b/>
          <w:sz w:val="20"/>
          <w:lang w:val="es-MX"/>
        </w:rPr>
        <w:t>II</w:t>
      </w:r>
      <w:r>
        <w:rPr>
          <w:sz w:val="20"/>
          <w:lang w:val="es-MX"/>
        </w:rPr>
        <w:tab/>
        <w:t>Por violación al artículo 2o., multa hasta por 50,000 días de salario mínimo diario general, vigente en el Distrito Federal.</w:t>
      </w:r>
    </w:p>
    <w:p>
      <w:pPr>
        <w:pStyle w:val="ROMANOS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ROMANOS"/>
        <w:spacing w:lineRule="auto" w:line="240" w:before="0" w:after="0"/>
        <w:rPr/>
      </w:pPr>
      <w:r>
        <w:rPr>
          <w:b/>
          <w:sz w:val="20"/>
          <w:lang w:val="es-MX"/>
        </w:rPr>
        <w:t>III</w:t>
      </w:r>
      <w:r>
        <w:rPr>
          <w:sz w:val="20"/>
          <w:lang w:val="es-MX"/>
        </w:rPr>
        <w:tab/>
        <w:t>Por violación al artículo 3o., con amonestación. Si se trata de la segunda infracción, multa hasta por 1,000 días de salario mínimo diario general, vigente en el Distrito Federal.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  <w:t>En caso de reincidencia, se aplicará multa hasta por el doble del límite máximo de la sanción que corresponda.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1"/>
        <w:spacing w:lineRule="auto" w:line="240" w:before="0" w:after="0"/>
        <w:rPr/>
      </w:pPr>
      <w:r>
        <w:rPr>
          <w:color w:val="000000"/>
          <w:sz w:val="20"/>
          <w:lang w:val="es-MX"/>
        </w:rPr>
        <w:t>La Secretaría de Relaciones Exteriores fijará el monto de la sanción, considerando las circunstancias pertinentes del infractor y el grado en que resulten afectados el comercio o la inversión, según la Secretaría de Economía.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</w:rPr>
        <w:t>Párrafo reformado DOF 09-04-2012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  <w:t>El procedimiento de imposición de las sanciones administrativas se regirá por la Ley Federal del Procedimiento Administrativo.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ANOTACION"/>
        <w:spacing w:lineRule="auto" w:line="240" w:before="0" w:after="0"/>
        <w:rPr>
          <w:sz w:val="22"/>
          <w:lang w:val="es-MX"/>
        </w:rPr>
      </w:pPr>
      <w:bookmarkStart w:id="9" w:name="TRANSITORIO"/>
      <w:bookmarkEnd w:id="9"/>
      <w:r>
        <w:rPr>
          <w:sz w:val="22"/>
          <w:lang w:val="es-MX"/>
        </w:rPr>
        <w:t>TRANSITORIO</w:t>
      </w:r>
    </w:p>
    <w:p>
      <w:pPr>
        <w:pStyle w:val="ANOTACION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  <w:bookmarkStart w:id="10" w:name="TRANSITORIO"/>
      <w:bookmarkStart w:id="11" w:name="TRANSITORIO"/>
      <w:bookmarkEnd w:id="11"/>
    </w:p>
    <w:p>
      <w:pPr>
        <w:pStyle w:val="texto"/>
        <w:spacing w:lineRule="auto" w:line="240" w:before="0" w:after="0"/>
        <w:rPr/>
      </w:pPr>
      <w:bookmarkStart w:id="12" w:name="Único"/>
      <w:r>
        <w:rPr>
          <w:b/>
          <w:sz w:val="20"/>
          <w:lang w:val="es-MX"/>
        </w:rPr>
        <w:t>UNICO</w:t>
      </w:r>
      <w:bookmarkEnd w:id="12"/>
      <w:r>
        <w:rPr>
          <w:b/>
          <w:sz w:val="20"/>
          <w:lang w:val="es-MX"/>
        </w:rPr>
        <w:t>.-</w:t>
      </w:r>
      <w:r>
        <w:rPr>
          <w:sz w:val="20"/>
          <w:lang w:val="es-MX"/>
        </w:rPr>
        <w:t xml:space="preserve"> La presente Ley entrará en vigor al día siguiente de su publicación en el </w:t>
      </w:r>
      <w:r>
        <w:rPr>
          <w:b/>
          <w:sz w:val="20"/>
          <w:lang w:val="es-MX"/>
        </w:rPr>
        <w:t>Diario Oficial de la Federación</w:t>
      </w:r>
      <w:r>
        <w:rPr>
          <w:sz w:val="20"/>
          <w:lang w:val="es-MX"/>
        </w:rPr>
        <w:t>.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sz w:val="20"/>
          <w:lang w:val="es-MX"/>
        </w:rPr>
        <w:t xml:space="preserve">México, D.F., a 1o. de octubre de 1996.- Sen. </w:t>
      </w:r>
      <w:r>
        <w:rPr>
          <w:b/>
          <w:sz w:val="20"/>
          <w:lang w:val="es-MX"/>
        </w:rPr>
        <w:t>Melchor de los Santos Ordóñez</w:t>
      </w:r>
      <w:r>
        <w:rPr>
          <w:sz w:val="20"/>
          <w:lang w:val="es-MX"/>
        </w:rPr>
        <w:t xml:space="preserve">, Presidente.- Dip. </w:t>
      </w:r>
      <w:r>
        <w:rPr>
          <w:b/>
          <w:sz w:val="20"/>
          <w:lang w:val="es-MX"/>
        </w:rPr>
        <w:t>Carlos Humberto Aceves del Olmo</w:t>
      </w:r>
      <w:r>
        <w:rPr>
          <w:sz w:val="20"/>
          <w:lang w:val="es-MX"/>
        </w:rPr>
        <w:t xml:space="preserve">, Presidente.- Sen. </w:t>
      </w:r>
      <w:r>
        <w:rPr>
          <w:b/>
          <w:sz w:val="20"/>
          <w:lang w:val="es-MX"/>
        </w:rPr>
        <w:t>Rosendo A. Villarreal Dávila</w:t>
      </w:r>
      <w:r>
        <w:rPr>
          <w:sz w:val="20"/>
          <w:lang w:val="es-MX"/>
        </w:rPr>
        <w:t xml:space="preserve">, Secretario.- Dip. </w:t>
      </w:r>
      <w:r>
        <w:rPr>
          <w:b/>
          <w:sz w:val="20"/>
          <w:lang w:val="es-MX"/>
        </w:rPr>
        <w:t>Sabino González Alba</w:t>
      </w:r>
      <w:r>
        <w:rPr>
          <w:sz w:val="20"/>
          <w:lang w:val="es-MX"/>
        </w:rPr>
        <w:t>, Secretario.- Rúbricas".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sz w:val="20"/>
          <w:lang w:val="es-MX"/>
        </w:rPr>
        <w:t xml:space="preserve">En cumplimiento de lo dispuesto por la fracción I del Artículo 89 de la Constitución Política de los Estados Unidos Mexicanos, y para su debida publicación y observancia, expido el presente Decreto en la residencia del Poder Ejecutivo Federal, en la Ciudad de México, Distrito Federal, a los veintiún días del mes de octubre de mil novecientos noventa y seis.- </w:t>
      </w:r>
      <w:r>
        <w:rPr>
          <w:b/>
          <w:sz w:val="20"/>
          <w:lang w:val="es-MX"/>
        </w:rPr>
        <w:t>Ernesto Zedillo Ponce de León</w:t>
      </w:r>
      <w:r>
        <w:rPr>
          <w:sz w:val="20"/>
          <w:lang w:val="es-MX"/>
        </w:rPr>
        <w:t xml:space="preserve">.- Rúbrica.- El Secretario de Gobernación, </w:t>
      </w:r>
      <w:r>
        <w:rPr>
          <w:b/>
          <w:sz w:val="20"/>
          <w:lang w:val="es-MX"/>
        </w:rPr>
        <w:t>Emilio Chuayffet Chemor</w:t>
      </w:r>
      <w:r>
        <w:rPr>
          <w:sz w:val="20"/>
          <w:lang w:val="es-MX"/>
        </w:rPr>
        <w:t>.- Rúbrica.</w:t>
      </w:r>
      <w:r>
        <w:br w:type="page"/>
      </w:r>
    </w:p>
    <w:p>
      <w:pPr>
        <w:pStyle w:val="texto"/>
        <w:spacing w:lineRule="auto" w:line="240" w:before="0" w:after="0"/>
        <w:ind w:hanging="0" w:end="0"/>
        <w:jc w:val="center"/>
        <w:rPr>
          <w:rFonts w:ascii="Tahoma" w:hAnsi="Tahoma" w:cs="Tahoma"/>
          <w:b/>
          <w:bCs/>
          <w:color w:val="008000"/>
          <w:sz w:val="22"/>
          <w:szCs w:val="22"/>
          <w:lang w:val="es-MX"/>
        </w:rPr>
      </w:pPr>
      <w:bookmarkStart w:id="13" w:name="TRANSITORIOS_DE_DECRETOS_DE_REFORMA"/>
      <w:r>
        <w:rPr>
          <w:rFonts w:cs="Tahoma" w:ascii="Tahoma" w:hAnsi="Tahoma"/>
          <w:b/>
          <w:bCs/>
          <w:color w:val="008000"/>
          <w:sz w:val="22"/>
          <w:szCs w:val="22"/>
          <w:lang w:val="es-MX"/>
        </w:rPr>
        <w:t>ARTÍCULOS TRANSITORIOS DE DECRETOS DE REFORMA</w:t>
      </w:r>
      <w:bookmarkEnd w:id="13"/>
    </w:p>
    <w:p>
      <w:pPr>
        <w:pStyle w:val="Texto1"/>
        <w:spacing w:lineRule="auto" w:line="240" w:before="0" w:after="0"/>
        <w:ind w:hanging="0" w:end="0"/>
        <w:rPr>
          <w:rFonts w:ascii="Tahoma" w:hAnsi="Tahoma" w:cs="Tahoma"/>
          <w:b/>
          <w:bCs/>
          <w:color w:val="008000"/>
          <w:sz w:val="20"/>
          <w:szCs w:val="22"/>
          <w:lang w:val="es-MX"/>
        </w:rPr>
      </w:pPr>
      <w:r>
        <w:rPr>
          <w:rFonts w:cs="Tahoma" w:ascii="Tahoma" w:hAnsi="Tahoma"/>
          <w:b/>
          <w:bCs/>
          <w:color w:val="008000"/>
          <w:sz w:val="20"/>
          <w:szCs w:val="22"/>
          <w:lang w:val="es-MX"/>
        </w:rPr>
      </w:r>
    </w:p>
    <w:p>
      <w:pPr>
        <w:pStyle w:val="Texto1"/>
        <w:spacing w:lineRule="auto" w:line="240" w:before="0" w:after="0"/>
        <w:ind w:hanging="0" w:end="0"/>
        <w:rPr>
          <w:b/>
          <w:sz w:val="22"/>
          <w:szCs w:val="22"/>
        </w:rPr>
      </w:pPr>
      <w:r>
        <w:rPr>
          <w:b/>
          <w:sz w:val="22"/>
          <w:szCs w:val="22"/>
        </w:rPr>
        <w:t>DECRETO por el que se reforman diversas Leyes Federales, con el objeto de actualizar todos aquellos artículos que hacen referencia a las Secretarías de Estado cuya denominación fue modificada y al Gobierno del Distrito Federal en lo conducente; así como eliminar la mención de los departamentos administrativos que ya no tienen vigencia</w:t>
      </w:r>
      <w:r>
        <w:rPr>
          <w:b/>
          <w:sz w:val="22"/>
          <w:szCs w:val="22"/>
          <w:lang w:val="es-MX"/>
        </w:rPr>
        <w:t>.</w:t>
      </w:r>
    </w:p>
    <w:p>
      <w:pPr>
        <w:pStyle w:val="Texto1"/>
        <w:spacing w:lineRule="auto" w:line="240" w:before="0" w:after="0"/>
        <w:ind w:hanging="0" w:end="0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sz w:val="16"/>
          <w:lang w:val="es-MX"/>
        </w:rPr>
      </w:pPr>
      <w:r>
        <w:rPr>
          <w:sz w:val="16"/>
          <w:lang w:val="es-MX"/>
        </w:rPr>
        <w:t>Publicado en el Diario Oficial de la Federación el 9 de abril de 2012</w:t>
      </w:r>
    </w:p>
    <w:p>
      <w:pPr>
        <w:pStyle w:val="Texto1"/>
        <w:spacing w:lineRule="auto" w:line="240" w:before="0" w:after="0"/>
        <w:ind w:hanging="0" w:end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1"/>
        <w:spacing w:lineRule="auto" w:line="240" w:before="0" w:after="0"/>
        <w:rPr>
          <w:color w:val="000000"/>
          <w:sz w:val="20"/>
        </w:rPr>
      </w:pPr>
      <w:r>
        <w:rPr>
          <w:b/>
          <w:color w:val="000000"/>
          <w:sz w:val="20"/>
          <w:lang w:val="es-MX"/>
        </w:rPr>
        <w:t>ARTÍCULO VIGÉSIMO SEGUNDO.</w:t>
      </w:r>
      <w:r>
        <w:rPr>
          <w:color w:val="000000"/>
          <w:sz w:val="20"/>
          <w:lang w:val="es-MX"/>
        </w:rPr>
        <w:t xml:space="preserve"> Se reforman los artículos 3o, primer párrafo; 7o; 8o y 9o, cuarto párrafo de la Ley de Protección al Comercio y la Inversión de Normas Extranjeras que Contravengan el Derecho Internacional, para quedar como sigue:</w:t>
      </w:r>
    </w:p>
    <w:p>
      <w:pPr>
        <w:pStyle w:val="Texto1"/>
        <w:spacing w:lineRule="auto" w:line="24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o1"/>
        <w:spacing w:lineRule="auto" w:line="240" w:before="0" w:after="0"/>
        <w:rPr>
          <w:color w:val="000000"/>
          <w:sz w:val="20"/>
        </w:rPr>
      </w:pPr>
      <w:r>
        <w:rPr>
          <w:color w:val="000000"/>
          <w:sz w:val="20"/>
        </w:rPr>
        <w:t>………</w:t>
      </w:r>
      <w:r>
        <w:rPr>
          <w:color w:val="000000"/>
          <w:sz w:val="20"/>
        </w:rPr>
        <w:t>.</w:t>
      </w:r>
    </w:p>
    <w:p>
      <w:pPr>
        <w:pStyle w:val="Texto1"/>
        <w:spacing w:lineRule="auto" w:line="240" w:before="0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ANOTACION"/>
        <w:spacing w:lineRule="auto" w:line="240" w:before="0" w:after="0"/>
        <w:rPr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TRANSITORIOS</w:t>
      </w:r>
    </w:p>
    <w:p>
      <w:pPr>
        <w:pStyle w:val="ANOTACION"/>
        <w:spacing w:lineRule="auto" w:line="240" w:before="0" w:after="0"/>
        <w:rPr>
          <w:rFonts w:cs="Arial"/>
          <w:sz w:val="20"/>
          <w:szCs w:val="22"/>
          <w:lang w:val="es-MX"/>
        </w:rPr>
      </w:pPr>
      <w:r>
        <w:rPr>
          <w:rFonts w:cs="Arial"/>
          <w:sz w:val="20"/>
          <w:szCs w:val="22"/>
          <w:lang w:val="es-MX"/>
        </w:rPr>
      </w:r>
    </w:p>
    <w:p>
      <w:pPr>
        <w:pStyle w:val="Texto1"/>
        <w:spacing w:lineRule="auto" w:line="240" w:before="0" w:after="0"/>
        <w:rPr>
          <w:color w:val="000000"/>
          <w:sz w:val="20"/>
        </w:rPr>
      </w:pPr>
      <w:r>
        <w:rPr>
          <w:b/>
          <w:color w:val="000000"/>
          <w:sz w:val="20"/>
          <w:lang w:val="es-MX"/>
        </w:rPr>
        <w:t>Primero.</w:t>
      </w:r>
      <w:r>
        <w:rPr>
          <w:color w:val="000000"/>
          <w:sz w:val="20"/>
          <w:lang w:val="es-MX"/>
        </w:rPr>
        <w:t xml:space="preserve"> El presente decreto entrará en vigor al día siguiente de su publicación en el Diario Oficial de la Federación.</w:t>
      </w:r>
    </w:p>
    <w:p>
      <w:pPr>
        <w:pStyle w:val="Texto1"/>
        <w:spacing w:lineRule="auto" w:line="240" w:before="0" w:after="0"/>
        <w:rPr>
          <w:color w:val="000000"/>
          <w:sz w:val="20"/>
          <w:lang w:val="es-MX"/>
        </w:rPr>
      </w:pPr>
      <w:r>
        <w:rPr>
          <w:color w:val="000000"/>
          <w:sz w:val="20"/>
          <w:lang w:val="es-MX"/>
        </w:rPr>
      </w:r>
    </w:p>
    <w:p>
      <w:pPr>
        <w:pStyle w:val="Texto1"/>
        <w:spacing w:lineRule="auto" w:line="240" w:before="0" w:after="0"/>
        <w:rPr>
          <w:sz w:val="20"/>
        </w:rPr>
      </w:pPr>
      <w:r>
        <w:rPr>
          <w:b/>
          <w:color w:val="000000"/>
          <w:sz w:val="20"/>
          <w:lang w:val="es-MX"/>
        </w:rPr>
        <w:t>Segundo.</w:t>
      </w:r>
      <w:r>
        <w:rPr>
          <w:color w:val="000000"/>
          <w:sz w:val="20"/>
          <w:lang w:val="es-MX"/>
        </w:rPr>
        <w:t xml:space="preserve"> A partir de la fecha en que entre en vigor este Decreto, se dejan sin efecto las disposiciones que contravengan o se opongan al mismo</w:t>
      </w:r>
      <w:r>
        <w:rPr>
          <w:sz w:val="20"/>
          <w:lang w:val="es-MX"/>
        </w:rPr>
        <w:t>.</w:t>
      </w:r>
    </w:p>
    <w:p>
      <w:pPr>
        <w:pStyle w:val="Texto1"/>
        <w:spacing w:lineRule="auto" w:line="240" w:before="0" w:after="0"/>
        <w:rPr>
          <w:color w:val="000000"/>
          <w:sz w:val="20"/>
          <w:lang w:val="es-MX"/>
        </w:rPr>
      </w:pPr>
      <w:r>
        <w:rPr>
          <w:color w:val="000000"/>
          <w:sz w:val="20"/>
          <w:lang w:val="es-MX"/>
        </w:rPr>
      </w:r>
    </w:p>
    <w:p>
      <w:pPr>
        <w:pStyle w:val="Texto1"/>
        <w:spacing w:lineRule="auto" w:line="240" w:before="0" w:after="0"/>
        <w:rPr>
          <w:b/>
          <w:sz w:val="20"/>
        </w:rPr>
      </w:pPr>
      <w:r>
        <w:rPr>
          <w:sz w:val="20"/>
          <w:lang w:val="es-MX"/>
        </w:rPr>
        <w:t xml:space="preserve">México, D.F., a 21 de febrero de 2012.- Dip. </w:t>
      </w:r>
      <w:r>
        <w:rPr>
          <w:b/>
          <w:sz w:val="20"/>
          <w:lang w:val="es-MX"/>
        </w:rPr>
        <w:t>Guadalupe Acosta Naranjo</w:t>
      </w:r>
      <w:r>
        <w:rPr>
          <w:sz w:val="20"/>
          <w:lang w:val="es-MX"/>
        </w:rPr>
        <w:t xml:space="preserve">, Presidente.- Sen. </w:t>
      </w:r>
      <w:r>
        <w:rPr>
          <w:b/>
          <w:sz w:val="20"/>
          <w:lang w:val="es-MX"/>
        </w:rPr>
        <w:t>José González Morfín</w:t>
      </w:r>
      <w:r>
        <w:rPr>
          <w:sz w:val="20"/>
          <w:lang w:val="es-MX"/>
        </w:rPr>
        <w:t xml:space="preserve">, Presidente.- Dip. </w:t>
      </w:r>
      <w:r>
        <w:rPr>
          <w:b/>
          <w:sz w:val="20"/>
          <w:lang w:val="es-MX"/>
        </w:rPr>
        <w:t>Laura Arizmendi Campos</w:t>
      </w:r>
      <w:r>
        <w:rPr>
          <w:sz w:val="20"/>
          <w:lang w:val="es-MX"/>
        </w:rPr>
        <w:t xml:space="preserve">, Secretaria.- Sen. </w:t>
      </w:r>
      <w:r>
        <w:rPr>
          <w:b/>
          <w:sz w:val="20"/>
          <w:lang w:val="es-MX"/>
        </w:rPr>
        <w:t>Renán Cleominio Zoreda Novelo</w:t>
      </w:r>
      <w:r>
        <w:rPr>
          <w:sz w:val="20"/>
          <w:lang w:val="es-MX"/>
        </w:rPr>
        <w:t>, Secretario.- Rúbricas.</w:t>
      </w:r>
      <w:r>
        <w:rPr>
          <w:b/>
          <w:sz w:val="20"/>
          <w:lang w:val="es-MX"/>
        </w:rPr>
        <w:t>"</w:t>
      </w:r>
    </w:p>
    <w:p>
      <w:pPr>
        <w:pStyle w:val="Texto1"/>
        <w:spacing w:lineRule="auto" w:line="240" w:before="0" w:after="0"/>
        <w:rPr>
          <w:b/>
          <w:sz w:val="20"/>
          <w:lang w:val="es-MX"/>
        </w:rPr>
      </w:pPr>
      <w:r>
        <w:rPr>
          <w:b/>
          <w:sz w:val="20"/>
          <w:lang w:val="es-MX"/>
        </w:rPr>
      </w:r>
    </w:p>
    <w:p>
      <w:pPr>
        <w:pStyle w:val="Texto1"/>
        <w:spacing w:lineRule="auto" w:line="240" w:before="0" w:after="0"/>
        <w:rPr/>
      </w:pPr>
      <w:r>
        <w:rPr>
          <w:sz w:val="20"/>
          <w:lang w:val="es-MX"/>
        </w:rPr>
        <w:t xml:space="preserve">En cumplimiento de lo dispuesto por la fracción I del Artículo 89 de la Constitución Política de los Estados Unidos Mexicanos, y para su debida publicación y observancia, expido el presente Decreto en la Residencia del Poder Ejecutivo Federal, en la Ciudad de México, Distrito Federal, a treinta de marzo de dos mil doce.- </w:t>
      </w:r>
      <w:r>
        <w:rPr>
          <w:b/>
          <w:sz w:val="20"/>
          <w:lang w:val="es-MX"/>
        </w:rPr>
        <w:t>Felipe de Jesús Calderón Hinojosa</w:t>
      </w:r>
      <w:r>
        <w:rPr>
          <w:sz w:val="20"/>
          <w:lang w:val="es-MX"/>
        </w:rPr>
        <w:t xml:space="preserve">.- Rúbrica.- El Secretario de Gobernación, </w:t>
      </w:r>
      <w:r>
        <w:rPr>
          <w:b/>
          <w:sz w:val="20"/>
          <w:lang w:val="es-MX"/>
        </w:rPr>
        <w:t>Alejandro Alfonso Poiré Romero</w:t>
      </w:r>
      <w:r>
        <w:rPr>
          <w:sz w:val="20"/>
          <w:lang w:val="es-MX"/>
        </w:rPr>
        <w:t>.- Rúbrica.</w:t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CG Palacio (WN)">
    <w:charset w:val="00" w:characterSet="windows-1252"/>
    <w:family w:val="roman"/>
    <w:pitch w:val="default"/>
  </w:font>
  <w:font w:name="Tahoma">
    <w:charset w:val="00" w:characterSet="windows-1252"/>
    <w:family w:val="swiss"/>
    <w:pitch w:val="variable"/>
  </w:font>
  <w:font w:name="CG Omega">
    <w:altName w:val="Segoe UI"/>
    <w:charset w:val="00" w:characterSet="windows-1252"/>
    <w:family w:val="swiss"/>
    <w:pitch w:val="variable"/>
  </w:font>
  <w:font w:name="Arial Narro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4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4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44" w:type="dxa"/>
      <w:jc w:val="start"/>
      <w:tblInd w:w="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1390"/>
      <w:gridCol w:w="4077"/>
      <w:gridCol w:w="4077"/>
    </w:tblGrid>
    <w:tr>
      <w:trPr>
        <w:trHeight w:val="333" w:hRule="atLeast"/>
        <w:cantSplit w:val="true"/>
      </w:trPr>
      <w:tc>
        <w:tcPr>
          <w:tcW w:w="1390" w:type="dxa"/>
          <w:vMerge w:val="restart"/>
          <w:tcBorders/>
          <w:vAlign w:val="center"/>
        </w:tcPr>
        <w:p>
          <w:pPr>
            <w:pStyle w:val="Header"/>
            <w:rPr>
              <w:rFonts w:ascii="CG Omega;Segoe UI" w:hAnsi="CG Omega;Segoe UI" w:cs="CG Omega;Segoe UI"/>
              <w:sz w:val="16"/>
            </w:rPr>
          </w:pPr>
          <w:r>
            <w:rPr>
              <w:rFonts w:cs="CG Omega;Segoe UI" w:ascii="CG Omega;Segoe UI" w:hAnsi="CG Omega;Segoe UI"/>
              <w:sz w:val="16"/>
            </w:rPr>
            <w:object w:dxaOrig="1126" w:dyaOrig="1066">
              <v:shapetype id="_x0000_tole_rId1" coordsize="21600,21600" o:spt="ole_rId1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1" type="_x0000_tole_rId1" style="width:56.3pt;height:53.3pt" filled="f" o:ole="">
                <v:imagedata r:id="rId2" o:title=""/>
              </v:shape>
              <o:OLEObject Type="Embed" ProgID="" ShapeID="ole_rId1" DrawAspect="Content" ObjectID="_1442873285" r:id="rId1"/>
            </w:object>
          </w:r>
        </w:p>
      </w:tc>
      <w:tc>
        <w:tcPr>
          <w:tcW w:w="8154" w:type="dxa"/>
          <w:gridSpan w:val="2"/>
          <w:tcBorders>
            <w:bottom w:val="double" w:sz="4" w:space="0" w:color="000000"/>
          </w:tcBorders>
          <w:vAlign w:val="bottom"/>
        </w:tcPr>
        <w:p>
          <w:pPr>
            <w:pStyle w:val="Header"/>
            <w:jc w:val="end"/>
            <w:rPr>
              <w:rFonts w:ascii="Tahoma" w:hAnsi="Tahoma" w:cs="Tahoma"/>
              <w:b/>
              <w:bCs/>
              <w:iCs/>
              <w:sz w:val="14"/>
              <w:szCs w:val="14"/>
            </w:rPr>
          </w:pPr>
          <w:r>
            <w:rPr>
              <w:rFonts w:cs="Tahoma" w:ascii="Tahoma" w:hAnsi="Tahoma"/>
              <w:b/>
              <w:bCs/>
              <w:sz w:val="14"/>
              <w:szCs w:val="14"/>
            </w:rPr>
            <w:t>LEY DE PROTECCIÓN AL COMERCIO Y LA INVERSIÓN DE NORMAS EXTRANJERAS QUE CONTRAVENGAN EL DERECHO INTERNACIONAL</w:t>
          </w:r>
        </w:p>
      </w:tc>
    </w:tr>
    <w:tr>
      <w:trPr>
        <w:trHeight w:val="50" w:hRule="atLeast"/>
        <w:cantSplit w:val="true"/>
      </w:trPr>
      <w:tc>
        <w:tcPr>
          <w:tcW w:w="1390" w:type="dxa"/>
          <w:vMerge w:val="continue"/>
          <w:tcBorders/>
          <w:vAlign w:val="center"/>
        </w:tcPr>
        <w:p>
          <w:pPr>
            <w:pStyle w:val="Header"/>
            <w:snapToGrid w:val="false"/>
            <w:rPr>
              <w:rFonts w:ascii="CG Omega;Segoe UI" w:hAnsi="CG Omega;Segoe UI" w:cs="CG Omega;Segoe UI"/>
              <w:b/>
              <w:bCs/>
              <w:iCs/>
              <w:sz w:val="16"/>
              <w:szCs w:val="14"/>
            </w:rPr>
          </w:pPr>
          <w:r>
            <w:rPr>
              <w:rFonts w:cs="CG Omega;Segoe UI" w:ascii="CG Omega;Segoe UI" w:hAnsi="CG Omega;Segoe UI"/>
              <w:b/>
              <w:bCs/>
              <w:iCs/>
              <w:sz w:val="16"/>
              <w:szCs w:val="14"/>
            </w:rPr>
          </w:r>
        </w:p>
      </w:tc>
      <w:tc>
        <w:tcPr>
          <w:tcW w:w="8154" w:type="dxa"/>
          <w:gridSpan w:val="2"/>
          <w:tcBorders>
            <w:top w:val="double" w:sz="4" w:space="0" w:color="000000"/>
          </w:tcBorders>
        </w:tcPr>
        <w:p>
          <w:pPr>
            <w:pStyle w:val="Header"/>
            <w:snapToGrid w:val="false"/>
            <w:jc w:val="end"/>
            <w:rPr>
              <w:rFonts w:ascii="Arial Narrow" w:hAnsi="Arial Narrow" w:cs="Arial Narrow"/>
              <w:sz w:val="4"/>
            </w:rPr>
          </w:pPr>
          <w:r>
            <w:rPr>
              <w:rFonts w:cs="Arial Narrow" w:ascii="Arial Narrow" w:hAnsi="Arial Narrow"/>
              <w:sz w:val="4"/>
            </w:rPr>
          </w:r>
        </w:p>
      </w:tc>
    </w:tr>
    <w:tr>
      <w:trPr>
        <w:trHeight w:val="295" w:hRule="atLeast"/>
        <w:cantSplit w:val="true"/>
      </w:trPr>
      <w:tc>
        <w:tcPr>
          <w:tcW w:w="1390" w:type="dxa"/>
          <w:vMerge w:val="continue"/>
          <w:tcBorders/>
          <w:vAlign w:val="center"/>
        </w:tcPr>
        <w:p>
          <w:pPr>
            <w:pStyle w:val="Header"/>
            <w:snapToGrid w:val="false"/>
            <w:rPr>
              <w:rFonts w:ascii="CG Omega;Segoe UI" w:hAnsi="CG Omega;Segoe UI" w:cs="CG Omega;Segoe UI"/>
              <w:sz w:val="16"/>
            </w:rPr>
          </w:pPr>
          <w:r>
            <w:rPr>
              <w:rFonts w:cs="CG Omega;Segoe UI" w:ascii="CG Omega;Segoe UI" w:hAnsi="CG Omega;Segoe UI"/>
              <w:sz w:val="16"/>
            </w:rPr>
          </w:r>
        </w:p>
      </w:tc>
      <w:tc>
        <w:tcPr>
          <w:tcW w:w="4077" w:type="dxa"/>
          <w:tcBorders/>
        </w:tcPr>
        <w:p>
          <w:pPr>
            <w:pStyle w:val="Header"/>
            <w:ind w:start="-70" w:end="0"/>
            <w:rPr>
              <w:rFonts w:ascii="Arial Narrow" w:hAnsi="Arial Narrow" w:cs="Arial"/>
              <w:b/>
              <w:bCs/>
              <w:smallCaps/>
              <w:sz w:val="14"/>
            </w:rPr>
          </w:pPr>
          <w:r>
            <w:rPr>
              <w:rFonts w:cs="Arial" w:ascii="Arial Narrow" w:hAnsi="Arial Narrow"/>
              <w:b/>
              <w:bCs/>
              <w:smallCaps/>
              <w:sz w:val="14"/>
            </w:rPr>
            <w:t>Cámara de Diputados del H. Congreso de la Unión</w:t>
          </w:r>
        </w:p>
        <w:p>
          <w:pPr>
            <w:pStyle w:val="Header"/>
            <w:ind w:start="-70" w:end="0"/>
            <w:rPr>
              <w:rFonts w:ascii="Arial Narrow" w:hAnsi="Arial Narrow" w:cs="Arial"/>
              <w:sz w:val="17"/>
            </w:rPr>
          </w:pPr>
          <w:r>
            <w:rPr>
              <w:rFonts w:cs="Arial" w:ascii="Arial Narrow" w:hAnsi="Arial Narrow"/>
              <w:sz w:val="13"/>
            </w:rPr>
            <w:t>Secretaría General</w:t>
          </w:r>
        </w:p>
        <w:p>
          <w:pPr>
            <w:pStyle w:val="Header"/>
            <w:ind w:start="-70" w:end="0"/>
            <w:rPr>
              <w:rFonts w:ascii="Arial Narrow" w:hAnsi="Arial Narrow" w:cs="Arial"/>
              <w:sz w:val="4"/>
            </w:rPr>
          </w:pPr>
          <w:r>
            <w:rPr>
              <w:rFonts w:cs="Arial" w:ascii="Arial Narrow" w:hAnsi="Arial Narrow"/>
              <w:sz w:val="13"/>
            </w:rPr>
            <w:t>Secretaría de Servicios Parlamentarios</w:t>
          </w:r>
        </w:p>
      </w:tc>
      <w:tc>
        <w:tcPr>
          <w:tcW w:w="4077" w:type="dxa"/>
          <w:tcBorders/>
        </w:tcPr>
        <w:p>
          <w:pPr>
            <w:pStyle w:val="Header"/>
            <w:ind w:start="-70" w:end="0"/>
            <w:jc w:val="end"/>
            <w:rPr>
              <w:rFonts w:ascii="Arial" w:hAnsi="Arial" w:cs="Arial"/>
              <w:i/>
              <w:i/>
              <w:iCs/>
              <w:color w:val="181818"/>
              <w:sz w:val="14"/>
            </w:rPr>
          </w:pPr>
          <w:r>
            <w:rPr>
              <w:rFonts w:cs="Arial" w:ascii="Arial" w:hAnsi="Arial"/>
              <w:i/>
              <w:iCs/>
              <w:color w:val="181818"/>
              <w:sz w:val="14"/>
            </w:rPr>
            <w:t>Última Reforma DOF 09-04-2012</w:t>
          </w:r>
        </w:p>
      </w:tc>
    </w:tr>
  </w:tbl>
  <w:p>
    <w:pPr>
      <w:pStyle w:val="Header"/>
      <w:rPr>
        <w:sz w:val="18"/>
      </w:rPr>
    </w:pPr>
    <w:r>
      <w:rPr>
        <w:sz w:val="18"/>
      </w:rPr>
    </w:r>
  </w:p>
  <w:p>
    <w:pPr>
      <w:pStyle w:val="Header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MX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pBdr>
        <w:bottom w:val="single" w:sz="12" w:space="1" w:color="000000"/>
      </w:pBdr>
      <w:spacing w:lineRule="atLeast" w:line="216"/>
      <w:jc w:val="both"/>
      <w:outlineLvl w:val="0"/>
    </w:pPr>
    <w:rPr>
      <w:rFonts w:ascii="Arial" w:hAnsi="Arial" w:cs="Arial"/>
      <w:b/>
      <w:sz w:val="18"/>
      <w:szCs w:val="20"/>
      <w:lang w:val="es-ES_tradnl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top w:val="double" w:sz="6" w:space="1" w:color="000000"/>
      </w:pBdr>
      <w:spacing w:lineRule="atLeast" w:line="216" w:before="0" w:after="101"/>
      <w:jc w:val="both"/>
      <w:outlineLvl w:val="1"/>
    </w:pPr>
    <w:rPr>
      <w:rFonts w:ascii="Arial" w:hAnsi="Arial" w:cs="Arial"/>
      <w:sz w:val="18"/>
      <w:szCs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Arial" w:hAnsi="Arial" w:cs="Arial"/>
      <w:b/>
      <w:bCs/>
      <w:color w:val="FF0000"/>
      <w:sz w:val="16"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TextosinformatoCar">
    <w:name w:val="Texto sin formato Car"/>
    <w:basedOn w:val="Fuentedeprrafopredeter"/>
    <w:qFormat/>
    <w:rPr>
      <w:rFonts w:ascii="Courier New" w:hAnsi="Courier New" w:cs="Courier New"/>
      <w:lang w:val="es-ES"/>
    </w:rPr>
  </w:style>
  <w:style w:type="character" w:styleId="TextoCar">
    <w:name w:val="Texto Car"/>
    <w:qFormat/>
    <w:rPr>
      <w:rFonts w:ascii="Arial" w:hAnsi="Arial" w:cs="Arial"/>
      <w:sz w:val="18"/>
      <w:szCs w:val="18"/>
    </w:rPr>
  </w:style>
  <w:style w:type="character" w:styleId="ANOTACIONCar">
    <w:name w:val="ANOTACION Car"/>
    <w:qFormat/>
    <w:rPr>
      <w:rFonts w:ascii="Arial" w:hAnsi="Arial" w:cs="Arial"/>
      <w:b/>
      <w:sz w:val="18"/>
      <w:lang w:val="es-ES_tradnl"/>
    </w:rPr>
  </w:style>
  <w:style w:type="character" w:styleId="PiedepginaCar">
    <w:name w:val="Pie de página Car"/>
    <w:basedOn w:val="Fuentedeprrafopredeter"/>
    <w:qFormat/>
    <w:rPr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echas">
    <w:name w:val="Fechas"/>
    <w:basedOn w:val="Normal"/>
    <w:qFormat/>
    <w:pPr>
      <w:pBdr>
        <w:bottom w:val="double" w:sz="6" w:space="1" w:color="000000"/>
      </w:pBdr>
      <w:tabs>
        <w:tab w:val="clear" w:pos="708"/>
        <w:tab w:val="center" w:pos="4464" w:leader="none"/>
        <w:tab w:val="right" w:pos="8496" w:leader="none"/>
      </w:tabs>
      <w:spacing w:lineRule="atLeast" w:line="216"/>
      <w:ind w:hanging="0" w:start="288" w:end="288"/>
      <w:jc w:val="both"/>
    </w:pPr>
    <w:rPr>
      <w:rFonts w:ascii="CG Palacio (WN)" w:hAnsi="CG Palacio (WN)" w:cs="CG Palacio (WN)"/>
      <w:sz w:val="18"/>
      <w:szCs w:val="20"/>
      <w:lang w:val="en-GB"/>
    </w:rPr>
  </w:style>
  <w:style w:type="paragraph" w:styleId="ANOTACION">
    <w:name w:val="ANOTACION"/>
    <w:basedOn w:val="Normal"/>
    <w:qFormat/>
    <w:pPr>
      <w:spacing w:lineRule="atLeast" w:line="216" w:before="0" w:after="101"/>
      <w:jc w:val="center"/>
    </w:pPr>
    <w:rPr>
      <w:rFonts w:ascii="Arial" w:hAnsi="Arial" w:cs="Arial"/>
      <w:b/>
      <w:sz w:val="18"/>
      <w:szCs w:val="20"/>
      <w:lang w:val="es-ES_tradnl"/>
    </w:rPr>
  </w:style>
  <w:style w:type="paragraph" w:styleId="ROMANOS">
    <w:name w:val="ROMANOS"/>
    <w:basedOn w:val="Normal"/>
    <w:qFormat/>
    <w:pPr>
      <w:tabs>
        <w:tab w:val="clear" w:pos="708"/>
        <w:tab w:val="left" w:pos="720" w:leader="none"/>
      </w:tabs>
      <w:spacing w:lineRule="atLeast" w:line="216" w:before="0" w:after="101"/>
      <w:ind w:hanging="432" w:start="720" w:end="0"/>
      <w:jc w:val="both"/>
    </w:pPr>
    <w:rPr>
      <w:rFonts w:ascii="Arial" w:hAnsi="Arial" w:cs="Arial"/>
      <w:sz w:val="18"/>
      <w:szCs w:val="20"/>
      <w:lang w:val="en-GB"/>
    </w:rPr>
  </w:style>
  <w:style w:type="paragraph" w:styleId="texto">
    <w:name w:val="texto"/>
    <w:basedOn w:val="Normal"/>
    <w:qFormat/>
    <w:pPr>
      <w:spacing w:lineRule="atLeast" w:line="216" w:before="0" w:after="101"/>
      <w:ind w:firstLine="288" w:start="0" w:end="0"/>
      <w:jc w:val="both"/>
    </w:pPr>
    <w:rPr>
      <w:rFonts w:ascii="Arial" w:hAnsi="Arial" w:cs="Arial"/>
      <w:sz w:val="18"/>
      <w:szCs w:val="20"/>
      <w:lang w:val="en-GB"/>
    </w:rPr>
  </w:style>
  <w:style w:type="paragraph" w:styleId="CABEZA">
    <w:name w:val="CABEZA"/>
    <w:basedOn w:val="texto"/>
    <w:qFormat/>
    <w:pPr>
      <w:spacing w:lineRule="atLeast" w:line="240"/>
      <w:ind w:firstLine="113" w:start="0" w:end="-57"/>
      <w:jc w:val="center"/>
    </w:pPr>
    <w:rPr>
      <w:rFonts w:ascii="CG Palacio (WN)" w:hAnsi="CG Palacio (WN)" w:cs="CG Palacio (WN)"/>
      <w:b/>
      <w:sz w:val="28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Courier New" w:hAnsi="Courier New" w:cs="Courier New"/>
      <w:b/>
      <w:szCs w:val="20"/>
      <w:lang w:val="es-ES"/>
    </w:rPr>
  </w:style>
  <w:style w:type="paragraph" w:styleId="Texto1">
    <w:name w:val="Texto1"/>
    <w:basedOn w:val="Normal"/>
    <w:qFormat/>
    <w:pPr>
      <w:spacing w:lineRule="exact" w:line="216" w:before="0" w:after="101"/>
      <w:ind w:firstLine="288" w:start="0" w:end="0"/>
      <w:jc w:val="both"/>
    </w:pPr>
    <w:rPr>
      <w:rFonts w:ascii="Arial" w:hAnsi="Arial" w:cs="Arial"/>
      <w:sz w:val="18"/>
      <w:szCs w:val="18"/>
      <w:lang w:val="en-US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  <w:lang w:val="es-E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LibreOffice/25.8.0.4$MacOSX_X86_64 LibreOffice_project/48f00303701489684e67c38c28aff00cd5929e67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2012-04-16T11:34:00Z</dcterms:created>
  <dc:creator>Cámara de Diputados del H. Congreso de la Unión</dc:creator>
  <dc:description/>
  <cp:keywords/>
  <dc:language>en-US</dc:language>
  <cp:lastModifiedBy>Armando Torres</cp:lastModifiedBy>
  <dcterms:modified xsi:type="dcterms:W3CDTF">2018-09-19T14:52:00Z</dcterms:modified>
  <cp:revision>5</cp:revision>
  <dc:subject/>
  <dc:title>Ley de Protección al Comercio y la Inversión de Normas Extranjeras que Contravengan el Derecho Internacional</dc:title>
</cp:coreProperties>
</file>