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SEGURIDAD INTERIOR</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Nueva Ley publicada en el Diario Oficial de la Federación el 21 de diciembre de 2017</w:t>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r>
    </w:p>
    <w:p>
      <w:pPr>
        <w:pStyle w:val="Titulo1"/>
        <w:pBdr>
          <w:bottom w:val="nil"/>
        </w:pBdr>
        <w:spacing w:before="0" w:after="0"/>
        <w:jc w:val="center"/>
        <w:rPr>
          <w:rFonts w:ascii="Tahoma" w:hAnsi="Tahoma" w:eastAsia="MS Mincho;ＭＳ 明朝" w:cs="Tahoma"/>
          <w:bCs/>
          <w:i/>
          <w:i/>
          <w:color w:val="CC3300"/>
          <w:sz w:val="16"/>
          <w:szCs w:val="16"/>
          <w:lang w:val="es-ES" w:eastAsia="es-ES"/>
        </w:rPr>
      </w:pPr>
      <w:r>
        <w:rPr>
          <w:rFonts w:eastAsia="MS Mincho;ＭＳ 明朝" w:cs="Tahoma" w:ascii="Tahoma" w:hAnsi="Tahoma"/>
          <w:bCs/>
          <w:i/>
          <w:color w:val="CC3300"/>
          <w:sz w:val="16"/>
          <w:szCs w:val="16"/>
          <w:lang w:val="es-ES" w:eastAsia="es-ES"/>
        </w:rPr>
        <w:t>Declaración de invalidez total de esta Ley por Sentencia de la SCJN,</w:t>
      </w:r>
    </w:p>
    <w:p>
      <w:pPr>
        <w:pStyle w:val="Titulo1"/>
        <w:pBdr>
          <w:bottom w:val="nil"/>
        </w:pBdr>
        <w:spacing w:before="0" w:after="0"/>
        <w:jc w:val="center"/>
        <w:rPr>
          <w:rFonts w:ascii="Tahoma" w:hAnsi="Tahoma" w:eastAsia="MS Mincho;ＭＳ 明朝" w:cs="Tahoma"/>
          <w:bCs/>
          <w:i/>
          <w:i/>
          <w:color w:val="CC3300"/>
          <w:sz w:val="16"/>
          <w:szCs w:val="16"/>
          <w:lang w:val="es-ES" w:eastAsia="es-ES"/>
        </w:rPr>
      </w:pPr>
      <w:r>
        <w:rPr>
          <w:rFonts w:eastAsia="MS Mincho;ＭＳ 明朝" w:cs="Tahoma" w:ascii="Tahoma" w:hAnsi="Tahoma"/>
          <w:bCs/>
          <w:i/>
          <w:color w:val="CC3300"/>
          <w:sz w:val="16"/>
          <w:szCs w:val="16"/>
          <w:lang w:val="es-ES" w:eastAsia="es-ES"/>
        </w:rPr>
        <w:t>notificada al Congreso de la Unión para efectos jurídicos 15-11-2018 y publicada DOF 30-05-2019</w:t>
      </w:r>
    </w:p>
    <w:p>
      <w:pPr>
        <w:pStyle w:val="Titulo1"/>
        <w:pBdr>
          <w:bottom w:val="nil"/>
        </w:pBdr>
        <w:spacing w:before="0" w:after="0"/>
        <w:rPr>
          <w:rFonts w:ascii="Arial" w:hAnsi="Arial" w:eastAsia="MS Mincho;ＭＳ 明朝" w:cs="Arial"/>
          <w:b w:val="false"/>
          <w:bCs/>
          <w:i/>
          <w:i/>
          <w:color w:val="CC3300"/>
          <w:sz w:val="20"/>
          <w:szCs w:val="20"/>
          <w:lang w:val="es-ES" w:eastAsia="es-ES"/>
        </w:rPr>
      </w:pPr>
      <w:r>
        <w:rPr>
          <w:rFonts w:eastAsia="MS Mincho;ＭＳ 明朝" w:cs="Arial" w:ascii="Arial" w:hAnsi="Arial"/>
          <w:b w:val="false"/>
          <w:bCs/>
          <w:i/>
          <w:color w:val="CC3300"/>
          <w:sz w:val="20"/>
          <w:szCs w:val="20"/>
          <w:lang w:val="es-ES" w:eastAsia="es-ES"/>
        </w:rPr>
      </w:r>
    </w:p>
    <w:p>
      <w:pPr>
        <w:pStyle w:val="Titulo1"/>
        <w:pBdr>
          <w:bottom w:val="nil"/>
        </w:pBdr>
        <w:spacing w:before="0" w:after="0"/>
        <w:rPr>
          <w:rFonts w:ascii="Arial" w:hAnsi="Arial" w:cs="Arial"/>
          <w:b w:val="false"/>
          <w:sz w:val="20"/>
          <w:szCs w:val="20"/>
          <w:lang w:val="es-ES"/>
        </w:rPr>
      </w:pPr>
      <w:r>
        <w:rPr>
          <w:rFonts w:cs="Arial" w:ascii="Arial" w:hAnsi="Arial"/>
          <w:b w:val="false"/>
          <w:sz w:val="20"/>
          <w:szCs w:val="20"/>
          <w:lang w:val="es-ES"/>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lang w:val="es-MX"/>
        </w:rPr>
        <w:t>ENRIQUE PEÑA NIETO</w:t>
      </w:r>
      <w:r>
        <w:rPr>
          <w:sz w:val="20"/>
          <w:lang w:val="es-MX"/>
        </w:rPr>
        <w:t>, Presidente de los Estados Unidos Mexicanos, a sus habitantes sabed:</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Que el Honorable Congreso de la Unión, se ha servido dirigirme el siguiente</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 E C R E T A:</w:t>
      </w:r>
    </w:p>
    <w:p>
      <w:pPr>
        <w:pStyle w:val="Texto"/>
        <w:spacing w:lineRule="auto" w:line="240" w:before="0" w:after="0"/>
        <w:rPr>
          <w:sz w:val="20"/>
        </w:rPr>
      </w:pPr>
      <w:r>
        <w:rPr>
          <w:sz w:val="20"/>
        </w:rPr>
      </w:r>
    </w:p>
    <w:p>
      <w:pPr>
        <w:pStyle w:val="Texto"/>
        <w:spacing w:lineRule="auto" w:line="240" w:before="0" w:after="0"/>
        <w:rPr>
          <w:b/>
          <w:sz w:val="20"/>
        </w:rPr>
      </w:pPr>
      <w:r>
        <w:rPr>
          <w:b/>
          <w:sz w:val="20"/>
        </w:rPr>
        <w:t>SE EXPIDE LA LEY DE SEGURIDAD INTERIOR</w:t>
      </w:r>
    </w:p>
    <w:p>
      <w:pPr>
        <w:pStyle w:val="Texto"/>
        <w:spacing w:lineRule="auto" w:line="240" w:before="0" w:after="0"/>
        <w:rPr>
          <w:b/>
          <w:sz w:val="20"/>
        </w:rPr>
      </w:pPr>
      <w:r>
        <w:rPr>
          <w:b/>
          <w:sz w:val="20"/>
        </w:rPr>
      </w:r>
    </w:p>
    <w:p>
      <w:pPr>
        <w:pStyle w:val="Texto"/>
        <w:spacing w:lineRule="auto" w:line="240" w:before="0" w:after="0"/>
        <w:rPr/>
      </w:pPr>
      <w:r>
        <w:rPr>
          <w:b/>
          <w:sz w:val="20"/>
        </w:rPr>
        <w:t xml:space="preserve">Artículo Único.- </w:t>
      </w:r>
      <w:r>
        <w:rPr>
          <w:sz w:val="20"/>
        </w:rPr>
        <w:t>Se expide la Ley de Seguridad Interior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Ley declarada inválida por sentencia de la SCJN a Acción de Inconstitucionalidad notificada 15-11-2018</w:t>
      </w:r>
      <w:r>
        <w:rPr>
          <w:rFonts w:eastAsia="MS Mincho;ＭＳ 明朝" w:cs="Times New Roman" w:ascii="Times New Roman" w:hAnsi="Times New Roman"/>
          <w:i/>
          <w:iCs/>
          <w:color w:val="0000FF"/>
          <w:sz w:val="16"/>
          <w:szCs w:val="16"/>
          <w:lang w:val="es-MX"/>
        </w:rPr>
        <w:t xml:space="preserve"> y publicada DOF 30-05-2019</w:t>
      </w:r>
    </w:p>
    <w:p>
      <w:pPr>
        <w:pStyle w:val="Texto"/>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ANOTACION"/>
        <w:spacing w:lineRule="auto" w:line="240" w:before="0" w:after="0"/>
        <w:rPr>
          <w:rFonts w:ascii="Arial" w:hAnsi="Arial" w:cs="Arial"/>
          <w:sz w:val="22"/>
          <w:szCs w:val="22"/>
        </w:rPr>
      </w:pPr>
      <w:r>
        <w:rPr>
          <w:rFonts w:cs="Arial" w:ascii="Arial" w:hAnsi="Arial"/>
          <w:sz w:val="22"/>
          <w:szCs w:val="22"/>
        </w:rPr>
        <w:t>LEY DE SEGURIDAD INTERIOR</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sz w:val="22"/>
          <w:szCs w:val="22"/>
        </w:rPr>
      </w:pPr>
      <w:r>
        <w:rPr>
          <w:b/>
          <w:sz w:val="22"/>
          <w:szCs w:val="22"/>
        </w:rPr>
        <w:t>CAPÍTULO PRIMERO</w:t>
      </w:r>
    </w:p>
    <w:p>
      <w:pPr>
        <w:pStyle w:val="Texto"/>
        <w:spacing w:lineRule="auto" w:line="240" w:before="0" w:after="0"/>
        <w:ind w:hanging="0" w:end="0"/>
        <w:jc w:val="center"/>
        <w:rPr>
          <w:b/>
          <w:sz w:val="22"/>
          <w:szCs w:val="22"/>
        </w:rPr>
      </w:pPr>
      <w:r>
        <w:rPr>
          <w:b/>
          <w:sz w:val="22"/>
          <w:szCs w:val="22"/>
        </w:rPr>
        <w:t>DISPOSICIONES GENERALES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de orden público, de interés general y de observancia obligatoria en todo el territorio nacional. Sus disposiciones son materia de seguridad nacional en términos de lo dispuesto por la fracción XXIX-M del artículo 73 y la fracción VI del artículo 89 de la Constitución Política de los Estados Unidos Mexicanos en materia de seguridad interior. Tiene por objeto regular la función del Estado para preservar la Seguridad Interior, así como establecer las bases, procedimientos y modalidades de coordinación entre la Federación, las entidades federativas y los municipios, en la materia.</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 Seguridad Interior es la condición que proporciona el Estado mexicano que permite salvaguardar la permanencia y continuidad de sus órdenes de gobierno e instituciones, así como el desarrollo nacional mediante el mantenimiento del orden constitucional, el Estado de Derecho y la gobernabilidad democrática en todo el territorio nacional. Comprende el conjunto de órganos, procedimientos y acciones destinados para dichos fines, respetando los derechos humanos en todo el territorio nacional, así como para prestar auxilio y protección a las entidades federativas y los municipios, frente a riesgos y amenazas que comprometan o afecten la seguridad nacional en los términos de la presente Ley.</w:t>
      </w:r>
    </w:p>
    <w:p>
      <w:pPr>
        <w:pStyle w:val="Texto"/>
        <w:spacing w:lineRule="auto" w:line="240" w:before="0" w:after="0"/>
        <w:rPr>
          <w:b/>
          <w:sz w:val="20"/>
        </w:rPr>
      </w:pPr>
      <w:r>
        <w:rPr>
          <w:b/>
          <w:sz w:val="20"/>
        </w:rPr>
      </w:r>
    </w:p>
    <w:p>
      <w:pPr>
        <w:pStyle w:val="Texto"/>
        <w:spacing w:lineRule="auto" w:line="240" w:before="0" w:after="0"/>
        <w:rPr/>
      </w:pPr>
      <w:bookmarkStart w:id="2" w:name="Artículo_3"/>
      <w:r>
        <w:rPr>
          <w:b/>
          <w:sz w:val="20"/>
        </w:rPr>
        <w:t>Artículo 3</w:t>
      </w:r>
      <w:bookmarkEnd w:id="2"/>
      <w:r>
        <w:rPr>
          <w:b/>
          <w:sz w:val="20"/>
        </w:rPr>
        <w:t>.</w:t>
      </w:r>
      <w:r>
        <w:rPr>
          <w:sz w:val="20"/>
        </w:rPr>
        <w:t xml:space="preserve"> En el ejercicio de las atribuciones de Seguridad Interior se observarán los principios previstos en el artículo 4 de la Ley de Seguridad Nacional y los de racionalidad, oportunidad, proporcionalidad, temporalidad, subsidiariedad y gradualidad, así como las obligaciones relativas al uso legítimo de la fuerza.</w:t>
      </w:r>
    </w:p>
    <w:p>
      <w:pPr>
        <w:pStyle w:val="Texto"/>
        <w:spacing w:lineRule="auto" w:line="240" w:before="0" w:after="0"/>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Para los efectos de esta Ley, se entenderá por: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Acciones de Seguridad Interior: Aquellas que realizan las autoridades federales, incluyendo las Fuerzas Armadas, por sí o en coordinación con los demás órdenes de gobierno, orientadas a identificar, prevenir, atender, reducir y contener riesgos y amenazas a la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Amenazas a la Seguridad Interior: Las que afecten los principios establecidos en el artículo 3 y las contenidas en el artículo 5 de la Ley de Seguridad Nacional que tienen su origen en territorio nacional; las emergencias o desastres naturales en un área o región geográfica del país; las epidemias y demás contingencias que afecten la salubridad general; o las que afecten los deberes de colaboración de las entidades federativas y municipios en materia de seguridad nacional;</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Riesgo a la Seguridad Interior: Situación que potencialmente puede convertirse en una Amenaza a la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Declaratoria de Protección a la Seguridad Interior: El mandato ejecutivo que habilita la intervención de la Federación, incluidas las Fuerzas Armadas, para que por sí o en coordinación con otras autoridades, realicen acciones de Seguridad Interior para contener y reducir Amenazas a la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Fuerzas Armadas: El Ejército, Armada y Fuerza Área;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Fuerzas Federales: Las instituciones policiales federales;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Inteligencia para la Seguridad Interior: El conjunto de conocimientos obtenidos a partir de la recolección, procesamiento, diseminación y explotación de información para la toma de decisiones en materia de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Seguridad Interior: Lo previsto en el artículo 2 de la presente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IX.</w:t>
        <w:tab/>
      </w:r>
      <w:r>
        <w:rPr>
          <w:sz w:val="20"/>
        </w:rPr>
        <w:t>Seguridad Nacional: Lo previsto en la Ley de Seguridad Nacional,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X.</w:t>
        <w:tab/>
      </w:r>
      <w:r>
        <w:rPr>
          <w:sz w:val="20"/>
        </w:rPr>
        <w:t>Uso legítimo de la fuerza: La utilización racional y proporcional de técnicas, tácticas, métodos, armamento y protocolos que realiza el personal de las Fuerzas Federales y, en su caso, las Fuerzas Armadas, para controlar, repeler o neutralizar actos de resistencia, según sus características y modos de ejecución.</w:t>
      </w:r>
    </w:p>
    <w:p>
      <w:pPr>
        <w:pStyle w:val="Texto"/>
        <w:spacing w:lineRule="auto" w:line="240" w:before="0" w:after="0"/>
        <w:rPr>
          <w:b/>
          <w:sz w:val="20"/>
        </w:rPr>
      </w:pPr>
      <w:r>
        <w:rPr>
          <w:b/>
          <w:sz w:val="20"/>
        </w:rPr>
      </w:r>
    </w:p>
    <w:p>
      <w:pPr>
        <w:pStyle w:val="Texto"/>
        <w:spacing w:lineRule="auto" w:line="240" w:before="0" w:after="0"/>
        <w:rPr/>
      </w:pPr>
      <w:bookmarkStart w:id="4" w:name="Artículo_5"/>
      <w:r>
        <w:rPr>
          <w:b/>
          <w:sz w:val="20"/>
        </w:rPr>
        <w:t>Artículo 5</w:t>
      </w:r>
      <w:bookmarkEnd w:id="4"/>
      <w:r>
        <w:rPr>
          <w:b/>
          <w:sz w:val="20"/>
        </w:rPr>
        <w:t xml:space="preserve">. </w:t>
      </w:r>
      <w:r>
        <w:rPr>
          <w:sz w:val="20"/>
        </w:rPr>
        <w:t>La aplicación de esta Ley corresponde al Ejecutivo Federal, a través de la Secretaría de Gobernación, con la participación de las dependencias y entidades de la Administración Pública Federal, Fuerzas Federales y, en su caso, Fuerzas Armadas, en coordinación con los otros órdenes de gobierno, en el ámbito de sus atribuciones y competencia.</w:t>
      </w:r>
    </w:p>
    <w:p>
      <w:pPr>
        <w:pStyle w:val="Texto"/>
        <w:spacing w:lineRule="auto" w:line="240" w:before="0" w:after="0"/>
        <w:rPr>
          <w:b/>
          <w:sz w:val="20"/>
        </w:rPr>
      </w:pPr>
      <w:r>
        <w:rPr>
          <w:b/>
          <w:sz w:val="20"/>
        </w:rPr>
      </w:r>
    </w:p>
    <w:p>
      <w:pPr>
        <w:pStyle w:val="Texto"/>
        <w:spacing w:lineRule="auto" w:line="240" w:before="0" w:after="0"/>
        <w:rPr/>
      </w:pPr>
      <w:bookmarkStart w:id="5" w:name="Artículo_6"/>
      <w:r>
        <w:rPr>
          <w:b/>
          <w:sz w:val="20"/>
        </w:rPr>
        <w:t>Artículo 6</w:t>
      </w:r>
      <w:bookmarkEnd w:id="5"/>
      <w:r>
        <w:rPr>
          <w:b/>
          <w:sz w:val="20"/>
        </w:rPr>
        <w:t xml:space="preserve">. </w:t>
      </w:r>
      <w:r>
        <w:rPr>
          <w:sz w:val="20"/>
        </w:rPr>
        <w:t>Las autoridades federales incluyendo a las Fuerzas Armadas, en el ámbito de sus respectivas competencias, implementarán sin necesidad de Declaratoria de Protección a la Seguridad Interior, políticas, programas y acciones para identificar, prevenir y atender oportunamente, según su naturaleza, los riesgos contemplados en la Agenda Nacional de Riesgos a la que se refiere el artículo 7 de la Ley de Seguridad Nacional.</w:t>
      </w:r>
    </w:p>
    <w:p>
      <w:pPr>
        <w:pStyle w:val="Texto"/>
        <w:spacing w:lineRule="auto" w:line="240" w:before="0" w:after="0"/>
        <w:rPr>
          <w:sz w:val="20"/>
        </w:rPr>
      </w:pPr>
      <w:r>
        <w:rPr>
          <w:sz w:val="20"/>
        </w:rPr>
      </w:r>
    </w:p>
    <w:p>
      <w:pPr>
        <w:pStyle w:val="Texto"/>
        <w:spacing w:lineRule="auto" w:line="240" w:before="0" w:after="0"/>
        <w:rPr>
          <w:sz w:val="20"/>
        </w:rPr>
      </w:pPr>
      <w:r>
        <w:rPr>
          <w:sz w:val="20"/>
        </w:rPr>
        <w:t>Asimismo, el Consejo de Seguridad Nacional emitirá lineamientos para la participación de las entidades federativas en las Acciones de Seguridad Interior, para la atención eficaz de la Agenda Nacional de Riesgos y, en su caso, para el restablecimiento de la colaboración de las entidades federativas y municipios en las tareas de preservación de la Seguridad Nacional.</w:t>
      </w:r>
    </w:p>
    <w:p>
      <w:pPr>
        <w:pStyle w:val="Texto"/>
        <w:spacing w:lineRule="auto" w:line="240" w:before="0" w:after="0"/>
        <w:rPr>
          <w:b/>
          <w:sz w:val="20"/>
        </w:rPr>
      </w:pPr>
      <w:r>
        <w:rPr>
          <w:b/>
          <w:sz w:val="20"/>
        </w:rPr>
      </w:r>
    </w:p>
    <w:p>
      <w:pPr>
        <w:pStyle w:val="Texto"/>
        <w:spacing w:lineRule="auto" w:line="240" w:before="0" w:after="0"/>
        <w:rPr/>
      </w:pPr>
      <w:bookmarkStart w:id="6" w:name="Artículo_7"/>
      <w:r>
        <w:rPr>
          <w:b/>
          <w:sz w:val="20"/>
        </w:rPr>
        <w:t>Artículo 7</w:t>
      </w:r>
      <w:bookmarkEnd w:id="6"/>
      <w:r>
        <w:rPr>
          <w:b/>
          <w:sz w:val="20"/>
        </w:rPr>
        <w:t xml:space="preserve">. </w:t>
      </w:r>
      <w:r>
        <w:rPr>
          <w:sz w:val="20"/>
        </w:rPr>
        <w:t>Los actos realizados por las autoridades con motivo de la aplicación de esta Ley deberán respetar, proteger y garantizar en todo momento y sin excepción, los derechos humanos y sus garantías, de conformidad con lo dispuesto por la Constitución, los tratados internacionales y los protocolos emitidos por las autoridades correspondientes.</w:t>
      </w:r>
    </w:p>
    <w:p>
      <w:pPr>
        <w:pStyle w:val="Texto"/>
        <w:spacing w:lineRule="auto" w:line="240" w:before="0" w:after="0"/>
        <w:rPr>
          <w:b/>
          <w:sz w:val="20"/>
        </w:rPr>
      </w:pPr>
      <w:r>
        <w:rPr>
          <w:b/>
          <w:sz w:val="20"/>
        </w:rPr>
      </w:r>
    </w:p>
    <w:p>
      <w:pPr>
        <w:pStyle w:val="Texto"/>
        <w:spacing w:lineRule="auto" w:line="240" w:before="0" w:after="0"/>
        <w:rPr/>
      </w:pPr>
      <w:bookmarkStart w:id="7" w:name="Artículo_8"/>
      <w:r>
        <w:rPr>
          <w:b/>
          <w:sz w:val="20"/>
        </w:rPr>
        <w:t>Artículo 8</w:t>
      </w:r>
      <w:bookmarkEnd w:id="7"/>
      <w:r>
        <w:rPr>
          <w:b/>
          <w:sz w:val="20"/>
        </w:rPr>
        <w:t>.</w:t>
      </w:r>
      <w:r>
        <w:rPr>
          <w:sz w:val="20"/>
        </w:rPr>
        <w:t xml:space="preserve"> Las movilizaciones de protesta social o las que tengan un motivo político-electoral que se realicen de conformidad con la Constitución Política de los Estados Unidos Mexicanos, bajo ninguna circunstancia serán consideradas como Amenazas a la Seguridad Interior, ni podrán ser materia de Declaratoria de Protección a la Seguridad Interior.</w:t>
      </w:r>
    </w:p>
    <w:p>
      <w:pPr>
        <w:pStyle w:val="Texto"/>
        <w:spacing w:lineRule="auto" w:line="240" w:before="0" w:after="0"/>
        <w:rPr>
          <w:b/>
          <w:sz w:val="20"/>
        </w:rPr>
      </w:pPr>
      <w:r>
        <w:rPr>
          <w:b/>
          <w:sz w:val="20"/>
        </w:rPr>
      </w:r>
    </w:p>
    <w:p>
      <w:pPr>
        <w:pStyle w:val="Texto"/>
        <w:spacing w:lineRule="auto" w:line="240" w:before="0" w:after="0"/>
        <w:rPr/>
      </w:pPr>
      <w:bookmarkStart w:id="8" w:name="Artículo_9"/>
      <w:r>
        <w:rPr>
          <w:b/>
          <w:sz w:val="20"/>
        </w:rPr>
        <w:t>Artículo 9</w:t>
      </w:r>
      <w:bookmarkEnd w:id="8"/>
      <w:r>
        <w:rPr>
          <w:b/>
          <w:sz w:val="20"/>
        </w:rPr>
        <w:t>.</w:t>
      </w:r>
      <w:r>
        <w:rPr>
          <w:sz w:val="20"/>
        </w:rPr>
        <w:t xml:space="preserve"> La información que se genere con motivo de la aplicación de la presente Ley, será considerada de Seguridad Nacional, en los términos de las disposiciones jurídicas aplicables.</w:t>
      </w:r>
    </w:p>
    <w:p>
      <w:pPr>
        <w:pStyle w:val="Texto"/>
        <w:spacing w:lineRule="auto" w:line="240" w:before="0" w:after="0"/>
        <w:rPr>
          <w:b/>
          <w:sz w:val="20"/>
        </w:rPr>
      </w:pPr>
      <w:r>
        <w:rPr>
          <w:b/>
          <w:sz w:val="20"/>
        </w:rPr>
      </w:r>
    </w:p>
    <w:p>
      <w:pPr>
        <w:pStyle w:val="Texto"/>
        <w:spacing w:lineRule="auto" w:line="240" w:before="0" w:after="0"/>
        <w:rPr/>
      </w:pPr>
      <w:bookmarkStart w:id="9" w:name="Artículo_10"/>
      <w:r>
        <w:rPr>
          <w:b/>
          <w:sz w:val="20"/>
        </w:rPr>
        <w:t>Artículo 10</w:t>
      </w:r>
      <w:bookmarkEnd w:id="9"/>
      <w:r>
        <w:rPr>
          <w:b/>
          <w:sz w:val="20"/>
        </w:rPr>
        <w:t>.</w:t>
      </w:r>
      <w:r>
        <w:rPr>
          <w:sz w:val="20"/>
        </w:rPr>
        <w:t xml:space="preserve"> A falta de disposición expresa en esta Ley, se aplicará supletoriamente la Ley de Seguridad Nacional y, en su caso, la Ley General del Sistema Nacional de Seguridad Pública, en el ámbito de sus competencias.</w:t>
      </w:r>
    </w:p>
    <w:p>
      <w:pPr>
        <w:pStyle w:val="Texto"/>
        <w:spacing w:lineRule="auto" w:line="240" w:before="0" w:after="0"/>
        <w:rPr>
          <w:sz w:val="20"/>
        </w:rPr>
      </w:pPr>
      <w:r>
        <w:rPr>
          <w:sz w:val="20"/>
        </w:rPr>
      </w:r>
    </w:p>
    <w:p>
      <w:pPr>
        <w:pStyle w:val="Texto"/>
        <w:spacing w:lineRule="auto" w:line="240" w:before="0" w:after="0"/>
        <w:rPr/>
      </w:pPr>
      <w:r>
        <w:rPr>
          <w:sz w:val="20"/>
        </w:rPr>
        <w:t>La materia de</w:t>
      </w:r>
      <w:r>
        <w:rPr>
          <w:b/>
          <w:sz w:val="20"/>
        </w:rPr>
        <w:t xml:space="preserve"> </w:t>
      </w:r>
      <w:r>
        <w:rPr>
          <w:sz w:val="20"/>
        </w:rPr>
        <w:t>Seguridad Interior queda excluida de lo dispuesto en la Ley Federal de Procedimiento Administrativo.</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SEGUNDO</w:t>
      </w:r>
    </w:p>
    <w:p>
      <w:pPr>
        <w:pStyle w:val="Texto"/>
        <w:spacing w:lineRule="auto" w:line="240" w:before="0" w:after="0"/>
        <w:ind w:hanging="0" w:end="0"/>
        <w:jc w:val="center"/>
        <w:rPr/>
      </w:pPr>
      <w:r>
        <w:rPr>
          <w:b/>
          <w:sz w:val="22"/>
          <w:szCs w:val="22"/>
        </w:rPr>
        <w:t>DE LOS SUPUESTOS Y PROCEDIMIENTO PARA EMITIR LA DECLARATORIA DE PROTECCIÓN A LA SEGURIDAD INTERIOR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b/>
          <w:sz w:val="20"/>
        </w:rPr>
      </w:pPr>
      <w:bookmarkStart w:id="10" w:name="Artículo_11"/>
      <w:r>
        <w:rPr>
          <w:b/>
          <w:sz w:val="20"/>
        </w:rPr>
        <w:t>Artículo 11</w:t>
      </w:r>
      <w:bookmarkEnd w:id="10"/>
      <w:r>
        <w:rPr>
          <w:b/>
          <w:sz w:val="20"/>
        </w:rPr>
        <w:t xml:space="preserve">. </w:t>
      </w:r>
      <w:r>
        <w:rPr>
          <w:sz w:val="20"/>
        </w:rPr>
        <w:t>Corresponde a las autoridades federales, incluyendo las Fuerzas Armadas, por sí o en coordinación con los demás órdenes de gobierno, identificar, prevenir, atender, reducir y contener las Amenazas a la Seguridad Interior.</w:t>
      </w:r>
    </w:p>
    <w:p>
      <w:pPr>
        <w:pStyle w:val="Texto"/>
        <w:spacing w:lineRule="auto" w:line="240" w:before="0" w:after="0"/>
        <w:rPr>
          <w:b/>
          <w:sz w:val="20"/>
        </w:rPr>
      </w:pPr>
      <w:r>
        <w:rPr>
          <w:b/>
          <w:sz w:val="20"/>
        </w:rPr>
      </w:r>
    </w:p>
    <w:p>
      <w:pPr>
        <w:pStyle w:val="Texto"/>
        <w:spacing w:lineRule="auto" w:line="240" w:before="0" w:after="0"/>
        <w:rPr>
          <w:sz w:val="20"/>
        </w:rPr>
      </w:pPr>
      <w:r>
        <w:rPr>
          <w:sz w:val="20"/>
        </w:rPr>
        <w:t>El Presidente de la República podrá ordenar por sí o a petición de las Legislaturas de las entidades federativas, o de su Ejecutivo en caso de receso de aquellas, la intervención de la Federación para la realización e implementación de Acciones de Seguridad Interior en el territorio de una entidad federativa o zona geográfica del país, previa emisión de una Declaratoria de Protección a la Seguridad Interior, cuando se actualice alguna de las Amenazas a la Seguridad Interior y éstas: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w:t>
        <w:tab/>
      </w:r>
      <w:r>
        <w:rPr>
          <w:sz w:val="20"/>
        </w:rPr>
        <w:t>Comprometan o superen las capacidades efectivas de las autoridades competentes para atenderla, o</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strike/>
          <w:sz w:val="20"/>
        </w:rPr>
      </w:pPr>
      <w:r>
        <w:rPr>
          <w:b/>
          <w:color w:val="000000"/>
          <w:sz w:val="20"/>
        </w:rPr>
        <w:t>II.</w:t>
        <w:tab/>
      </w:r>
      <w:r>
        <w:rPr>
          <w:sz w:val="20"/>
        </w:rPr>
        <w:t>Se originen por la falta o insuficiente colaboración de las entidades federativas y municipios en la preservación de la Seguridad Nacional, de conformidad con lo previsto en el segundo párrafo del artículo 1</w:t>
      </w:r>
      <w:r>
        <w:rPr>
          <w:b/>
          <w:sz w:val="20"/>
        </w:rPr>
        <w:t xml:space="preserve"> </w:t>
      </w:r>
      <w:r>
        <w:rPr>
          <w:sz w:val="20"/>
        </w:rPr>
        <w:t>de la Ley de Seguridad Nacional.</w:t>
      </w:r>
    </w:p>
    <w:p>
      <w:pPr>
        <w:pStyle w:val="Texto"/>
        <w:spacing w:lineRule="auto" w:line="240" w:before="0" w:after="0"/>
        <w:rPr>
          <w:strike/>
          <w:sz w:val="20"/>
        </w:rPr>
      </w:pPr>
      <w:r>
        <w:rPr>
          <w:strike/>
          <w:sz w:val="20"/>
        </w:rPr>
      </w:r>
    </w:p>
    <w:p>
      <w:pPr>
        <w:pStyle w:val="Texto"/>
        <w:spacing w:lineRule="auto" w:line="240" w:before="0" w:after="0"/>
        <w:rPr/>
      </w:pPr>
      <w:r>
        <w:rPr>
          <w:sz w:val="20"/>
        </w:rPr>
        <w:t>Aquellas amenazas a la Seguridad Interior</w:t>
      </w:r>
      <w:r>
        <w:rPr>
          <w:b/>
          <w:sz w:val="20"/>
        </w:rPr>
        <w:t xml:space="preserve"> </w:t>
      </w:r>
      <w:r>
        <w:rPr>
          <w:sz w:val="20"/>
        </w:rPr>
        <w:t>que no requieran Declaratoria en términos del presente artículo serán atendidas por las autoridades conforme sus atribuciones y las disposiciones legales que resulten aplicables.</w:t>
      </w:r>
    </w:p>
    <w:p>
      <w:pPr>
        <w:pStyle w:val="Texto"/>
        <w:spacing w:lineRule="auto" w:line="240" w:before="0" w:after="0"/>
        <w:rPr>
          <w:b/>
          <w:sz w:val="20"/>
        </w:rPr>
      </w:pPr>
      <w:r>
        <w:rPr>
          <w:b/>
          <w:sz w:val="20"/>
        </w:rPr>
      </w:r>
    </w:p>
    <w:p>
      <w:pPr>
        <w:pStyle w:val="Texto"/>
        <w:spacing w:lineRule="auto" w:line="240" w:before="0" w:after="0"/>
        <w:rPr/>
      </w:pPr>
      <w:bookmarkStart w:id="11" w:name="Artículo_12"/>
      <w:r>
        <w:rPr>
          <w:b/>
          <w:sz w:val="20"/>
        </w:rPr>
        <w:t>Artículo 12</w:t>
      </w:r>
      <w:bookmarkEnd w:id="11"/>
      <w:r>
        <w:rPr>
          <w:b/>
          <w:sz w:val="20"/>
        </w:rPr>
        <w:t xml:space="preserve">. </w:t>
      </w:r>
      <w:r>
        <w:rPr>
          <w:sz w:val="20"/>
        </w:rPr>
        <w:t>En los casos a los que se refiere el artículo anterior, el Presidente de la República, previa consideración del Consejo de Seguridad Nacional, determinará la procedencia de la intervención de la Federación y expedirá, dentro de las setenta y dos horas siguientes, contadas a partir de recibir la solicitud, la Declaratoria de Protección a la Seguridad Interior, la cual deberá notificarse por conducto de la Secretaría de Gobernación a la Comisión Bicamaral de Seguridad Nacional y a la Comisión Nacional de los Derechos Humanos, así como publicarse en el Diario Oficial de la Federación y en los periódicos o gacetas oficiales de las entidades federativas afectadas.</w:t>
      </w:r>
    </w:p>
    <w:p>
      <w:pPr>
        <w:pStyle w:val="Texto"/>
        <w:spacing w:lineRule="auto" w:line="240" w:before="0" w:after="0"/>
        <w:rPr>
          <w:b/>
          <w:sz w:val="20"/>
        </w:rPr>
      </w:pPr>
      <w:r>
        <w:rPr>
          <w:b/>
          <w:sz w:val="20"/>
        </w:rPr>
      </w:r>
    </w:p>
    <w:p>
      <w:pPr>
        <w:pStyle w:val="Texto"/>
        <w:spacing w:lineRule="auto" w:line="240" w:before="0" w:after="0"/>
        <w:rPr/>
      </w:pPr>
      <w:bookmarkStart w:id="12" w:name="Artículo_13"/>
      <w:r>
        <w:rPr>
          <w:b/>
          <w:sz w:val="20"/>
        </w:rPr>
        <w:t>Artículo 13</w:t>
      </w:r>
      <w:bookmarkEnd w:id="12"/>
      <w:r>
        <w:rPr>
          <w:b/>
          <w:sz w:val="20"/>
        </w:rPr>
        <w:t xml:space="preserve">. </w:t>
      </w:r>
      <w:r>
        <w:rPr>
          <w:sz w:val="20"/>
        </w:rPr>
        <w:t>Las peticiones de las Legislaturas de las entidades federativas o de su respectivo Ejecutivo deberán contener las consideraciones que las motivan, así como una descripción detallada de los hechos o situaciones que constituyan una Amenaza a la Seguridad Interior, especificando entre otros, los aspectos siguientes: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w:t>
        <w:tab/>
      </w:r>
      <w:r>
        <w:rPr>
          <w:sz w:val="20"/>
        </w:rPr>
        <w:t>Amenaza identificada y el impacto de la misma;</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w:t>
        <w:tab/>
      </w:r>
      <w:r>
        <w:rPr>
          <w:sz w:val="20"/>
        </w:rPr>
        <w:t>Área geográfica, sector poblacional e instituciones vulneradas;</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III.</w:t>
        <w:tab/>
      </w:r>
      <w:r>
        <w:rPr>
          <w:sz w:val="20"/>
        </w:rPr>
        <w:t>Estadísticas de actos o hechos de naturaleza similar a la amenaza identificada en la entidad federativa o área geográfica afectada;</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IV.</w:t>
        <w:tab/>
      </w:r>
      <w:r>
        <w:rPr>
          <w:sz w:val="20"/>
        </w:rPr>
        <w:t>Áreas de insuficiencia operativa, técnica y logística para enfrentar la amenaza identificada;</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V.</w:t>
        <w:tab/>
      </w:r>
      <w:r>
        <w:rPr>
          <w:sz w:val="20"/>
        </w:rPr>
        <w:t>El compromiso de contribuir a la atención de la amenaza y, en su caso, de restablecer la colaboración a que se refiere el segundo párrafo del artículo 1 de la Ley de Seguridad Nacional, en los términos que establezca la Declaratoria de Protección a la Seguridad Interior, y</w:t>
      </w:r>
    </w:p>
    <w:p>
      <w:pPr>
        <w:pStyle w:val="Texto"/>
        <w:spacing w:lineRule="auto" w:line="240" w:before="0" w:after="0"/>
        <w:ind w:hanging="576" w:start="864" w:end="0"/>
        <w:rPr>
          <w:b/>
          <w:color w:val="000000"/>
          <w:sz w:val="20"/>
        </w:rPr>
      </w:pPr>
      <w:r>
        <w:rPr>
          <w:b/>
          <w:color w:val="000000"/>
          <w:sz w:val="20"/>
        </w:rPr>
      </w:r>
    </w:p>
    <w:p>
      <w:pPr>
        <w:pStyle w:val="Texto"/>
        <w:spacing w:lineRule="auto" w:line="240" w:before="0" w:after="0"/>
        <w:ind w:hanging="576" w:start="864" w:end="0"/>
        <w:rPr/>
      </w:pPr>
      <w:r>
        <w:rPr>
          <w:b/>
          <w:color w:val="000000"/>
          <w:sz w:val="20"/>
        </w:rPr>
        <w:t>VI.</w:t>
        <w:tab/>
      </w:r>
      <w:r>
        <w:rPr>
          <w:sz w:val="20"/>
        </w:rPr>
        <w:t>La demás información que se considere relevante para justificar la procedencia de la Declaratoria de Protección a la Seguridad Interior y para la toma de decisiones correspondientes.</w:t>
      </w:r>
    </w:p>
    <w:p>
      <w:pPr>
        <w:pStyle w:val="Texto"/>
        <w:spacing w:lineRule="auto" w:line="240" w:before="0" w:after="0"/>
        <w:rPr>
          <w:b/>
          <w:sz w:val="20"/>
        </w:rPr>
      </w:pPr>
      <w:r>
        <w:rPr>
          <w:b/>
          <w:sz w:val="20"/>
        </w:rPr>
      </w:r>
    </w:p>
    <w:p>
      <w:pPr>
        <w:pStyle w:val="Texto"/>
        <w:spacing w:lineRule="auto" w:line="240" w:before="0" w:after="0"/>
        <w:rPr/>
      </w:pPr>
      <w:bookmarkStart w:id="13" w:name="Artículo_14"/>
      <w:r>
        <w:rPr>
          <w:b/>
          <w:sz w:val="20"/>
        </w:rPr>
        <w:t>Artículo 14</w:t>
      </w:r>
      <w:bookmarkEnd w:id="13"/>
      <w:r>
        <w:rPr>
          <w:b/>
          <w:sz w:val="20"/>
        </w:rPr>
        <w:t xml:space="preserve">. </w:t>
      </w:r>
      <w:r>
        <w:rPr>
          <w:sz w:val="20"/>
        </w:rPr>
        <w:t>El Acuerdo de la Declaratoria de Protección a la Seguridad Interior deberá contener lo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Autoridad o institución federal coordinadora y las demás que participarán;</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La amenaza a la Seguridad Interior</w:t>
      </w:r>
      <w:r>
        <w:rPr>
          <w:b/>
          <w:sz w:val="20"/>
        </w:rPr>
        <w:t xml:space="preserve"> </w:t>
      </w:r>
      <w:r>
        <w:rPr>
          <w:sz w:val="20"/>
        </w:rPr>
        <w:t>que se atenderá;</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III.</w:t>
        <w:tab/>
      </w:r>
      <w:r>
        <w:rPr>
          <w:sz w:val="20"/>
        </w:rPr>
        <w:t>Las entidades federativas o áreas geográficas en las que se realizarán las Acciones de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Las acciones que se requieran a cargo de las entidades federativas o municipios para contribuir a la atención de la Amenaza a la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w:t>
        <w:tab/>
      </w:r>
      <w:r>
        <w:rPr>
          <w:sz w:val="20"/>
        </w:rPr>
        <w:t>Las Fuerzas Federales participantes;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w:t>
        <w:tab/>
      </w:r>
      <w:r>
        <w:rPr>
          <w:sz w:val="20"/>
        </w:rPr>
        <w:t>En su caso, la determinación sobre la disposición de las Fuerzas Armadas para atender la amenaza, en términos de lo dispuesto por el artículo 20 de esta Ley;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w:t>
        <w:tab/>
      </w:r>
      <w:r>
        <w:rPr>
          <w:sz w:val="20"/>
        </w:rPr>
        <w:t>Las Acciones de Seguridad Interior que se llevarán a cabo,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La temporalidad de la Declaratoria.</w:t>
      </w:r>
    </w:p>
    <w:p>
      <w:pPr>
        <w:pStyle w:val="Texto"/>
        <w:spacing w:lineRule="auto" w:line="240" w:before="0" w:after="0"/>
        <w:rPr>
          <w:sz w:val="20"/>
        </w:rPr>
      </w:pPr>
      <w:r>
        <w:rPr>
          <w:sz w:val="20"/>
        </w:rPr>
      </w:r>
    </w:p>
    <w:p>
      <w:pPr>
        <w:pStyle w:val="Texto"/>
        <w:spacing w:lineRule="auto" w:line="240" w:before="0" w:after="0"/>
        <w:rPr/>
      </w:pPr>
      <w:r>
        <w:rPr>
          <w:sz w:val="20"/>
        </w:rPr>
        <w:t>La Declaratoria de Protección a la Seguridad Interior podrá determinar</w:t>
      </w:r>
      <w:r>
        <w:rPr>
          <w:b/>
          <w:sz w:val="20"/>
        </w:rPr>
        <w:t xml:space="preserve"> </w:t>
      </w:r>
      <w:r>
        <w:rPr>
          <w:sz w:val="20"/>
        </w:rPr>
        <w:t>la realización simultánea de Acciones de Seguridad Interior en diversas áreas geográficas del país, cuando por la naturaleza y características de la amenaza o de los agentes que participan en su comisión, no sea materialmente posible circunscribir sus causas, manifestaciones o resultados a una entidad o área específica.</w:t>
      </w:r>
    </w:p>
    <w:p>
      <w:pPr>
        <w:pStyle w:val="Texto"/>
        <w:spacing w:lineRule="auto" w:line="240" w:before="0" w:after="0"/>
        <w:rPr>
          <w:b/>
          <w:sz w:val="20"/>
        </w:rPr>
      </w:pPr>
      <w:r>
        <w:rPr>
          <w:b/>
          <w:sz w:val="20"/>
        </w:rPr>
      </w:r>
    </w:p>
    <w:p>
      <w:pPr>
        <w:pStyle w:val="Texto"/>
        <w:spacing w:lineRule="auto" w:line="240" w:before="0" w:after="0"/>
        <w:rPr>
          <w:b/>
          <w:sz w:val="20"/>
        </w:rPr>
      </w:pPr>
      <w:bookmarkStart w:id="14" w:name="Artículo_15"/>
      <w:r>
        <w:rPr>
          <w:b/>
          <w:sz w:val="20"/>
        </w:rPr>
        <w:t>Artículo 15</w:t>
      </w:r>
      <w:bookmarkEnd w:id="14"/>
      <w:r>
        <w:rPr>
          <w:b/>
          <w:sz w:val="20"/>
        </w:rPr>
        <w:t xml:space="preserve">. </w:t>
      </w:r>
      <w:r>
        <w:rPr>
          <w:sz w:val="20"/>
        </w:rPr>
        <w:t>La Declaratoria de Protección a la Seguridad Interior deberá fijar la vigencia de la intervención de la Federación, la cual no podrá exceder de un año. Agotada su vigencia, cesará dicha intervención, así como las Acciones de Seguridad Interior a su cargo.</w:t>
      </w:r>
    </w:p>
    <w:p>
      <w:pPr>
        <w:pStyle w:val="Texto"/>
        <w:spacing w:lineRule="auto" w:line="240" w:before="0" w:after="0"/>
        <w:rPr>
          <w:b/>
          <w:sz w:val="20"/>
        </w:rPr>
      </w:pPr>
      <w:r>
        <w:rPr>
          <w:b/>
          <w:sz w:val="20"/>
        </w:rPr>
      </w:r>
    </w:p>
    <w:p>
      <w:pPr>
        <w:pStyle w:val="Texto"/>
        <w:spacing w:lineRule="auto" w:line="240" w:before="0" w:after="0"/>
        <w:rPr>
          <w:sz w:val="20"/>
        </w:rPr>
      </w:pPr>
      <w:r>
        <w:rPr>
          <w:sz w:val="20"/>
        </w:rPr>
        <w:t>Las condiciones y vigencia de la Declaratoria de Protección a la Seguridad Interior podrán modificarse o prorrogarse, por acuerdo del Presidente de la República, mientras subsista la amenaza a la Seguridad Interior que la motivó y se justifique la continuidad de las Acciones de Seguridad Interior. Las modificaciones y prórrogas deberán notificarse y publicarse, de conformidad con lo previsto en el artículo 12 de la presente Ley.</w:t>
      </w:r>
    </w:p>
    <w:p>
      <w:pPr>
        <w:pStyle w:val="Texto"/>
        <w:spacing w:lineRule="auto" w:line="240" w:before="0" w:after="0"/>
        <w:rPr>
          <w:b/>
          <w:sz w:val="20"/>
        </w:rPr>
      </w:pPr>
      <w:r>
        <w:rPr>
          <w:b/>
          <w:sz w:val="20"/>
        </w:rPr>
      </w:r>
    </w:p>
    <w:p>
      <w:pPr>
        <w:pStyle w:val="Texto"/>
        <w:spacing w:lineRule="auto" w:line="240" w:before="0" w:after="0"/>
        <w:rPr/>
      </w:pPr>
      <w:bookmarkStart w:id="15" w:name="Artículo_16"/>
      <w:r>
        <w:rPr>
          <w:b/>
          <w:sz w:val="20"/>
        </w:rPr>
        <w:t>Artículo 16</w:t>
      </w:r>
      <w:bookmarkEnd w:id="15"/>
      <w:r>
        <w:rPr>
          <w:b/>
          <w:sz w:val="20"/>
        </w:rPr>
        <w:t xml:space="preserve">. </w:t>
      </w:r>
      <w:r>
        <w:rPr>
          <w:sz w:val="20"/>
        </w:rPr>
        <w:t>En aquellos casos en que las Amenazas a la Seguridad Interior representen un grave peligro a la integridad de las personas o el funcionamiento de las instituciones fundamentales de gobierno, el Presidente de la República de acuerdo a sus facultades podrá ordenar acciones inmediatas a las dependencias y entidades de la Administración Pública Federal, incluidas las Fuerzas Federales y las Fuerzas Armadas.</w:t>
      </w:r>
    </w:p>
    <w:p>
      <w:pPr>
        <w:pStyle w:val="Texto"/>
        <w:spacing w:lineRule="auto" w:line="240" w:before="0" w:after="0"/>
        <w:rPr>
          <w:sz w:val="20"/>
        </w:rPr>
      </w:pPr>
      <w:r>
        <w:rPr>
          <w:sz w:val="20"/>
        </w:rPr>
      </w:r>
    </w:p>
    <w:p>
      <w:pPr>
        <w:pStyle w:val="Texto"/>
        <w:spacing w:lineRule="auto" w:line="240" w:before="0" w:after="0"/>
        <w:rPr>
          <w:sz w:val="20"/>
        </w:rPr>
      </w:pPr>
      <w:r>
        <w:rPr>
          <w:sz w:val="20"/>
        </w:rPr>
        <w:t>Lo anterior, sin perjuicio de la comunicación que realice la Secretaría de Gobernación de forma posterior a los titulares del Poder Ejecutivo respectivo de las entidades federativas y la emisión, en el menor tiempo posible, de la Declaratoria de Protección a la Seguridad Interior.</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TERCERO</w:t>
      </w:r>
    </w:p>
    <w:p>
      <w:pPr>
        <w:pStyle w:val="Texto"/>
        <w:spacing w:lineRule="auto" w:line="240" w:before="0" w:after="0"/>
        <w:ind w:hanging="0" w:end="0"/>
        <w:jc w:val="center"/>
        <w:rPr>
          <w:b/>
          <w:sz w:val="22"/>
          <w:szCs w:val="22"/>
        </w:rPr>
      </w:pPr>
      <w:r>
        <w:rPr>
          <w:b/>
          <w:sz w:val="22"/>
          <w:szCs w:val="22"/>
        </w:rPr>
        <w:t>DE LA INTERVENCIÓN DE LAS AUTORIDADES FEDERALES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16" w:name="Artículo_17"/>
      <w:r>
        <w:rPr>
          <w:b/>
          <w:sz w:val="20"/>
        </w:rPr>
        <w:t>Artículo 17</w:t>
      </w:r>
      <w:bookmarkEnd w:id="16"/>
      <w:r>
        <w:rPr>
          <w:b/>
          <w:sz w:val="20"/>
        </w:rPr>
        <w:t xml:space="preserve">. </w:t>
      </w:r>
      <w:r>
        <w:rPr>
          <w:sz w:val="20"/>
        </w:rPr>
        <w:t>A partir de la expedición de la Declaratoria de Protección a la Seguridad Interior, las acciones que realicen las autoridades federales para su atención y cumplimiento, se considerarán como Acciones</w:t>
      </w:r>
      <w:r>
        <w:rPr>
          <w:b/>
          <w:sz w:val="20"/>
        </w:rPr>
        <w:t xml:space="preserve"> </w:t>
      </w:r>
      <w:r>
        <w:rPr>
          <w:sz w:val="20"/>
        </w:rPr>
        <w:t>de Seguridad Interior.</w:t>
      </w:r>
    </w:p>
    <w:p>
      <w:pPr>
        <w:pStyle w:val="Texto"/>
        <w:spacing w:lineRule="auto" w:line="240" w:before="0" w:after="0"/>
        <w:rPr>
          <w:b/>
          <w:sz w:val="20"/>
        </w:rPr>
      </w:pPr>
      <w:r>
        <w:rPr>
          <w:b/>
          <w:sz w:val="20"/>
        </w:rPr>
      </w:r>
    </w:p>
    <w:p>
      <w:pPr>
        <w:pStyle w:val="Texto"/>
        <w:spacing w:lineRule="auto" w:line="240" w:before="0" w:after="0"/>
        <w:rPr/>
      </w:pPr>
      <w:bookmarkStart w:id="17" w:name="Artículo_18"/>
      <w:r>
        <w:rPr>
          <w:b/>
          <w:sz w:val="20"/>
        </w:rPr>
        <w:t>Artículo 18</w:t>
      </w:r>
      <w:bookmarkEnd w:id="17"/>
      <w:r>
        <w:rPr>
          <w:b/>
          <w:sz w:val="20"/>
        </w:rPr>
        <w:t xml:space="preserve">. </w:t>
      </w:r>
      <w:r>
        <w:rPr>
          <w:sz w:val="20"/>
        </w:rPr>
        <w:t>En ningún caso, las Acciones de Seguridad Interior que lleven a cabo las autoridades federales conforme a lo previsto en la presente Ley, tendrán por objeto sustituir a las autoridades de otros órdenes de gobierno en el cumplimiento de sus competencias o eximir a dichas autoridades de sus responsabilidades.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las Acciones de Seguridad Interior que lleven a cabo las Fuerzas Armadas se considerarán o tendrán la condición de seguridad pública.</w:t>
      </w:r>
    </w:p>
    <w:p>
      <w:pPr>
        <w:pStyle w:val="Texto"/>
        <w:spacing w:lineRule="auto" w:line="240" w:before="0" w:after="0"/>
        <w:rPr>
          <w:b/>
          <w:sz w:val="20"/>
        </w:rPr>
      </w:pPr>
      <w:r>
        <w:rPr>
          <w:b/>
          <w:sz w:val="20"/>
        </w:rPr>
      </w:r>
    </w:p>
    <w:p>
      <w:pPr>
        <w:pStyle w:val="Texto"/>
        <w:spacing w:lineRule="auto" w:line="240" w:before="0" w:after="0"/>
        <w:rPr/>
      </w:pPr>
      <w:bookmarkStart w:id="18" w:name="Artículo_19"/>
      <w:r>
        <w:rPr>
          <w:b/>
          <w:sz w:val="20"/>
        </w:rPr>
        <w:t>Artículo 19</w:t>
      </w:r>
      <w:bookmarkEnd w:id="18"/>
      <w:r>
        <w:rPr>
          <w:b/>
          <w:sz w:val="20"/>
        </w:rPr>
        <w:t xml:space="preserve">. </w:t>
      </w:r>
      <w:r>
        <w:rPr>
          <w:sz w:val="20"/>
        </w:rPr>
        <w:t>La Secretaría de Gobernación implementará los esquemas de colaboración necesarios para la efectiva coordinación y ejecución de las acciones en la Declaratoria de Protección a la Seguridad Interior.</w:t>
      </w:r>
    </w:p>
    <w:p>
      <w:pPr>
        <w:pStyle w:val="Texto"/>
        <w:spacing w:lineRule="auto" w:line="240" w:before="0" w:after="0"/>
        <w:rPr>
          <w:b/>
          <w:sz w:val="20"/>
        </w:rPr>
      </w:pPr>
      <w:r>
        <w:rPr>
          <w:b/>
          <w:sz w:val="20"/>
        </w:rPr>
      </w:r>
    </w:p>
    <w:p>
      <w:pPr>
        <w:pStyle w:val="Texto"/>
        <w:spacing w:lineRule="auto" w:line="240" w:before="0" w:after="0"/>
        <w:rPr/>
      </w:pPr>
      <w:bookmarkStart w:id="19" w:name="Artículo_20"/>
      <w:r>
        <w:rPr>
          <w:b/>
          <w:sz w:val="20"/>
        </w:rPr>
        <w:t>Artículo 20</w:t>
      </w:r>
      <w:bookmarkEnd w:id="19"/>
      <w:r>
        <w:rPr>
          <w:b/>
          <w:sz w:val="20"/>
        </w:rPr>
        <w:t xml:space="preserve">. </w:t>
      </w:r>
      <w:r>
        <w:rPr>
          <w:sz w:val="20"/>
        </w:rPr>
        <w:t>Las Fuerzas Armadas sin perjuicio de las misiones que tienen asignadas en la Constitución Política de los Estados Unidos Mexicanos y en sus Leyes Orgánicas, sólo intervendrán mediante la emisión de una Declaratoria de Protección a la Seguridad Interior, cuando las capacidades de las Fuerzas Federales resulten insuficientes para reducir o contener la amenaza de que se trate, conforme al procedimiento siguiente:</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El Presidente de la República, a propuesta de los Secretarios de la Defensa Nacional y Marina, designará a un Comandante de las Fuerzas Armadas participantes, quien dirigirá los grupos interinstitucionales que se integren en términos del artículo 21;</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II.</w:t>
        <w:tab/>
      </w:r>
      <w:r>
        <w:rPr>
          <w:sz w:val="20"/>
        </w:rPr>
        <w:t>El Comandante designado en términos de la fracción anterior elaborará el protocolo de actuación para establecer responsabilidades, canales de comunicación y coordinación de las autoridades militares y civiles participantes;</w:t>
      </w:r>
    </w:p>
    <w:p>
      <w:pPr>
        <w:pStyle w:val="Texto"/>
        <w:spacing w:lineRule="auto" w:line="240" w:before="0" w:after="0"/>
        <w:ind w:hanging="576" w:start="864" w:end="0"/>
        <w:rPr>
          <w:b/>
          <w:spacing w:val="-5"/>
          <w:sz w:val="20"/>
        </w:rPr>
      </w:pPr>
      <w:r>
        <w:rPr>
          <w:b/>
          <w:spacing w:val="-5"/>
          <w:sz w:val="20"/>
        </w:rPr>
      </w:r>
    </w:p>
    <w:p>
      <w:pPr>
        <w:pStyle w:val="Texto"/>
        <w:spacing w:lineRule="auto" w:line="240" w:before="0" w:after="0"/>
        <w:ind w:hanging="576" w:start="864" w:end="0"/>
        <w:rPr>
          <w:sz w:val="20"/>
        </w:rPr>
      </w:pPr>
      <w:r>
        <w:rPr>
          <w:b/>
          <w:spacing w:val="-5"/>
          <w:sz w:val="20"/>
        </w:rPr>
        <w:t>III.</w:t>
        <w:tab/>
      </w:r>
      <w:r>
        <w:rPr>
          <w:spacing w:val="-5"/>
          <w:sz w:val="20"/>
        </w:rPr>
        <w:t>El protocolo contemplará la integración de grupos interinstitucionales, a fin de que cada uno lleve a cabo la misión que se les asigne con base en las atribuciones y responsabilidades que les correspondan, coordinadas por el Comandante,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IV.</w:t>
        <w:tab/>
      </w:r>
      <w:r>
        <w:rPr>
          <w:sz w:val="20"/>
        </w:rPr>
        <w:t>Las Fuerzas Armadas actuarán realizando las Acciones de Seguridad Interior previstas en la Declaratoria respectiva.</w:t>
      </w:r>
    </w:p>
    <w:p>
      <w:pPr>
        <w:pStyle w:val="Texto"/>
        <w:spacing w:lineRule="auto" w:line="240" w:before="0" w:after="0"/>
        <w:rPr>
          <w:b/>
          <w:sz w:val="20"/>
        </w:rPr>
      </w:pPr>
      <w:r>
        <w:rPr>
          <w:b/>
          <w:sz w:val="20"/>
        </w:rPr>
      </w:r>
    </w:p>
    <w:p>
      <w:pPr>
        <w:pStyle w:val="Texto"/>
        <w:spacing w:lineRule="auto" w:line="240" w:before="0" w:after="0"/>
        <w:rPr/>
      </w:pPr>
      <w:bookmarkStart w:id="20" w:name="Artículo_21"/>
      <w:r>
        <w:rPr>
          <w:b/>
          <w:sz w:val="20"/>
        </w:rPr>
        <w:t>Artículo 21</w:t>
      </w:r>
      <w:bookmarkEnd w:id="20"/>
      <w:r>
        <w:rPr>
          <w:b/>
          <w:sz w:val="20"/>
        </w:rPr>
        <w:t xml:space="preserve">. </w:t>
      </w:r>
      <w:r>
        <w:rPr>
          <w:sz w:val="20"/>
        </w:rPr>
        <w:t>La institución o autoridad coordinadora constituirá un grupo interinstitucional con representantes de cada una de las autoridades u organismos participantes, a efecto de coordinar la realización de las Acciones de Seguridad Interior, así como para el seguimiento a las acciones de participación a cargo de las autoridades de las entidades federativas respectivas, de conformidad con lo dispuesto en el artículo 19 de esta Ley, y de las disposiciones reglamentarias de las Fuerzas Armadas.</w:t>
      </w:r>
    </w:p>
    <w:p>
      <w:pPr>
        <w:pStyle w:val="Texto"/>
        <w:spacing w:lineRule="auto" w:line="240" w:before="0" w:after="0"/>
        <w:rPr>
          <w:b/>
          <w:sz w:val="20"/>
        </w:rPr>
      </w:pPr>
      <w:r>
        <w:rPr>
          <w:b/>
          <w:sz w:val="20"/>
        </w:rPr>
      </w:r>
    </w:p>
    <w:p>
      <w:pPr>
        <w:pStyle w:val="Texto"/>
        <w:spacing w:lineRule="auto" w:line="240" w:before="0" w:after="0"/>
        <w:rPr/>
      </w:pPr>
      <w:bookmarkStart w:id="21" w:name="Artículo_22"/>
      <w:r>
        <w:rPr>
          <w:b/>
          <w:sz w:val="20"/>
        </w:rPr>
        <w:t>Artículo 22</w:t>
      </w:r>
      <w:bookmarkEnd w:id="21"/>
      <w:r>
        <w:rPr>
          <w:b/>
          <w:sz w:val="20"/>
        </w:rPr>
        <w:t xml:space="preserve">. </w:t>
      </w:r>
      <w:r>
        <w:rPr>
          <w:sz w:val="20"/>
        </w:rPr>
        <w:t>Las autoridades respectivas atenderán la amenaza que motivó la Declaratoria, cooperando en el ámbito de sus atribuciones y bajo la coordinación de la autoridad designada. Cuando la amenaza no requiera la intervención de las Fuerzas Armadas, el Presidente designará a la autoridad civil que corresponda a propuesta del Secretario de Gobernación.</w:t>
      </w:r>
    </w:p>
    <w:p>
      <w:pPr>
        <w:pStyle w:val="Texto"/>
        <w:spacing w:lineRule="auto" w:line="240" w:before="0" w:after="0"/>
        <w:rPr>
          <w:b/>
          <w:sz w:val="20"/>
        </w:rPr>
      </w:pPr>
      <w:r>
        <w:rPr>
          <w:b/>
          <w:sz w:val="20"/>
        </w:rPr>
      </w:r>
    </w:p>
    <w:p>
      <w:pPr>
        <w:pStyle w:val="Texto"/>
        <w:spacing w:lineRule="auto" w:line="240" w:before="0" w:after="0"/>
        <w:rPr>
          <w:b/>
          <w:sz w:val="20"/>
        </w:rPr>
      </w:pPr>
      <w:bookmarkStart w:id="22" w:name="Artículo_23"/>
      <w:r>
        <w:rPr>
          <w:b/>
          <w:sz w:val="20"/>
        </w:rPr>
        <w:t>Artículo 23</w:t>
      </w:r>
      <w:bookmarkEnd w:id="22"/>
      <w:r>
        <w:rPr>
          <w:b/>
          <w:sz w:val="20"/>
        </w:rPr>
        <w:t xml:space="preserve">. </w:t>
      </w:r>
      <w:r>
        <w:rPr>
          <w:sz w:val="20"/>
        </w:rPr>
        <w:t>Durante la vigencia de una Declaratoria de Protección a la Seguridad Interior las autoridades de las entidades federativas, municipios y demarcaciones territoriales, en el marco de sus competencias y en los términos de esta Ley, asumirán las siguientes responsabilidades: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I.</w:t>
        <w:tab/>
      </w:r>
      <w:r>
        <w:rPr>
          <w:sz w:val="20"/>
        </w:rPr>
        <w:t>Atender de manera directa e indelegable las reuniones de coordinación a las que sean convocadas;</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w:t>
        <w:tab/>
      </w:r>
      <w:r>
        <w:rPr>
          <w:sz w:val="20"/>
        </w:rPr>
        <w:t>Aportar a la autoridad federal coordinadora toda la información que le sea solicitada o con que cuenten, que permita cumplir los fines de la Declaratoria;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III.</w:t>
        <w:tab/>
      </w:r>
      <w:r>
        <w:rPr>
          <w:sz w:val="20"/>
        </w:rPr>
        <w:t>Prestar el auxilio y colaboración que les solicite la autoridad federal coordinadora para atender la Amenaza a la Seguridad Interior;</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IV.</w:t>
        <w:tab/>
      </w:r>
      <w:r>
        <w:rPr>
          <w:sz w:val="20"/>
        </w:rPr>
        <w:t>Mantener el nivel de inversión en infraestructura, equipamiento y servicios públicos que resulten necesarios para mitigar el impacto de la Amenaza a la Seguridad Interior y superarla;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w:t>
        <w:tab/>
      </w:r>
      <w:r>
        <w:rPr>
          <w:sz w:val="20"/>
        </w:rPr>
        <w:t>Asegurar el cumplimiento de los requisitos de ingreso y permanencia de los integrantes de sus instituciones de seguridad pública en los términos de la Ley de la materia;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w:t>
        <w:tab/>
      </w:r>
      <w:r>
        <w:rPr>
          <w:sz w:val="20"/>
        </w:rPr>
        <w:t>Presentar los informes periódicos ante la autoridad federal coordinadora sobre el avance del programa de fortalecimiento de capacidades institucionales que se diseñe en el marco de la Declaratoria;</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b/>
          <w:sz w:val="20"/>
        </w:rPr>
      </w:pPr>
      <w:r>
        <w:rPr>
          <w:b/>
          <w:sz w:val="20"/>
        </w:rPr>
        <w:t>VII.</w:t>
        <w:tab/>
      </w:r>
      <w:r>
        <w:rPr>
          <w:sz w:val="20"/>
        </w:rPr>
        <w:t>Las que se establezcan conforme a la fracción IV del artículo 14 de esta Ley, y</w:t>
      </w:r>
    </w:p>
    <w:p>
      <w:pPr>
        <w:pStyle w:val="Texto"/>
        <w:spacing w:lineRule="auto" w:line="240" w:before="0" w:after="0"/>
        <w:ind w:hanging="576" w:start="864" w:end="0"/>
        <w:rPr>
          <w:b/>
          <w:sz w:val="20"/>
        </w:rPr>
      </w:pPr>
      <w:r>
        <w:rPr>
          <w:b/>
          <w:sz w:val="20"/>
        </w:rPr>
      </w:r>
    </w:p>
    <w:p>
      <w:pPr>
        <w:pStyle w:val="Texto"/>
        <w:spacing w:lineRule="auto" w:line="240" w:before="0" w:after="0"/>
        <w:ind w:hanging="576" w:start="864" w:end="0"/>
        <w:rPr/>
      </w:pPr>
      <w:r>
        <w:rPr>
          <w:b/>
          <w:sz w:val="20"/>
        </w:rPr>
        <w:t>VIII.</w:t>
        <w:tab/>
      </w:r>
      <w:r>
        <w:rPr>
          <w:sz w:val="20"/>
        </w:rPr>
        <w:t>En el caso de las entidades federativas, las que haya comprometido en los términos de la fracción V del artículo 13 de esta Ley.</w:t>
      </w:r>
    </w:p>
    <w:p>
      <w:pPr>
        <w:pStyle w:val="Texto"/>
        <w:spacing w:lineRule="auto" w:line="240" w:before="0" w:after="0"/>
        <w:rPr>
          <w:b/>
          <w:sz w:val="20"/>
        </w:rPr>
      </w:pPr>
      <w:r>
        <w:rPr>
          <w:b/>
          <w:sz w:val="20"/>
        </w:rPr>
      </w:r>
    </w:p>
    <w:p>
      <w:pPr>
        <w:pStyle w:val="Texto"/>
        <w:spacing w:lineRule="auto" w:line="240" w:before="0" w:after="0"/>
        <w:rPr/>
      </w:pPr>
      <w:bookmarkStart w:id="23" w:name="Artículo_24"/>
      <w:r>
        <w:rPr>
          <w:b/>
          <w:sz w:val="20"/>
        </w:rPr>
        <w:t>Artículo 24</w:t>
      </w:r>
      <w:bookmarkEnd w:id="23"/>
      <w:r>
        <w:rPr>
          <w:b/>
          <w:sz w:val="20"/>
        </w:rPr>
        <w:t xml:space="preserve">. </w:t>
      </w:r>
      <w:r>
        <w:rPr>
          <w:sz w:val="20"/>
        </w:rPr>
        <w:t>La Secretaría de Gobernación, en coordinación con los Gobiernos de las entidades federativas, destinará Fuerzas Federales para que realicen Acciones de Seguridad Interior, en aquellas áreas o zonas del territorio nacional que así lo requieran.</w:t>
      </w:r>
    </w:p>
    <w:p>
      <w:pPr>
        <w:pStyle w:val="Texto"/>
        <w:spacing w:lineRule="auto" w:line="240" w:before="0" w:after="0"/>
        <w:rPr>
          <w:b/>
          <w:sz w:val="20"/>
        </w:rPr>
      </w:pPr>
      <w:r>
        <w:rPr>
          <w:b/>
          <w:sz w:val="20"/>
        </w:rPr>
      </w:r>
    </w:p>
    <w:p>
      <w:pPr>
        <w:pStyle w:val="Texto"/>
        <w:spacing w:lineRule="auto" w:line="240" w:before="0" w:after="0"/>
        <w:rPr/>
      </w:pPr>
      <w:bookmarkStart w:id="24" w:name="Artículo_25"/>
      <w:r>
        <w:rPr>
          <w:b/>
          <w:sz w:val="20"/>
        </w:rPr>
        <w:t>Artículo 25</w:t>
      </w:r>
      <w:bookmarkEnd w:id="24"/>
      <w:r>
        <w:rPr>
          <w:b/>
          <w:sz w:val="20"/>
        </w:rPr>
        <w:t xml:space="preserve">. </w:t>
      </w:r>
      <w:r>
        <w:rPr>
          <w:sz w:val="20"/>
        </w:rPr>
        <w:t>Tratándose de fenómenos naturales perturbadores, la intervención de las autoridades federales, incluyendo a las Fuerzas Armadas, se sujetará a lo previsto en la Ley General de Protección Civil y, en su caso, a lo dispuesto en la presente Ley.</w:t>
      </w:r>
    </w:p>
    <w:p>
      <w:pPr>
        <w:pStyle w:val="Texto"/>
        <w:spacing w:lineRule="auto" w:line="240" w:before="0" w:after="0"/>
        <w:rPr>
          <w:b/>
          <w:sz w:val="20"/>
        </w:rPr>
      </w:pPr>
      <w:r>
        <w:rPr>
          <w:b/>
          <w:sz w:val="20"/>
        </w:rPr>
      </w:r>
    </w:p>
    <w:p>
      <w:pPr>
        <w:pStyle w:val="Texto"/>
        <w:spacing w:lineRule="auto" w:line="240" w:before="0" w:after="0"/>
        <w:rPr>
          <w:b/>
          <w:sz w:val="20"/>
        </w:rPr>
      </w:pPr>
      <w:bookmarkStart w:id="25" w:name="Artículo_26"/>
      <w:r>
        <w:rPr>
          <w:b/>
          <w:sz w:val="20"/>
        </w:rPr>
        <w:t>Artículo 26</w:t>
      </w:r>
      <w:bookmarkEnd w:id="25"/>
      <w:r>
        <w:rPr>
          <w:b/>
          <w:sz w:val="20"/>
        </w:rPr>
        <w:t xml:space="preserve">. </w:t>
      </w:r>
      <w:r>
        <w:rPr>
          <w:sz w:val="20"/>
        </w:rPr>
        <w:t>Las autoridades federales, incluidas las Fuerzas Armadas, en el ámbito de sus competencias de acuerdo con la Constitución y las leyes aplicables, llevarán a cabo las Acciones de Seguridad Interior que sean necesarias, pertinentes y eficaces para identificar, prevenir y atender riesgos en aquellas zonas o áreas geográficas del país, vías generales de comunicación e instalaciones estratégicas que lo requieran, así como para garantizar el cumplimiento del Programa de Seguridad Nacional y la Agenda Nacional de Riesgos.</w:t>
      </w:r>
    </w:p>
    <w:p>
      <w:pPr>
        <w:pStyle w:val="Texto"/>
        <w:spacing w:lineRule="auto" w:line="240" w:before="0" w:after="0"/>
        <w:rPr>
          <w:b/>
          <w:sz w:val="20"/>
        </w:rPr>
      </w:pPr>
      <w:r>
        <w:rPr>
          <w:b/>
          <w:sz w:val="20"/>
        </w:rPr>
      </w:r>
    </w:p>
    <w:p>
      <w:pPr>
        <w:pStyle w:val="Texto"/>
        <w:spacing w:lineRule="auto" w:line="240" w:before="0" w:after="0"/>
        <w:rPr>
          <w:sz w:val="20"/>
        </w:rPr>
      </w:pPr>
      <w:r>
        <w:rPr>
          <w:sz w:val="20"/>
        </w:rPr>
        <w:t>Las acciones que se realicen para identificar, prevenir y atender riesgos a la Seguridad Interior son de carácter permanente y no requieren de la emisión de una Declaratoria de Protección a la Seguridad Interior, pudiendo suscribirse los convenios que en su caso requieran.</w:t>
      </w:r>
    </w:p>
    <w:p>
      <w:pPr>
        <w:pStyle w:val="Texto"/>
        <w:spacing w:lineRule="auto" w:line="240" w:before="0" w:after="0"/>
        <w:rPr>
          <w:b/>
          <w:sz w:val="20"/>
        </w:rPr>
      </w:pPr>
      <w:r>
        <w:rPr>
          <w:b/>
          <w:sz w:val="20"/>
        </w:rPr>
      </w:r>
    </w:p>
    <w:p>
      <w:pPr>
        <w:pStyle w:val="Texto"/>
        <w:spacing w:lineRule="auto" w:line="240" w:before="0" w:after="0"/>
        <w:rPr/>
      </w:pPr>
      <w:bookmarkStart w:id="26" w:name="Artículo_27"/>
      <w:r>
        <w:rPr>
          <w:b/>
          <w:sz w:val="20"/>
        </w:rPr>
        <w:t>Artículo 27</w:t>
      </w:r>
      <w:bookmarkEnd w:id="26"/>
      <w:r>
        <w:rPr>
          <w:b/>
          <w:sz w:val="20"/>
        </w:rPr>
        <w:t xml:space="preserve">. </w:t>
      </w:r>
      <w:r>
        <w:rPr>
          <w:sz w:val="20"/>
        </w:rPr>
        <w:t>Cuando las Fuerzas Armadas realicen Acciones de Seguridad Interior y se percaten de la comisión de un delito, lo harán del inmediato conocimiento del Ministerio Público o de la policía por el medio más expedito para que intervengan en el ámbito de sus atribuciones, limitándose las Fuerzas Armadas a preservar el lugar de los hechos hasta el arribo de dichas autoridades y, en su caso, a adoptar las medidas a su alcance para que se brinde atención médica de urgencia a los heridos si los hubiere, así como poner a disposición de la autoridad correspondiente a los detenidos, por conducto o en coordinación con la policía.</w:t>
      </w:r>
    </w:p>
    <w:p>
      <w:pPr>
        <w:pStyle w:val="Texto"/>
        <w:spacing w:lineRule="auto" w:line="240" w:before="0" w:after="0"/>
        <w:rPr>
          <w:b/>
          <w:sz w:val="20"/>
        </w:rPr>
      </w:pPr>
      <w:r>
        <w:rPr>
          <w:b/>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Las Fuerzas Armadas realizarán las Acciones de Seguridad Interior con su organización, medios y adiestramiento, sin descuidar el fortalecimiento de sus capacidades.</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CUARTO</w:t>
      </w:r>
    </w:p>
    <w:p>
      <w:pPr>
        <w:pStyle w:val="Texto"/>
        <w:spacing w:lineRule="auto" w:line="240" w:before="0" w:after="0"/>
        <w:ind w:hanging="0" w:end="0"/>
        <w:jc w:val="center"/>
        <w:rPr>
          <w:b/>
          <w:sz w:val="22"/>
          <w:szCs w:val="22"/>
        </w:rPr>
      </w:pPr>
      <w:r>
        <w:rPr>
          <w:b/>
          <w:sz w:val="22"/>
          <w:szCs w:val="22"/>
        </w:rPr>
        <w:t>DE LA INTELIGENCIA PARA LA SEGURIDAD INTERIOR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28" w:name="Artículo_29"/>
      <w:r>
        <w:rPr>
          <w:b/>
          <w:sz w:val="20"/>
        </w:rPr>
        <w:t>Artículo 29</w:t>
      </w:r>
      <w:bookmarkEnd w:id="28"/>
      <w:r>
        <w:rPr>
          <w:b/>
          <w:sz w:val="20"/>
        </w:rPr>
        <w:t xml:space="preserve">. </w:t>
      </w:r>
      <w:r>
        <w:rPr>
          <w:sz w:val="20"/>
        </w:rPr>
        <w:t>Las Acciones de Seguridad Interior se apoyarán en los órganos, unidades y procesos de inteligencia previstos en las leyes respectivas.</w:t>
      </w:r>
    </w:p>
    <w:p>
      <w:pPr>
        <w:pStyle w:val="Texto"/>
        <w:spacing w:lineRule="auto" w:line="240" w:before="0" w:after="0"/>
        <w:rPr>
          <w:sz w:val="20"/>
        </w:rPr>
      </w:pPr>
      <w:r>
        <w:rPr>
          <w:sz w:val="20"/>
        </w:rPr>
      </w:r>
    </w:p>
    <w:p>
      <w:pPr>
        <w:pStyle w:val="Texto"/>
        <w:spacing w:lineRule="auto" w:line="240" w:before="0" w:after="0"/>
        <w:rPr/>
      </w:pPr>
      <w:bookmarkStart w:id="29" w:name="Artículo_30"/>
      <w:r>
        <w:rPr>
          <w:b/>
          <w:sz w:val="20"/>
        </w:rPr>
        <w:t>Artículo 30</w:t>
      </w:r>
      <w:bookmarkEnd w:id="29"/>
      <w:r>
        <w:rPr>
          <w:b/>
          <w:sz w:val="20"/>
        </w:rPr>
        <w:t xml:space="preserve">. </w:t>
      </w:r>
      <w:r>
        <w:rPr>
          <w:sz w:val="20"/>
        </w:rPr>
        <w:t>Las Fuerzas Federales y las Fuerzas Armadas desarrollarán actividades de inteligencia en materia de Seguridad Interior en los ámbitos de sus respectivas competencias. Al realizar tareas de inteligencia, las autoridades facultadas por esta Ley podrán hacer uso de cualquier método lícito de recolección de información.</w:t>
      </w:r>
    </w:p>
    <w:p>
      <w:pPr>
        <w:pStyle w:val="Texto"/>
        <w:spacing w:lineRule="auto" w:line="240" w:before="0" w:after="0"/>
        <w:rPr>
          <w:sz w:val="20"/>
        </w:rPr>
      </w:pPr>
      <w:r>
        <w:rPr>
          <w:sz w:val="20"/>
        </w:rPr>
      </w:r>
    </w:p>
    <w:p>
      <w:pPr>
        <w:pStyle w:val="Texto"/>
        <w:spacing w:lineRule="auto" w:line="240" w:before="0" w:after="0"/>
        <w:rPr>
          <w:sz w:val="20"/>
        </w:rPr>
      </w:pPr>
      <w:r>
        <w:rPr>
          <w:sz w:val="20"/>
        </w:rPr>
        <w:t>Toda obtención de información de inteligencia se realizará con pleno respeto a los derechos humanos reconocidos por la Constitución Política de los Estados Unidos Mexicanos.</w:t>
      </w:r>
    </w:p>
    <w:p>
      <w:pPr>
        <w:pStyle w:val="Texto"/>
        <w:spacing w:lineRule="auto" w:line="240" w:before="0" w:after="0"/>
        <w:rPr>
          <w:b/>
          <w:sz w:val="20"/>
        </w:rPr>
      </w:pPr>
      <w:r>
        <w:rPr>
          <w:b/>
          <w:sz w:val="20"/>
        </w:rPr>
      </w:r>
    </w:p>
    <w:p>
      <w:pPr>
        <w:pStyle w:val="Texto"/>
        <w:spacing w:lineRule="auto" w:line="240" w:before="0" w:after="0"/>
        <w:rPr/>
      </w:pPr>
      <w:bookmarkStart w:id="30" w:name="Artículo_31"/>
      <w:r>
        <w:rPr>
          <w:b/>
          <w:sz w:val="20"/>
        </w:rPr>
        <w:t>Artículo 31</w:t>
      </w:r>
      <w:bookmarkEnd w:id="30"/>
      <w:r>
        <w:rPr>
          <w:b/>
          <w:sz w:val="20"/>
        </w:rPr>
        <w:t xml:space="preserve">. </w:t>
      </w:r>
      <w:r>
        <w:rPr>
          <w:sz w:val="20"/>
        </w:rPr>
        <w:t>En materia de Seguridad Interior, las autoridades federales y los órganos autónomos deberán proporcionar la información que les requieran las autoridades que intervengan en los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las autoridades de las entidades federativas y de los municipios, la colaboración se llevará a cabo en términos de los esquemas de colaboración y coordinación establecidos o que al efecto se establezcan.</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QUINTO</w:t>
      </w:r>
    </w:p>
    <w:p>
      <w:pPr>
        <w:pStyle w:val="Texto"/>
        <w:spacing w:lineRule="auto" w:line="240" w:before="0" w:after="0"/>
        <w:ind w:hanging="0" w:end="0"/>
        <w:jc w:val="center"/>
        <w:rPr/>
      </w:pPr>
      <w:r>
        <w:rPr>
          <w:b/>
          <w:sz w:val="22"/>
          <w:szCs w:val="22"/>
        </w:rPr>
        <w:t>DEL CONTROL DE LAS ACCIONES EN MATERIA DE SEGURIDAD INTERIOR</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1" w:name="Artículo_32"/>
      <w:r>
        <w:rPr>
          <w:b/>
          <w:sz w:val="20"/>
        </w:rPr>
        <w:t>Artículo 32</w:t>
      </w:r>
      <w:bookmarkEnd w:id="31"/>
      <w:r>
        <w:rPr>
          <w:b/>
          <w:sz w:val="20"/>
        </w:rPr>
        <w:t>.</w:t>
      </w:r>
      <w:r>
        <w:rPr>
          <w:sz w:val="20"/>
        </w:rPr>
        <w:t xml:space="preserve"> El titular de la autoridad coordinadora de las Acciones de Seguridad Interior, mantendrá informado al Presidente de la República de las acciones realizadas, por conducto del titular de la Secretaría de Gobernación.</w:t>
      </w:r>
    </w:p>
    <w:p>
      <w:pPr>
        <w:pStyle w:val="Texto"/>
        <w:spacing w:lineRule="auto" w:line="240" w:before="0" w:after="0"/>
        <w:rPr>
          <w:b/>
          <w:sz w:val="20"/>
        </w:rPr>
      </w:pPr>
      <w:r>
        <w:rPr>
          <w:b/>
          <w:sz w:val="20"/>
        </w:rPr>
      </w:r>
    </w:p>
    <w:p>
      <w:pPr>
        <w:pStyle w:val="Texto"/>
        <w:spacing w:lineRule="auto" w:line="240" w:before="0" w:after="0"/>
        <w:rPr/>
      </w:pPr>
      <w:bookmarkStart w:id="32" w:name="Artículo_33"/>
      <w:r>
        <w:rPr>
          <w:b/>
          <w:sz w:val="20"/>
        </w:rPr>
        <w:t>Artículo 33</w:t>
      </w:r>
      <w:bookmarkEnd w:id="32"/>
      <w:r>
        <w:rPr>
          <w:b/>
          <w:sz w:val="20"/>
        </w:rPr>
        <w:t xml:space="preserve">. </w:t>
      </w:r>
      <w:r>
        <w:rPr>
          <w:sz w:val="20"/>
        </w:rPr>
        <w:t>El titular de la Secretaría de Gobernación remitirá un informe a la Comisión Bicamaral a que se refiere la Ley de Seguridad Nacional, sin perjuicio del ejercicio de las facultades de control previstas en dicha ley.</w:t>
      </w:r>
    </w:p>
    <w:p>
      <w:pPr>
        <w:pStyle w:val="Texto"/>
        <w:spacing w:lineRule="auto" w:line="240" w:before="0" w:after="0"/>
        <w:rPr>
          <w:sz w:val="20"/>
        </w:rPr>
      </w:pPr>
      <w:r>
        <w:rPr>
          <w:sz w:val="20"/>
        </w:rPr>
      </w:r>
    </w:p>
    <w:p>
      <w:pPr>
        <w:pStyle w:val="Texto"/>
        <w:spacing w:lineRule="auto" w:line="240" w:before="0" w:after="0"/>
        <w:ind w:hanging="0" w:end="0"/>
        <w:jc w:val="center"/>
        <w:rPr>
          <w:b/>
          <w:sz w:val="22"/>
          <w:szCs w:val="22"/>
        </w:rPr>
      </w:pPr>
      <w:r>
        <w:rPr>
          <w:b/>
          <w:sz w:val="22"/>
          <w:szCs w:val="22"/>
        </w:rPr>
        <w:t>CAPÍTULO SEXTO</w:t>
      </w:r>
    </w:p>
    <w:p>
      <w:pPr>
        <w:pStyle w:val="Texto"/>
        <w:spacing w:lineRule="auto" w:line="240" w:before="0" w:after="0"/>
        <w:ind w:hanging="0" w:end="0"/>
        <w:jc w:val="center"/>
        <w:rPr>
          <w:b/>
          <w:sz w:val="22"/>
          <w:szCs w:val="22"/>
        </w:rPr>
      </w:pPr>
      <w:r>
        <w:rPr>
          <w:b/>
          <w:sz w:val="22"/>
          <w:szCs w:val="22"/>
        </w:rPr>
        <w:t>DE LAS RESPONSABILIDADES</w:t>
      </w:r>
    </w:p>
    <w:p>
      <w:pPr>
        <w:pStyle w:val="Texto"/>
        <w:spacing w:lineRule="auto" w:line="240" w:before="0" w:after="0"/>
        <w:ind w:hanging="0" w:end="0"/>
        <w:jc w:val="center"/>
        <w:rPr>
          <w:b/>
          <w:sz w:val="20"/>
          <w:szCs w:val="22"/>
        </w:rPr>
      </w:pPr>
      <w:r>
        <w:rPr>
          <w:b/>
          <w:sz w:val="20"/>
          <w:szCs w:val="22"/>
        </w:rPr>
      </w:r>
    </w:p>
    <w:p>
      <w:pPr>
        <w:pStyle w:val="Texto"/>
        <w:spacing w:lineRule="auto" w:line="240" w:before="0" w:after="0"/>
        <w:rPr/>
      </w:pPr>
      <w:bookmarkStart w:id="33" w:name="Artículo_34"/>
      <w:r>
        <w:rPr>
          <w:b/>
          <w:sz w:val="20"/>
        </w:rPr>
        <w:t>Artículo 34</w:t>
      </w:r>
      <w:bookmarkEnd w:id="33"/>
      <w:r>
        <w:rPr>
          <w:b/>
          <w:sz w:val="20"/>
        </w:rPr>
        <w:t xml:space="preserve">. </w:t>
      </w:r>
      <w:r>
        <w:rPr>
          <w:sz w:val="20"/>
        </w:rPr>
        <w:t>El incumplimiento a las obligaciones previstas en esta Ley y en la Declaratoria respectiva, será sancionado en los términos del Sistema de Responsabilidades y del Sistema Nacional Anticorrupción contemplados en los artículos 109 y 113 de la Constitución Política de los Estados Unidos Mexicanos.</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bookmarkStart w:id="34" w:name="TRANSITORIOS"/>
      <w:r>
        <w:rPr>
          <w:rFonts w:cs="Arial" w:ascii="Arial" w:hAnsi="Arial"/>
          <w:sz w:val="22"/>
          <w:szCs w:val="22"/>
        </w:rPr>
        <w:t>Transitorios</w:t>
      </w:r>
      <w:bookmarkEnd w:id="34"/>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35" w:name="Artículo_Primero"/>
      <w:r>
        <w:rPr>
          <w:b/>
          <w:sz w:val="20"/>
        </w:rPr>
        <w:t>Artículo Primero</w:t>
      </w:r>
      <w:bookmarkEnd w:id="35"/>
      <w:r>
        <w:rPr>
          <w:b/>
          <w:sz w:val="20"/>
        </w:rPr>
        <w:t xml:space="preserve">. </w:t>
      </w:r>
      <w:r>
        <w:rPr>
          <w:sz w:val="20"/>
        </w:rPr>
        <w:t>La presente Ley entrará en vigor al día siguiente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sz w:val="20"/>
        </w:rPr>
      </w:pPr>
      <w:bookmarkStart w:id="36" w:name="Artículo_Segundo"/>
      <w:r>
        <w:rPr>
          <w:b/>
          <w:sz w:val="20"/>
        </w:rPr>
        <w:t>Artículo Segundo</w:t>
      </w:r>
      <w:bookmarkEnd w:id="36"/>
      <w:r>
        <w:rPr>
          <w:b/>
          <w:sz w:val="20"/>
        </w:rPr>
        <w:t xml:space="preserve">. </w:t>
      </w:r>
      <w:r>
        <w:rPr>
          <w:sz w:val="20"/>
        </w:rPr>
        <w:t>Las erogaciones que se generen con motivo de la entrada en vigor del presente Decreto para las dependencias y entidades de la Administración Pública Federal, se cubrirán con cargo a su presupuesto aprobado para el presente ejercicio fiscal y los subsecuentes; y en su caso con los recursos que aporten las entidades federativas y municipios afectados.</w:t>
      </w:r>
    </w:p>
    <w:p>
      <w:pPr>
        <w:pStyle w:val="Texto"/>
        <w:spacing w:lineRule="auto" w:line="240" w:before="0" w:after="0"/>
        <w:rPr>
          <w:b/>
          <w:sz w:val="20"/>
        </w:rPr>
      </w:pPr>
      <w:r>
        <w:rPr>
          <w:b/>
          <w:sz w:val="20"/>
        </w:rPr>
      </w:r>
    </w:p>
    <w:p>
      <w:pPr>
        <w:pStyle w:val="Texto"/>
        <w:spacing w:lineRule="auto" w:line="240" w:before="0" w:after="0"/>
        <w:rPr>
          <w:sz w:val="20"/>
        </w:rPr>
      </w:pPr>
      <w:r>
        <w:rPr>
          <w:sz w:val="20"/>
        </w:rPr>
        <w:t>Asimismo, las entidades federativas darán cumplimiento a las obligaciones establecidas en este Decreto, con cargo a sus respectivos presupuestos.</w:t>
      </w:r>
    </w:p>
    <w:p>
      <w:pPr>
        <w:pStyle w:val="Texto"/>
        <w:spacing w:lineRule="auto" w:line="240" w:before="0" w:after="0"/>
        <w:rPr>
          <w:b/>
          <w:sz w:val="20"/>
        </w:rPr>
      </w:pPr>
      <w:r>
        <w:rPr>
          <w:b/>
          <w:sz w:val="20"/>
        </w:rPr>
      </w:r>
    </w:p>
    <w:p>
      <w:pPr>
        <w:pStyle w:val="Texto"/>
        <w:spacing w:lineRule="auto" w:line="240" w:before="0" w:after="0"/>
        <w:rPr/>
      </w:pPr>
      <w:bookmarkStart w:id="37" w:name="Artículo_Tercero"/>
      <w:r>
        <w:rPr>
          <w:b/>
          <w:sz w:val="20"/>
        </w:rPr>
        <w:t>Artículo Tercero</w:t>
      </w:r>
      <w:bookmarkEnd w:id="37"/>
      <w:r>
        <w:rPr>
          <w:b/>
          <w:sz w:val="20"/>
        </w:rPr>
        <w:t>.</w:t>
      </w:r>
      <w:r>
        <w:rPr>
          <w:sz w:val="20"/>
        </w:rPr>
        <w:t xml:space="preserve"> Se derogan todas las disposiciones que se opongan al presente Decreto.</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8" w:name="Artículo_Cuarto"/>
      <w:r>
        <w:rPr>
          <w:b/>
          <w:sz w:val="20"/>
          <w:lang w:val="es-ES_tradnl"/>
        </w:rPr>
        <w:t>Artículo Cuarto</w:t>
      </w:r>
      <w:bookmarkEnd w:id="38"/>
      <w:r>
        <w:rPr>
          <w:b/>
          <w:sz w:val="20"/>
          <w:lang w:val="es-ES_tradnl"/>
        </w:rPr>
        <w:t xml:space="preserve">. </w:t>
      </w:r>
      <w:r>
        <w:rPr>
          <w:sz w:val="20"/>
          <w:lang w:val="es-ES_tradnl"/>
        </w:rPr>
        <w:t>Si a la entrada en vigor de la presente Ley existen situaciones en las que se surten las hipótesis contenidas en el artículo 11, se aplicará el procedimiento ahí previsto, sin perjuicio de que en tanto se materializa el mismo, las autoridades federales, incluyendo las Fuerzas Armadas, continúen realizando</w:t>
      </w:r>
      <w:r>
        <w:rPr>
          <w:b/>
          <w:sz w:val="20"/>
          <w:lang w:val="es-ES_tradnl"/>
        </w:rPr>
        <w:t xml:space="preserve"> </w:t>
      </w:r>
      <w:r>
        <w:rPr>
          <w:sz w:val="20"/>
          <w:lang w:val="es-ES_tradnl"/>
        </w:rPr>
        <w:t>las acciones que estén llevando a cabo para atenderlas. Las que no requieran Declaratoria se continuarán rigiendo conforme a los instrumentos que les dieron origen.</w:t>
      </w:r>
    </w:p>
    <w:p>
      <w:pPr>
        <w:pStyle w:val="Texto"/>
        <w:spacing w:lineRule="auto" w:line="240" w:before="0" w:after="0"/>
        <w:rPr>
          <w:b/>
          <w:sz w:val="20"/>
          <w:lang w:val="es-ES_tradnl"/>
        </w:rPr>
      </w:pPr>
      <w:r>
        <w:rPr>
          <w:b/>
          <w:sz w:val="20"/>
          <w:lang w:val="es-ES_tradnl"/>
        </w:rPr>
      </w:r>
    </w:p>
    <w:p>
      <w:pPr>
        <w:pStyle w:val="Texto"/>
        <w:spacing w:lineRule="auto" w:line="240" w:before="0" w:after="0"/>
        <w:rPr/>
      </w:pPr>
      <w:bookmarkStart w:id="39" w:name="Artículo_Quinto"/>
      <w:r>
        <w:rPr>
          <w:b/>
          <w:sz w:val="20"/>
        </w:rPr>
        <w:t>Artículo Quinto</w:t>
      </w:r>
      <w:bookmarkEnd w:id="39"/>
      <w:r>
        <w:rPr>
          <w:b/>
          <w:sz w:val="20"/>
        </w:rPr>
        <w:t>.</w:t>
      </w:r>
      <w:r>
        <w:rPr>
          <w:sz w:val="20"/>
        </w:rPr>
        <w:t xml:space="preserve"> Dentro de los 180 días siguientes a la entrada en vigor de esta Ley, las entidades federativas, municipios y demarcaciones territoriales en los que se estuvieren realizando acciones que puedan ser materia de una declaratoria de protección en términos de la misma, a efecto de solicitar la declaratoria correspondiente, deberán, en el ámbito de sus atribuciones, presentar un programa con plazos, acciones y presupuesto para dar cumplimiento al modelo de función policial aprobado por el Consejo Nacional de Seguridad Pública, el cual incluya los objetivos respecto al estado de fuerza mínimo requerido, las condiciones de desarrollo policial, así como protocolos, evaluaciones y las unidades operativas y de formación necesarias para el fortalecimiento de las instituciones de seguridad.</w:t>
      </w:r>
    </w:p>
    <w:p>
      <w:pPr>
        <w:pStyle w:val="Texto"/>
        <w:spacing w:lineRule="auto" w:line="240" w:before="0" w:after="0"/>
        <w:rPr>
          <w:sz w:val="20"/>
        </w:rPr>
      </w:pPr>
      <w:r>
        <w:rPr>
          <w:sz w:val="20"/>
        </w:rPr>
      </w:r>
    </w:p>
    <w:p>
      <w:pPr>
        <w:pStyle w:val="Texto"/>
        <w:spacing w:lineRule="auto" w:line="240" w:before="0" w:after="0"/>
        <w:rPr>
          <w:sz w:val="20"/>
        </w:rPr>
      </w:pPr>
      <w:r>
        <w:rPr>
          <w:sz w:val="20"/>
        </w:rPr>
        <w:t>El Secretariado Ejecutivo del Sistema Nacional de Seguridad Pública, en un plazo de 90 días, contados a partir de que las entidades federativas, municipios o demarcaciones territoriales, según corresponda, acrediten la presentación del programa señalado en el párrafo anterior, deberá emitir el dictamen correspondiente, mismo que le será entregado al solicitante.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 xml:space="preserve">Ciudad de México, a 14 de diciembre de 2017.- Sen. </w:t>
      </w:r>
      <w:r>
        <w:rPr>
          <w:b/>
          <w:sz w:val="20"/>
          <w:lang w:val="es-MX"/>
        </w:rPr>
        <w:t>Ernesto Cordero Arroyo</w:t>
      </w:r>
      <w:r>
        <w:rPr>
          <w:sz w:val="20"/>
          <w:lang w:val="es-MX"/>
        </w:rPr>
        <w:t xml:space="preserve">, Presidente.- Dip. </w:t>
      </w:r>
      <w:r>
        <w:rPr>
          <w:b/>
          <w:sz w:val="20"/>
          <w:lang w:val="es-MX"/>
        </w:rPr>
        <w:t>Jorge Carlos Ramírez Marín</w:t>
      </w:r>
      <w:r>
        <w:rPr>
          <w:sz w:val="20"/>
          <w:lang w:val="es-MX"/>
        </w:rPr>
        <w:t xml:space="preserve">, Presidente.- Sen. </w:t>
      </w:r>
      <w:r>
        <w:rPr>
          <w:b/>
          <w:sz w:val="20"/>
          <w:lang w:val="es-MX"/>
        </w:rPr>
        <w:t>Rosa Adriana Díaz Lizama</w:t>
      </w:r>
      <w:r>
        <w:rPr>
          <w:sz w:val="20"/>
          <w:lang w:val="es-MX"/>
        </w:rPr>
        <w:t xml:space="preserve">, Secretaria.- Dip. </w:t>
      </w:r>
      <w:r>
        <w:rPr>
          <w:b/>
          <w:sz w:val="20"/>
          <w:lang w:val="es-MX"/>
        </w:rPr>
        <w:t>Marco Antonio Aguilar Yunes</w:t>
      </w:r>
      <w:r>
        <w:rPr>
          <w:sz w:val="20"/>
          <w:lang w:val="es-MX"/>
        </w:rPr>
        <w:t>, Secretario.-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veintiuno de diciembre de dos mil diecisiete.-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center"/>
        <w:rPr>
          <w:rFonts w:ascii="Tahoma" w:hAnsi="Tahoma" w:eastAsia="MS Mincho;ＭＳ 明朝" w:cs="Tahoma"/>
          <w:b/>
          <w:bCs/>
          <w:color w:val="008000"/>
          <w:sz w:val="22"/>
          <w:szCs w:val="22"/>
        </w:rPr>
      </w:pPr>
      <w:bookmarkStart w:id="40" w:name="RESOLUTIVOS_DE_SENTENCIA_SCJN"/>
      <w:r>
        <w:rPr>
          <w:rFonts w:eastAsia="MS Mincho;ＭＳ 明朝" w:cs="Tahoma" w:ascii="Tahoma" w:hAnsi="Tahoma"/>
          <w:b/>
          <w:bCs/>
          <w:color w:val="008000"/>
          <w:sz w:val="22"/>
          <w:szCs w:val="22"/>
        </w:rPr>
        <w:t>RESOLUTIVOS DE SENTENCIA EN ACCIÓN DE INCONSTITUCIONALIDAD</w:t>
      </w:r>
      <w:bookmarkEnd w:id="40"/>
    </w:p>
    <w:p>
      <w:pPr>
        <w:pStyle w:val="Textosinformato"/>
        <w:jc w:val="both"/>
        <w:rPr>
          <w:rFonts w:ascii="Arial" w:hAnsi="Arial" w:eastAsia="MS Mincho;ＭＳ 明朝" w:cs="Arial"/>
          <w:b/>
          <w:bCs/>
          <w:color w:val="008000"/>
          <w:sz w:val="22"/>
          <w:szCs w:val="22"/>
        </w:rPr>
      </w:pPr>
      <w:r>
        <w:rPr>
          <w:rFonts w:eastAsia="MS Mincho;ＭＳ 明朝" w:cs="Arial" w:ascii="Arial" w:hAnsi="Arial"/>
          <w:b/>
          <w:bCs/>
          <w:color w:val="008000"/>
          <w:sz w:val="22"/>
          <w:szCs w:val="22"/>
        </w:rPr>
      </w:r>
    </w:p>
    <w:p>
      <w:pPr>
        <w:pStyle w:val="Normal"/>
        <w:autoSpaceDE w:val="false"/>
        <w:jc w:val="both"/>
        <w:rPr>
          <w:rFonts w:ascii="Arial" w:hAnsi="Arial" w:cs="Arial"/>
          <w:b/>
          <w:sz w:val="22"/>
          <w:szCs w:val="22"/>
          <w:lang w:eastAsia="es-MX"/>
        </w:rPr>
      </w:pPr>
      <w:r>
        <w:rPr>
          <w:rFonts w:cs="Arial" w:ascii="Arial" w:hAnsi="Arial"/>
          <w:b/>
          <w:sz w:val="22"/>
          <w:szCs w:val="22"/>
        </w:rPr>
        <w:t xml:space="preserve">OFICIO SGA/MOKM/280/2018 del Secretario General de Acuerdos de la Suprema Corte de Justicia de la Nación, que contiene la transcripción de los puntos resolutivos de la sentencia dictada en la Acción de Inconstitucionalidad 6/2018 y sus acumuladas 8/2018, 9/2018, 10/2018, 11/2018, 16/2018 y 21/2018, promovidas, respectivamente, por diversos diputados integrantes de la </w:t>
      </w:r>
      <w:r>
        <w:rPr>
          <w:rFonts w:cs="Arial" w:ascii="Arial" w:hAnsi="Arial"/>
          <w:b/>
          <w:sz w:val="22"/>
          <w:szCs w:val="22"/>
          <w:lang w:eastAsia="es-MX"/>
        </w:rPr>
        <w:t xml:space="preserve">Sexagésima Tercera </w:t>
      </w:r>
      <w:r>
        <w:rPr>
          <w:rFonts w:cs="Arial" w:ascii="Arial" w:hAnsi="Arial"/>
          <w:b/>
          <w:sz w:val="22"/>
          <w:szCs w:val="22"/>
        </w:rPr>
        <w:t>Legislatura de la Cámara de Diputados del Congreso de la Unión, diversos senadores integrantes de la LXIII Legislatura del Senado de la República, el Instituto Nacional de Transparencia, Acceso a la Información y Protección de Datos Personales, el Partido Político Movimiento Ciudadano, la Comisión Nacional de los Derechos Humanos, la Defensoría de los Derechos Humanos del Estado de Querétaro y la Comisión Estatal de Derechos Humanos del Estado de Jalisco.</w:t>
      </w:r>
    </w:p>
    <w:p>
      <w:pPr>
        <w:pStyle w:val="Normal"/>
        <w:rPr>
          <w:rFonts w:ascii="Arial" w:hAnsi="Arial" w:cs="Arial"/>
          <w:b/>
          <w:sz w:val="20"/>
          <w:szCs w:val="20"/>
          <w:lang w:eastAsia="es-MX"/>
        </w:rPr>
      </w:pPr>
      <w:r>
        <w:rPr>
          <w:rFonts w:cs="Arial" w:ascii="Arial" w:hAnsi="Arial"/>
          <w:b/>
          <w:sz w:val="20"/>
          <w:szCs w:val="20"/>
          <w:lang w:eastAsia="es-MX"/>
        </w:rPr>
      </w:r>
    </w:p>
    <w:p>
      <w:pPr>
        <w:pStyle w:val="Normal"/>
        <w:jc w:val="center"/>
        <w:rPr>
          <w:rFonts w:ascii="Arial" w:hAnsi="Arial" w:cs="Arial"/>
          <w:sz w:val="16"/>
          <w:szCs w:val="16"/>
          <w:lang w:eastAsia="es-MX"/>
        </w:rPr>
      </w:pPr>
      <w:r>
        <w:rPr>
          <w:rFonts w:cs="Arial" w:ascii="Arial" w:hAnsi="Arial"/>
          <w:sz w:val="16"/>
          <w:szCs w:val="16"/>
          <w:lang w:eastAsia="es-MX"/>
        </w:rPr>
        <w:t>Notificado al Congreso de la Unión para surtir sus efectos jurídicos el 15 de noviembre de 2018</w:t>
      </w:r>
    </w:p>
    <w:p>
      <w:pPr>
        <w:pStyle w:val="Normal"/>
        <w:rPr>
          <w:rFonts w:ascii="Arial" w:hAnsi="Arial" w:cs="Arial"/>
          <w:sz w:val="20"/>
          <w:szCs w:val="20"/>
          <w:lang w:eastAsia="es-MX"/>
        </w:rPr>
      </w:pPr>
      <w:r>
        <w:rPr>
          <w:rFonts w:cs="Arial" w:ascii="Arial" w:hAnsi="Arial"/>
          <w:sz w:val="20"/>
          <w:szCs w:val="20"/>
          <w:lang w:eastAsia="es-MX"/>
        </w:rPr>
      </w:r>
    </w:p>
    <w:p>
      <w:pPr>
        <w:pStyle w:val="Normal"/>
        <w:jc w:val="end"/>
        <w:rPr>
          <w:rFonts w:ascii="Arial" w:hAnsi="Arial" w:cs="Arial"/>
          <w:b/>
          <w:sz w:val="20"/>
          <w:szCs w:val="20"/>
        </w:rPr>
      </w:pPr>
      <w:r>
        <w:rPr>
          <w:rFonts w:cs="Arial" w:ascii="Arial" w:hAnsi="Arial"/>
          <w:b/>
          <w:sz w:val="20"/>
          <w:szCs w:val="20"/>
        </w:rPr>
        <w:t>SECRETARÍA GENERAL DE ACUERDOS</w:t>
      </w:r>
    </w:p>
    <w:p>
      <w:pPr>
        <w:pStyle w:val="Normal"/>
        <w:jc w:val="end"/>
        <w:rPr>
          <w:rFonts w:ascii="Arial" w:hAnsi="Arial" w:cs="Arial"/>
          <w:b/>
          <w:sz w:val="20"/>
          <w:szCs w:val="20"/>
        </w:rPr>
      </w:pPr>
      <w:r>
        <w:rPr>
          <w:rFonts w:cs="Arial" w:ascii="Arial" w:hAnsi="Arial"/>
          <w:b/>
          <w:sz w:val="20"/>
          <w:szCs w:val="20"/>
        </w:rPr>
        <w:t>OFICIO NÚM. SGA/MOKM/280/2018</w:t>
      </w:r>
    </w:p>
    <w:p>
      <w:pPr>
        <w:pStyle w:val="Normal"/>
        <w:rPr>
          <w:rFonts w:ascii="Arial" w:hAnsi="Arial" w:cs="Arial"/>
          <w:b/>
          <w:sz w:val="20"/>
          <w:szCs w:val="20"/>
        </w:rPr>
      </w:pPr>
      <w:r>
        <w:rPr>
          <w:rFonts w:cs="Arial" w:ascii="Arial" w:hAnsi="Arial"/>
          <w:b/>
          <w:sz w:val="20"/>
          <w:szCs w:val="20"/>
        </w:rPr>
      </w:r>
    </w:p>
    <w:p>
      <w:pPr>
        <w:pStyle w:val="Normal"/>
        <w:rPr>
          <w:rFonts w:ascii="Arial" w:hAnsi="Arial" w:cs="Arial"/>
          <w:b/>
          <w:sz w:val="20"/>
          <w:szCs w:val="20"/>
        </w:rPr>
      </w:pPr>
      <w:r>
        <w:rPr>
          <w:rFonts w:cs="Arial" w:ascii="Arial" w:hAnsi="Arial"/>
          <w:b/>
          <w:sz w:val="20"/>
          <w:szCs w:val="20"/>
        </w:rPr>
        <w:t>LICENCIADA LETICIA GUZMÁN MIRANDA</w:t>
      </w:r>
    </w:p>
    <w:p>
      <w:pPr>
        <w:pStyle w:val="Normal"/>
        <w:rPr>
          <w:rFonts w:ascii="Arial" w:hAnsi="Arial" w:cs="Arial"/>
          <w:b/>
          <w:sz w:val="20"/>
          <w:szCs w:val="20"/>
        </w:rPr>
      </w:pPr>
      <w:r>
        <w:rPr>
          <w:rFonts w:cs="Arial" w:ascii="Arial" w:hAnsi="Arial"/>
          <w:b/>
          <w:sz w:val="20"/>
          <w:szCs w:val="20"/>
        </w:rPr>
        <w:t>SECRETARIA DE LA SECCIÓN DE TRÁMITE</w:t>
      </w:r>
    </w:p>
    <w:p>
      <w:pPr>
        <w:pStyle w:val="Normal"/>
        <w:rPr/>
      </w:pPr>
      <w:r>
        <w:rPr>
          <w:rFonts w:cs="Arial" w:ascii="Arial" w:hAnsi="Arial"/>
          <w:b/>
          <w:sz w:val="20"/>
          <w:szCs w:val="20"/>
        </w:rPr>
        <w:t>DE CONTROVERSIAS CONSTITUCIONALES Y</w:t>
      </w:r>
    </w:p>
    <w:p>
      <w:pPr>
        <w:pStyle w:val="Normal"/>
        <w:rPr/>
      </w:pPr>
      <w:r>
        <w:rPr>
          <w:rFonts w:cs="Arial" w:ascii="Arial" w:hAnsi="Arial"/>
          <w:b/>
          <w:sz w:val="20"/>
          <w:szCs w:val="20"/>
        </w:rPr>
        <w:t>DE ACCIONES DE INCONSTITUCIONALIDAD DE LA</w:t>
      </w:r>
    </w:p>
    <w:p>
      <w:pPr>
        <w:pStyle w:val="Normal"/>
        <w:rPr>
          <w:rFonts w:ascii="Arial" w:hAnsi="Arial" w:cs="Arial"/>
          <w:b/>
          <w:sz w:val="20"/>
          <w:szCs w:val="20"/>
        </w:rPr>
      </w:pPr>
      <w:r>
        <w:rPr>
          <w:rFonts w:cs="Arial" w:ascii="Arial" w:hAnsi="Arial"/>
          <w:b/>
          <w:sz w:val="20"/>
          <w:szCs w:val="20"/>
        </w:rPr>
        <w:t>SUPREMA CORTE DE JUSTICIA DE LA NACIÓN</w:t>
      </w:r>
    </w:p>
    <w:p>
      <w:pPr>
        <w:pStyle w:val="Normal"/>
        <w:rPr>
          <w:rFonts w:ascii="Arial" w:hAnsi="Arial" w:cs="Arial"/>
          <w:b/>
          <w:sz w:val="20"/>
          <w:szCs w:val="20"/>
        </w:rPr>
      </w:pPr>
      <w:r>
        <w:rPr>
          <w:rFonts w:cs="Arial" w:ascii="Arial" w:hAnsi="Arial"/>
          <w:b/>
          <w:sz w:val="20"/>
          <w:szCs w:val="20"/>
        </w:rPr>
        <w:t>P R E S E N T E</w:t>
      </w:r>
    </w:p>
    <w:p>
      <w:pPr>
        <w:pStyle w:val="Normal"/>
        <w:ind w:firstLine="289" w:end="0"/>
        <w:rPr>
          <w:rFonts w:ascii="Arial" w:hAnsi="Arial" w:cs="Arial"/>
          <w:b/>
          <w:sz w:val="20"/>
          <w:szCs w:val="20"/>
        </w:rPr>
      </w:pPr>
      <w:r>
        <w:rPr>
          <w:rFonts w:cs="Arial" w:ascii="Arial" w:hAnsi="Arial"/>
          <w:b/>
          <w:sz w:val="20"/>
          <w:szCs w:val="20"/>
        </w:rPr>
      </w:r>
    </w:p>
    <w:p>
      <w:pPr>
        <w:pStyle w:val="Normal"/>
        <w:ind w:firstLine="289" w:end="0"/>
        <w:jc w:val="both"/>
        <w:rPr/>
      </w:pPr>
      <w:r>
        <w:rPr>
          <w:rFonts w:cs="Arial" w:ascii="Arial" w:hAnsi="Arial"/>
          <w:sz w:val="20"/>
          <w:szCs w:val="20"/>
        </w:rPr>
        <w:t xml:space="preserve">El Tribunal Pleno, en su sesión celebrada el quince de noviembre de 2018, resolvió la acción de Inconstitucionalidad 6/2018 y sus acumuladas 8/2018, 9/2018, 10/2018, 11/2018, 16/2018 y 21/2018, promovidas, respectivamente, por diversos diputados integrantes de la </w:t>
      </w:r>
      <w:r>
        <w:rPr>
          <w:rFonts w:cs="Arial" w:ascii="Arial" w:hAnsi="Arial"/>
          <w:sz w:val="20"/>
          <w:szCs w:val="20"/>
          <w:lang w:eastAsia="es-MX"/>
        </w:rPr>
        <w:t xml:space="preserve">Sexagésima Tercera </w:t>
      </w:r>
      <w:r>
        <w:rPr>
          <w:rFonts w:cs="Arial" w:ascii="Arial" w:hAnsi="Arial"/>
          <w:sz w:val="20"/>
          <w:szCs w:val="20"/>
        </w:rPr>
        <w:t>Legislatura de la Cámara de Diputados del Congreso de la Unión, diversos senadores integrantes de la LXIII Legislatura del Senado de la República, el Instituto Nacional de Transparencia, Acceso a la Información y Protección de Datos Personales, el Partido Político Movimiento Ciudadano, la Comisión Nacional de los Derechos Humanos, la Defensoría de los Derechos Humanos del Estado de Querétaro y la Comisión Estatal de Derechos Humanos del Estado de Jalisco, en los siguientes términos:</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i/>
          <w:sz w:val="20"/>
          <w:szCs w:val="20"/>
        </w:rPr>
        <w:t>“</w:t>
      </w:r>
      <w:r>
        <w:rPr>
          <w:rFonts w:cs="Arial" w:ascii="Arial" w:hAnsi="Arial"/>
          <w:b/>
          <w:i/>
          <w:sz w:val="20"/>
          <w:szCs w:val="20"/>
        </w:rPr>
        <w:t>PRIMERO.</w:t>
      </w:r>
      <w:r>
        <w:rPr>
          <w:rFonts w:cs="Arial" w:ascii="Arial" w:hAnsi="Arial"/>
          <w:i/>
          <w:sz w:val="20"/>
          <w:szCs w:val="20"/>
        </w:rPr>
        <w:t xml:space="preserve"> Son procedentes y fundadas las acciones de inconstitucionalidad 6/2018 y sus acumuladas 8/2018 y 11/2018 promovidas, respectivamente, por diversos diputados integrantes de la </w:t>
      </w:r>
      <w:r>
        <w:rPr>
          <w:rFonts w:cs="Arial" w:ascii="Arial" w:hAnsi="Arial"/>
          <w:i/>
          <w:sz w:val="20"/>
          <w:szCs w:val="20"/>
          <w:lang w:eastAsia="es-MX"/>
        </w:rPr>
        <w:t xml:space="preserve">Sexagésima Tercera </w:t>
      </w:r>
      <w:r>
        <w:rPr>
          <w:rFonts w:cs="Arial" w:ascii="Arial" w:hAnsi="Arial"/>
          <w:i/>
          <w:sz w:val="20"/>
          <w:szCs w:val="20"/>
        </w:rPr>
        <w:t>Legislatura de la Cámara de Diputados del Congreso de la Unión, diversos senadores integrantes de la LXIII Legislatura del Senado de la República y la Comisión Nacional de los Derechos Humanos.</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b/>
          <w:i/>
          <w:sz w:val="20"/>
          <w:szCs w:val="20"/>
        </w:rPr>
        <w:t>SEGUNDO.</w:t>
      </w:r>
      <w:r>
        <w:rPr>
          <w:rFonts w:cs="Arial" w:ascii="Arial" w:hAnsi="Arial"/>
          <w:i/>
          <w:sz w:val="20"/>
          <w:szCs w:val="20"/>
        </w:rPr>
        <w:t xml:space="preserve"> Es parcialmente procedente y fundada la acción de inconstitucionalidad 9/2018, promovida por el Instituto Nacional de Transparencia, Acceso a la Información y Protección de Datos Personales.</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b/>
          <w:i/>
          <w:sz w:val="20"/>
          <w:szCs w:val="20"/>
        </w:rPr>
        <w:t>TERCERO.</w:t>
      </w:r>
      <w:r>
        <w:rPr>
          <w:rFonts w:cs="Arial" w:ascii="Arial" w:hAnsi="Arial"/>
          <w:i/>
          <w:sz w:val="20"/>
          <w:szCs w:val="20"/>
        </w:rPr>
        <w:t xml:space="preserve"> Se sobresee la acción de inconstitucionalidad 10/2018, promovida por el Partido Político Movimiento Ciudadano, en los términos precisados en el considerando cuarto de este fallo.</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b/>
          <w:i/>
          <w:sz w:val="20"/>
          <w:szCs w:val="20"/>
        </w:rPr>
        <w:t>CUARTO.</w:t>
      </w:r>
      <w:r>
        <w:rPr>
          <w:rFonts w:cs="Arial" w:ascii="Arial" w:hAnsi="Arial"/>
          <w:i/>
          <w:sz w:val="20"/>
          <w:szCs w:val="20"/>
        </w:rPr>
        <w:t xml:space="preserve"> Se declara la invalidez del Decreto por el que se expide la Ley de Seguridad Interior, publicado en el Diario Oficial de la Federación el veintiuno de diciembre de dos mil diecisiete.</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b/>
          <w:i/>
          <w:sz w:val="20"/>
          <w:szCs w:val="20"/>
        </w:rPr>
        <w:t>QUINTO.</w:t>
      </w:r>
      <w:r>
        <w:rPr>
          <w:rFonts w:cs="Arial" w:ascii="Arial" w:hAnsi="Arial"/>
          <w:i/>
          <w:sz w:val="20"/>
          <w:szCs w:val="20"/>
        </w:rPr>
        <w:t xml:space="preserve"> La declaración de invalidez decretada en este fallo surtirá sus efectos a partir de la notificación de los puntos resolutivos de esta sentencia al Congreso de la Unión.</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b/>
          <w:i/>
          <w:sz w:val="20"/>
          <w:szCs w:val="20"/>
        </w:rPr>
        <w:t>SEXTO.</w:t>
      </w:r>
      <w:r>
        <w:rPr>
          <w:rFonts w:cs="Arial" w:ascii="Arial" w:hAnsi="Arial"/>
          <w:i/>
          <w:sz w:val="20"/>
          <w:szCs w:val="20"/>
        </w:rPr>
        <w:t xml:space="preserve"> Publíquese esta sentencia en el Diario Oficial de la Federación, así como en el Semanario Judicial de la Federación y su Gaceta.”</w:t>
      </w:r>
    </w:p>
    <w:p>
      <w:pPr>
        <w:pStyle w:val="Normal"/>
        <w:ind w:firstLine="289" w:end="0"/>
        <w:jc w:val="both"/>
        <w:rPr>
          <w:rFonts w:ascii="Arial" w:hAnsi="Arial" w:cs="Arial"/>
          <w:i/>
          <w:i/>
          <w:sz w:val="20"/>
          <w:szCs w:val="20"/>
        </w:rPr>
      </w:pPr>
      <w:r>
        <w:rPr>
          <w:rFonts w:cs="Arial" w:ascii="Arial" w:hAnsi="Arial"/>
          <w:i/>
          <w:sz w:val="20"/>
          <w:szCs w:val="20"/>
        </w:rPr>
      </w:r>
    </w:p>
    <w:p>
      <w:pPr>
        <w:pStyle w:val="Normal"/>
        <w:ind w:firstLine="289" w:end="0"/>
        <w:jc w:val="both"/>
        <w:rPr/>
      </w:pPr>
      <w:r>
        <w:rPr>
          <w:rFonts w:cs="Arial" w:ascii="Arial" w:hAnsi="Arial"/>
          <w:sz w:val="20"/>
          <w:szCs w:val="20"/>
        </w:rPr>
        <w:t>Cabe señalar que el Tribunal Pleno determinó que las referidas declaraciones de invalidez surtan sus efectos cuando se notifiquen estos puntos resolutivos al Congreso de la Unión, por lo que solicito gire instrucciones para que a la brevedad se practique la citada notificación, inclusive al titular del Poder Ejecutivo Federal.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sz w:val="20"/>
          <w:szCs w:val="20"/>
        </w:rPr>
        <w:t>Asimismo, con el objeto de dar cumplimiento a lo determinado por el Tribunal Pleno en su sesión privada celebrada el doce de abril de dos mil diez, le solicito que remita a esta Secretaría General de Acuerdos copia certificada del documento en el que conste la notificación que se realice al Congreso de la Unión, inclusive al titular del Poder Ejecutivo Federal.</w:t>
      </w:r>
    </w:p>
    <w:p>
      <w:pPr>
        <w:pStyle w:val="Normal"/>
        <w:ind w:firstLine="289" w:end="0"/>
        <w:jc w:val="both"/>
        <w:rPr>
          <w:rFonts w:ascii="Arial" w:hAnsi="Arial" w:cs="Arial"/>
          <w:sz w:val="20"/>
          <w:szCs w:val="20"/>
        </w:rPr>
      </w:pPr>
      <w:r>
        <w:rPr>
          <w:rFonts w:cs="Arial" w:ascii="Arial" w:hAnsi="Arial"/>
          <w:sz w:val="20"/>
          <w:szCs w:val="20"/>
        </w:rPr>
      </w:r>
    </w:p>
    <w:p>
      <w:pPr>
        <w:pStyle w:val="Normal"/>
        <w:ind w:firstLine="289" w:end="0"/>
        <w:jc w:val="both"/>
        <w:rPr/>
      </w:pPr>
      <w:r>
        <w:rPr>
          <w:rFonts w:cs="Arial" w:ascii="Arial" w:hAnsi="Arial"/>
          <w:b/>
          <w:sz w:val="20"/>
          <w:szCs w:val="20"/>
        </w:rPr>
        <w:t>A t e n t a m e n t e</w:t>
      </w:r>
    </w:p>
    <w:p>
      <w:pPr>
        <w:pStyle w:val="Normal"/>
        <w:ind w:firstLine="289" w:end="0"/>
        <w:jc w:val="both"/>
        <w:rPr/>
      </w:pPr>
      <w:r>
        <w:rPr>
          <w:rFonts w:cs="Arial" w:ascii="Arial" w:hAnsi="Arial"/>
          <w:b/>
          <w:sz w:val="20"/>
          <w:szCs w:val="20"/>
        </w:rPr>
        <w:t>Ciudad de México; 15 de noviembre de 2018</w:t>
      </w:r>
    </w:p>
    <w:p>
      <w:pPr>
        <w:pStyle w:val="Normal"/>
        <w:ind w:firstLine="289" w:end="0"/>
        <w:jc w:val="both"/>
        <w:rPr>
          <w:rFonts w:ascii="Arial" w:hAnsi="Arial" w:cs="Arial"/>
          <w:sz w:val="20"/>
          <w:szCs w:val="20"/>
        </w:rPr>
      </w:pPr>
      <w:r>
        <w:rPr>
          <w:rFonts w:cs="Arial" w:ascii="Arial" w:hAnsi="Arial"/>
          <w:b/>
          <w:sz w:val="20"/>
          <w:szCs w:val="20"/>
        </w:rPr>
        <w:t>LICENCIADO RAFAEL COELLO CETINA</w:t>
      </w:r>
      <w:r>
        <w:rPr>
          <w:rFonts w:cs="Arial" w:ascii="Arial" w:hAnsi="Arial"/>
          <w:sz w:val="20"/>
          <w:szCs w:val="20"/>
        </w:rPr>
        <w:t>.- Rúbrica.</w:t>
      </w:r>
      <w:r>
        <w:br w:type="page"/>
      </w:r>
    </w:p>
    <w:p>
      <w:pPr>
        <w:pStyle w:val="Normal"/>
        <w:autoSpaceDE w:val="false"/>
        <w:jc w:val="both"/>
        <w:rPr>
          <w:rFonts w:ascii="Arial" w:hAnsi="Arial" w:cs="Arial"/>
          <w:b/>
          <w:sz w:val="22"/>
          <w:szCs w:val="22"/>
          <w:lang w:eastAsia="es-MX"/>
        </w:rPr>
      </w:pPr>
      <w:r>
        <w:rPr>
          <w:rFonts w:cs="Arial" w:ascii="Arial" w:hAnsi="Arial"/>
          <w:b/>
          <w:sz w:val="22"/>
          <w:szCs w:val="22"/>
          <w:lang w:val="es-ES_tradnl"/>
        </w:rPr>
        <w:t>SENTENCIA dictada por el Tribunal Pleno de la Suprema Corte de Justicia de la Nación en la Acción de Inconstitucionalidad 6/2018 y sus acumuladas 8/2018, 9/2018, 10/2018 y 11/2018, así como los Votos Concurrentes formulados por los Ministros Alfredo Gutiérrez Ortiz Mena y José Fernando Franco González Salas y Particular y Concurrente formulados por la Ministra Norma Lucía Piña Hernández</w:t>
      </w:r>
      <w:r>
        <w:rPr>
          <w:rFonts w:cs="Arial" w:ascii="Arial" w:hAnsi="Arial"/>
          <w:b/>
          <w:sz w:val="22"/>
          <w:szCs w:val="22"/>
        </w:rPr>
        <w:t>.</w:t>
      </w:r>
    </w:p>
    <w:p>
      <w:pPr>
        <w:pStyle w:val="Normal"/>
        <w:rPr>
          <w:rFonts w:ascii="Arial" w:hAnsi="Arial" w:cs="Arial"/>
          <w:b/>
          <w:sz w:val="20"/>
          <w:szCs w:val="20"/>
          <w:lang w:eastAsia="es-MX"/>
        </w:rPr>
      </w:pPr>
      <w:r>
        <w:rPr>
          <w:rFonts w:cs="Arial" w:ascii="Arial" w:hAnsi="Arial"/>
          <w:b/>
          <w:sz w:val="20"/>
          <w:szCs w:val="20"/>
          <w:lang w:eastAsia="es-MX"/>
        </w:rPr>
      </w:r>
    </w:p>
    <w:p>
      <w:pPr>
        <w:pStyle w:val="Normal"/>
        <w:jc w:val="center"/>
        <w:rPr>
          <w:rFonts w:ascii="Arial" w:hAnsi="Arial" w:cs="Arial"/>
          <w:b/>
          <w:bCs/>
          <w:sz w:val="16"/>
        </w:rPr>
      </w:pPr>
      <w:r>
        <w:rPr>
          <w:rFonts w:cs="Arial" w:ascii="Arial" w:hAnsi="Arial"/>
          <w:sz w:val="16"/>
          <w:lang w:val="es-MX"/>
        </w:rPr>
        <w:t>Publicada en el Diario Oficial de la Federación el 30 de mayo de 2019</w:t>
      </w:r>
    </w:p>
    <w:p>
      <w:pPr>
        <w:pStyle w:val="Texto"/>
        <w:spacing w:lineRule="auto" w:line="240" w:before="0" w:after="0"/>
        <w:ind w:hanging="0" w:end="0"/>
        <w:rPr>
          <w:rFonts w:ascii="Arial" w:hAnsi="Arial" w:cs="Arial"/>
          <w:b/>
          <w:bCs/>
          <w:sz w:val="20"/>
        </w:rPr>
      </w:pPr>
      <w:r>
        <w:rPr>
          <w:rFonts w:cs="Arial"/>
          <w:b/>
          <w:bCs/>
          <w:sz w:val="20"/>
        </w:rPr>
      </w:r>
    </w:p>
    <w:p>
      <w:pPr>
        <w:pStyle w:val="texto1"/>
        <w:spacing w:lineRule="auto" w:line="240" w:before="0" w:after="0"/>
        <w:ind w:hanging="0" w:start="5040" w:end="0"/>
        <w:rPr/>
      </w:pPr>
      <w:r>
        <w:rPr>
          <w:b/>
          <w:caps/>
          <w:sz w:val="20"/>
          <w:szCs w:val="20"/>
        </w:rPr>
        <w:t>aCCIÓN DE INCONSTITUCIONALIDAD 6/2018 Y SUs ACUMULADAs 8/2018, 9/2018, 10/2018 y 11/2018.</w:t>
      </w:r>
    </w:p>
    <w:p>
      <w:pPr>
        <w:pStyle w:val="texto1"/>
        <w:spacing w:lineRule="auto" w:line="240" w:before="0" w:after="0"/>
        <w:ind w:hanging="0" w:start="5040" w:end="0"/>
        <w:rPr>
          <w:b/>
          <w:caps/>
          <w:sz w:val="20"/>
          <w:szCs w:val="20"/>
        </w:rPr>
      </w:pPr>
      <w:r>
        <w:rPr>
          <w:b/>
          <w:caps/>
          <w:sz w:val="20"/>
          <w:szCs w:val="20"/>
        </w:rPr>
      </w:r>
    </w:p>
    <w:p>
      <w:pPr>
        <w:pStyle w:val="texto1"/>
        <w:spacing w:lineRule="auto" w:line="240" w:before="0" w:after="0"/>
        <w:ind w:hanging="0" w:start="5040" w:end="0"/>
        <w:rPr>
          <w:b/>
          <w:caps/>
          <w:sz w:val="20"/>
          <w:szCs w:val="20"/>
        </w:rPr>
      </w:pPr>
      <w:r>
        <w:rPr>
          <w:b/>
          <w:caps/>
          <w:sz w:val="20"/>
          <w:szCs w:val="20"/>
        </w:rPr>
        <w:t>PROMOVENTEs: DIVERSOS DIPUTADOS Y SENADORES INTEGRANTES DE LA LXIII LEGISLATURA DEL CONGRESO DE LA UNIÓN, INSTITUTO NACIONAL DE TRANSPARENCIA, ACCESO A LA INFORMACIÓN Y PROTECCIÓN DE DATOS PERSONALES, COMISIÓN NACIONAL DE LOS DERECHOS HUMANOS Y EL PARTIDO POLÍTICO MOVIMIENTO CIUDADANO.</w:t>
      </w:r>
    </w:p>
    <w:p>
      <w:pPr>
        <w:pStyle w:val="texto1"/>
        <w:spacing w:lineRule="auto" w:line="240" w:before="0" w:after="0"/>
        <w:rPr>
          <w:b/>
          <w:caps/>
          <w:sz w:val="20"/>
          <w:szCs w:val="20"/>
        </w:rPr>
      </w:pPr>
      <w:r>
        <w:rPr>
          <w:b/>
          <w:caps/>
          <w:sz w:val="20"/>
          <w:szCs w:val="20"/>
        </w:rPr>
      </w:r>
    </w:p>
    <w:p>
      <w:pPr>
        <w:pStyle w:val="texto1"/>
        <w:spacing w:lineRule="auto" w:line="240" w:before="0" w:after="0"/>
        <w:rPr>
          <w:b/>
          <w:caps/>
          <w:sz w:val="20"/>
          <w:szCs w:val="20"/>
        </w:rPr>
      </w:pPr>
      <w:r>
        <w:rPr>
          <w:b/>
          <w:caps/>
          <w:sz w:val="20"/>
          <w:szCs w:val="20"/>
        </w:rPr>
        <w:t>ministrO ponente: jorge marIO pardo rebolledo.</w:t>
      </w:r>
    </w:p>
    <w:p>
      <w:pPr>
        <w:pStyle w:val="texto1"/>
        <w:spacing w:lineRule="auto" w:line="240" w:before="0" w:after="0"/>
        <w:rPr>
          <w:b/>
          <w:caps/>
          <w:sz w:val="20"/>
          <w:szCs w:val="20"/>
        </w:rPr>
      </w:pPr>
      <w:r>
        <w:rPr>
          <w:b/>
          <w:caps/>
          <w:sz w:val="20"/>
          <w:szCs w:val="20"/>
        </w:rPr>
        <w:t>MINISTRO ENCARGADO DEL ENGROSE: EDUARDO MEDINA MORA I.</w:t>
      </w:r>
    </w:p>
    <w:p>
      <w:pPr>
        <w:pStyle w:val="texto1"/>
        <w:spacing w:lineRule="auto" w:line="240" w:before="0" w:after="0"/>
        <w:rPr>
          <w:b/>
          <w:caps/>
          <w:sz w:val="20"/>
          <w:szCs w:val="20"/>
        </w:rPr>
      </w:pPr>
      <w:r>
        <w:rPr>
          <w:b/>
          <w:caps/>
          <w:sz w:val="20"/>
          <w:szCs w:val="20"/>
        </w:rPr>
        <w:t>SECRETARIO: ETIENNE LUQUET FARÍAS</w:t>
      </w:r>
    </w:p>
    <w:p>
      <w:pPr>
        <w:pStyle w:val="texto1"/>
        <w:spacing w:lineRule="auto" w:line="240" w:before="0" w:after="0"/>
        <w:rPr>
          <w:b/>
          <w:caps/>
          <w:sz w:val="20"/>
          <w:szCs w:val="20"/>
        </w:rPr>
      </w:pPr>
      <w:r>
        <w:rPr>
          <w:b/>
          <w:caps/>
          <w:sz w:val="20"/>
          <w:szCs w:val="20"/>
        </w:rPr>
        <w:t>COLABORÓ: CAROLINA BARROSO RODRÍGUEZ</w:t>
      </w:r>
    </w:p>
    <w:p>
      <w:pPr>
        <w:pStyle w:val="texto1"/>
        <w:spacing w:lineRule="auto" w:line="240" w:before="0" w:after="0"/>
        <w:rPr>
          <w:b/>
          <w:caps/>
          <w:sz w:val="20"/>
          <w:szCs w:val="20"/>
        </w:rPr>
      </w:pPr>
      <w:r>
        <w:rPr>
          <w:b/>
          <w:caps/>
          <w:sz w:val="20"/>
          <w:szCs w:val="20"/>
        </w:rPr>
      </w:r>
    </w:p>
    <w:p>
      <w:pPr>
        <w:pStyle w:val="texto1"/>
        <w:spacing w:lineRule="auto" w:line="240" w:before="0" w:after="0"/>
        <w:rPr>
          <w:sz w:val="20"/>
          <w:szCs w:val="20"/>
        </w:rPr>
      </w:pPr>
      <w:r>
        <w:rPr>
          <w:sz w:val="20"/>
          <w:szCs w:val="20"/>
        </w:rPr>
        <w:t xml:space="preserve">Ciudad de México. Acuerdo del Tribunal Pleno de la Suprema Corte de Justicia de la Nación, correspondiente al día </w:t>
      </w:r>
      <w:r>
        <w:rPr>
          <w:b/>
          <w:sz w:val="20"/>
          <w:szCs w:val="20"/>
        </w:rPr>
        <w:t>quince de noviembre de dos mil dieciocho.</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VISTOS</w:t>
      </w:r>
      <w:r>
        <w:rPr>
          <w:sz w:val="20"/>
          <w:szCs w:val="20"/>
        </w:rPr>
        <w:t xml:space="preserve"> para resolver los autos relativos a las acciones de inconstitucionalidad promovidas respectivamente por diversos diputados y senadores integrantes de la Sexagésima Tercera Legislatura del Congreso de la Unión, el Instituto Nacional de Transparencia, Acceso a la Información y Protección de Datos Personales, la Comisión Nacional de los Derechos Humanos, y el Partido Político Movimiento Ciudadano; y</w:t>
      </w:r>
    </w:p>
    <w:p>
      <w:pPr>
        <w:pStyle w:val="texto1"/>
        <w:spacing w:lineRule="auto" w:line="240" w:before="0" w:after="0"/>
        <w:rPr>
          <w:caps/>
          <w:sz w:val="20"/>
          <w:szCs w:val="20"/>
        </w:rPr>
      </w:pPr>
      <w:r>
        <w:rPr>
          <w:caps/>
          <w:sz w:val="20"/>
          <w:szCs w:val="20"/>
        </w:rPr>
      </w:r>
    </w:p>
    <w:p>
      <w:pPr>
        <w:pStyle w:val="ANOTACION"/>
        <w:spacing w:lineRule="auto" w:line="240" w:before="0" w:after="0"/>
        <w:rPr>
          <w:rFonts w:ascii="Arial" w:hAnsi="Arial" w:cs="Arial"/>
          <w:sz w:val="20"/>
        </w:rPr>
      </w:pPr>
      <w:r>
        <w:rPr>
          <w:rFonts w:cs="Arial" w:ascii="Arial" w:hAnsi="Arial"/>
          <w:sz w:val="20"/>
        </w:rPr>
        <w:t>RESULTANDO:</w:t>
      </w:r>
    </w:p>
    <w:p>
      <w:pPr>
        <w:pStyle w:val="texto1"/>
        <w:spacing w:lineRule="auto" w:line="240" w:before="0" w:after="0"/>
        <w:rPr>
          <w:rFonts w:ascii="Arial" w:hAnsi="Arial" w:cs="Arial"/>
          <w:caps/>
          <w:sz w:val="20"/>
          <w:szCs w:val="20"/>
        </w:rPr>
      </w:pPr>
      <w:r>
        <w:rPr>
          <w:rFonts w:cs="Arial"/>
          <w:caps/>
          <w:sz w:val="20"/>
          <w:szCs w:val="20"/>
        </w:rPr>
      </w:r>
    </w:p>
    <w:p>
      <w:pPr>
        <w:pStyle w:val="texto1"/>
        <w:spacing w:lineRule="auto" w:line="240" w:before="0" w:after="0"/>
        <w:rPr/>
      </w:pPr>
      <w:r>
        <w:rPr>
          <w:b/>
          <w:sz w:val="20"/>
          <w:szCs w:val="20"/>
        </w:rPr>
        <w:t>PRIMERO A DÉCIMO SEGUNDO.</w:t>
      </w:r>
      <w:r>
        <w:rPr>
          <w:sz w:val="20"/>
          <w:szCs w:val="20"/>
        </w:rPr>
        <w:t xml:space="preserve"> ……..</w:t>
      </w:r>
    </w:p>
    <w:p>
      <w:pPr>
        <w:pStyle w:val="texto1"/>
        <w:spacing w:lineRule="auto" w:line="240" w:before="0" w:after="0"/>
        <w:rPr>
          <w:caps/>
          <w:sz w:val="20"/>
          <w:szCs w:val="20"/>
        </w:rPr>
      </w:pPr>
      <w:r>
        <w:rPr>
          <w:caps/>
          <w:sz w:val="20"/>
          <w:szCs w:val="20"/>
        </w:rPr>
      </w:r>
    </w:p>
    <w:p>
      <w:pPr>
        <w:pStyle w:val="ANOTACION"/>
        <w:spacing w:lineRule="auto" w:line="240" w:before="0" w:after="0"/>
        <w:rPr>
          <w:rFonts w:ascii="Arial" w:hAnsi="Arial" w:cs="Arial"/>
          <w:sz w:val="20"/>
        </w:rPr>
      </w:pPr>
      <w:r>
        <w:rPr>
          <w:rFonts w:cs="Arial" w:ascii="Arial" w:hAnsi="Arial"/>
          <w:sz w:val="20"/>
        </w:rPr>
        <w:t>CONSIDERANDO:</w:t>
      </w:r>
    </w:p>
    <w:p>
      <w:pPr>
        <w:pStyle w:val="texto1"/>
        <w:spacing w:lineRule="auto" w:line="240" w:before="0" w:after="0"/>
        <w:rPr>
          <w:rFonts w:ascii="Arial" w:hAnsi="Arial" w:cs="Arial"/>
          <w:caps/>
          <w:sz w:val="20"/>
          <w:szCs w:val="20"/>
        </w:rPr>
      </w:pPr>
      <w:r>
        <w:rPr>
          <w:rFonts w:cs="Arial"/>
          <w:caps/>
          <w:sz w:val="20"/>
          <w:szCs w:val="20"/>
        </w:rPr>
      </w:r>
    </w:p>
    <w:p>
      <w:pPr>
        <w:pStyle w:val="texto1"/>
        <w:spacing w:lineRule="auto" w:line="240" w:before="0" w:after="0"/>
        <w:rPr/>
      </w:pPr>
      <w:r>
        <w:rPr>
          <w:b/>
          <w:sz w:val="20"/>
          <w:szCs w:val="20"/>
        </w:rPr>
        <w:t>PRIMERO A NOVENO.</w:t>
      </w:r>
      <w:r>
        <w:rPr>
          <w:sz w:val="20"/>
          <w:szCs w:val="20"/>
        </w:rPr>
        <w:t xml:space="preserve"> ………</w:t>
      </w:r>
    </w:p>
    <w:p>
      <w:pPr>
        <w:pStyle w:val="texto1"/>
        <w:spacing w:lineRule="auto" w:line="240" w:before="0" w:after="0"/>
        <w:rPr>
          <w:caps/>
          <w:sz w:val="20"/>
          <w:szCs w:val="20"/>
        </w:rPr>
      </w:pPr>
      <w:r>
        <w:rPr>
          <w:caps/>
          <w:sz w:val="20"/>
          <w:szCs w:val="20"/>
        </w:rPr>
      </w:r>
    </w:p>
    <w:p>
      <w:pPr>
        <w:pStyle w:val="ANOTACION"/>
        <w:spacing w:lineRule="auto" w:line="240" w:before="0" w:after="0"/>
        <w:rPr>
          <w:rFonts w:ascii="Arial" w:hAnsi="Arial" w:cs="Arial"/>
          <w:sz w:val="20"/>
        </w:rPr>
      </w:pPr>
      <w:r>
        <w:rPr>
          <w:rFonts w:cs="Arial" w:ascii="Arial" w:hAnsi="Arial"/>
          <w:sz w:val="20"/>
        </w:rPr>
        <w:t>EFECTOS</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sz w:val="20"/>
          <w:szCs w:val="20"/>
        </w:rPr>
        <w:t>162. De conformidad con los artículos 41, fracción IV, 44 y 73 de la Ley Reglamentaria de la Materia, la invalidez decretada surtirá sus efectos a partir de la notificación de los puntos resolutivos de esta sentencia al Congreso de la Unión; asimismo, se ordena la publicación de la presente resolución en el Diario Oficial de la Federación y en el Semanario Judicial de la Federación y su Gaceta.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Por lo expuesto y fundado:</w:t>
      </w:r>
    </w:p>
    <w:p>
      <w:pPr>
        <w:pStyle w:val="ANOTACION"/>
        <w:spacing w:lineRule="auto" w:line="240" w:before="0" w:after="0"/>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0"/>
        </w:rPr>
      </w:pPr>
      <w:r>
        <w:rPr>
          <w:rFonts w:cs="Arial" w:ascii="Arial" w:hAnsi="Arial"/>
          <w:sz w:val="20"/>
        </w:rPr>
        <w:t>SE RESUELVE</w:t>
      </w:r>
    </w:p>
    <w:p>
      <w:pPr>
        <w:pStyle w:val="ANOTACION"/>
        <w:spacing w:lineRule="auto" w:line="240" w:before="0" w:after="0"/>
        <w:rPr>
          <w:rFonts w:ascii="Arial" w:hAnsi="Arial" w:cs="Arial"/>
          <w:sz w:val="20"/>
        </w:rPr>
      </w:pPr>
      <w:r>
        <w:rPr>
          <w:rFonts w:cs="Arial" w:ascii="Arial" w:hAnsi="Arial"/>
          <w:sz w:val="20"/>
        </w:rPr>
      </w:r>
    </w:p>
    <w:p>
      <w:pPr>
        <w:pStyle w:val="texto1"/>
        <w:spacing w:lineRule="auto" w:line="240" w:before="0" w:after="0"/>
        <w:rPr>
          <w:sz w:val="20"/>
          <w:szCs w:val="20"/>
        </w:rPr>
      </w:pPr>
      <w:r>
        <w:rPr>
          <w:b/>
          <w:sz w:val="20"/>
          <w:szCs w:val="20"/>
          <w:lang w:val="it-IT"/>
        </w:rPr>
        <w:t>PRIMERO.</w:t>
      </w:r>
      <w:r>
        <w:rPr>
          <w:sz w:val="20"/>
          <w:szCs w:val="20"/>
          <w:lang w:val="it-IT"/>
        </w:rPr>
        <w:t xml:space="preserve"> </w:t>
      </w:r>
      <w:r>
        <w:rPr>
          <w:sz w:val="20"/>
          <w:szCs w:val="20"/>
        </w:rPr>
        <w:t>Son procedentes y fundadas las acciones de inconstitucionalidad 6/2018 y sus acumuladas 8/2018 y 11/2018 promovidas, respectivamente, por diversos diputados integrantes de la Sexagésima Tercera Legislatura de la Cámara de Diputados del Congreso de la Unión, diversos senadores integrantes de la LXIII Legislatura del Senado de la República y la Comisión Nacional de los Derechos Humanos.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SEGUNDO. </w:t>
      </w:r>
      <w:r>
        <w:rPr>
          <w:sz w:val="20"/>
          <w:szCs w:val="20"/>
        </w:rPr>
        <w:t>Es parcialmente procedente y fundada la acción de inconstitucionalidad 9/2018, promovida por el Instituto Nacional de Transparencia, Acceso a la Información y Protección de Datos Personales.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 xml:space="preserve">TERCERO. </w:t>
      </w:r>
      <w:r>
        <w:rPr>
          <w:sz w:val="20"/>
          <w:szCs w:val="20"/>
        </w:rPr>
        <w:t>Se sobresee la acción de inconstitucionalidad 10/2018, promovida por el Partido Político Movimiento Ciudadano, en los términos precisados en el considerando cuarto de este fallo.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CUARTO.</w:t>
      </w:r>
      <w:r>
        <w:rPr>
          <w:sz w:val="20"/>
          <w:szCs w:val="20"/>
        </w:rPr>
        <w:t xml:space="preserve"> Se declara la invalidez del Decreto por el que se expide la Ley de Seguridad Interior, publicado en el Diario Oficial de la Federación el veintiuno de diciembre de dos mil diecisiete.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b/>
          <w:sz w:val="20"/>
          <w:szCs w:val="20"/>
        </w:rPr>
        <w:t>QUINTO.</w:t>
      </w:r>
      <w:r>
        <w:rPr>
          <w:sz w:val="20"/>
          <w:szCs w:val="20"/>
        </w:rPr>
        <w:t xml:space="preserve"> La declaración de invalidez decretada en este fallo surtirá sus efectos a partir de la notificación de los puntos resolutivos de esta sentencia al Congreso de la Unión.</w:t>
      </w:r>
    </w:p>
    <w:p>
      <w:pPr>
        <w:pStyle w:val="texto1"/>
        <w:spacing w:lineRule="auto" w:line="240" w:before="0" w:after="0"/>
        <w:rPr>
          <w:sz w:val="20"/>
          <w:szCs w:val="20"/>
        </w:rPr>
      </w:pPr>
      <w:r>
        <w:rPr>
          <w:sz w:val="20"/>
          <w:szCs w:val="20"/>
        </w:rPr>
      </w:r>
    </w:p>
    <w:p>
      <w:pPr>
        <w:pStyle w:val="texto1"/>
        <w:spacing w:lineRule="auto" w:line="240" w:before="0" w:after="0"/>
        <w:rPr/>
      </w:pPr>
      <w:r>
        <w:rPr>
          <w:b/>
          <w:sz w:val="20"/>
          <w:szCs w:val="20"/>
        </w:rPr>
        <w:t>SEXTO.</w:t>
      </w:r>
      <w:r>
        <w:rPr>
          <w:sz w:val="20"/>
          <w:szCs w:val="20"/>
        </w:rPr>
        <w:t xml:space="preserve"> Publíquese esta sentencia en el Diario Oficial de la Federación, así como en el Semanario Judicial de la Federación y su Gaceta.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Notifíquese por medio de oficio a las partes; en su oportunidad, archívese el asunto como totalmente concluido.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Así lo resolvió el Pleno de la Suprema Corte de Justicia de la Nación: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relación con el punto resolutivo primero: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unanimidad de once votos de los señores Ministros Gutiérrez Ortiz Mena, Cossío Díaz, Luna Ramos, Franco González Salas con reservas en cuanto a la causa de improcedencia primera, Zaldívar Lelo de Larrea, Pardo Rebolledo, Piña Hernández, Medina Mora I., Laynez Potisek, Pérez Dayán y Presidente Aguilar Morales, respecto de los considerandos primero, segundo, cuarto, quinto, sexto, séptimo y octavo relativos, respectivamente, a la competencia, a la oportunidad, a las causas de improcedencia (primera, segunda y quinta), a los conceptos de invalidez, a los informes de las autoridades demandadas, al pedimento de la Procuraduría General de la República y a la precisión de la litis.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unanimidad de once votos de los señores Ministros Gutiérrez Ortiz Mena, Cossío Díaz, Luna Ramos con salvedades, Franco González Salas, Zaldívar Lelo de Larrea, Pardo Rebolledo, Piña Hernández, Medina Mora I., Laynez Potisek, Pérez Dayán y Presidente Aguilar Morales, respecto del considerando tercero, relativo a la legitimación, en cuanto a reconocer la de los diputados integrantes de la Sexagésima Tercera Legislatura de la Cámara de Diputados del Congreso de la Unión y la Comisión Nacional de los Derechos Humanos.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mayoría de diez votos de los señores Ministros Gutiérrez Ortiz Mena, Cossío Díaz, Luna Ramos con salvedades, Franco González Salas, Zaldívar Lelo de Larrea, Pardo Rebolledo, Medina Mora I., Laynez Potisek, Pérez Dayán y Presidente Aguilar Morales, respecto del considerando tercero, relativo a la legitimación, en cuanto a reconocer la de los diversos senadores integrantes de la LXIII Legislatura del Senado de la República. La señora Ministra Piña Hernández votó en contra y anunció voto particular.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aprobó por unanimidad de once votos de los señores Ministros Gutiérrez Ortiz Mena, Cossío Díaz, Luna Ramos, Franco González Salas, Zaldívar Lelo de Larrea, Pardo Rebolledo, Piña Hernández salvo la legitimación de los diversos senadores integrantes de la LXIII Legislatura del Senado de la República, Medina Mora I., Laynez Potisek, Pérez Dayán y Presidente Aguilar Morales, respecto del considerando cuarto, relativo a las causas de improcedencia, en cuanto a la causa de improcedencia tercera.</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b/>
          <w:sz w:val="20"/>
          <w:szCs w:val="20"/>
        </w:rPr>
        <w:t>En relación con el punto resolutivo segundo: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mayoría de diez votos de los señores Ministros Gutiérrez Ortiz Mena, Cossío Díaz, Luna Ramos, Franco González Salas, Zaldívar Lelo de Larrea, Pardo Rebolledo, Piña Hernández, Medina Mora I., Laynez Potisek y Presidente Aguilar Morales, respecto del considerando cuarto, relativo a las causas de improcedencia, en cuanto a la causa de improcedencia cuarta, consistente, por una parte, en reconocer la legitimación en la acción de inconstitucionalidad 9/2018, promovida por el Instituto Nacional de Transparencia, Acceso a la Información y Protección de Datos Personales para impugnar los artículos 9 y 31 de la Ley de Seguridad Interior y, por otra parte, en determinar que no tiene legitimación para impugnar el artículo 1 de la Ley de Seguridad Interior. El señor Ministro Pérez Dayán votó en contra.</w:t>
      </w:r>
    </w:p>
    <w:p>
      <w:pPr>
        <w:pStyle w:val="texto1"/>
        <w:spacing w:lineRule="auto" w:line="240" w:before="0" w:after="0"/>
        <w:rPr>
          <w:sz w:val="20"/>
          <w:szCs w:val="20"/>
        </w:rPr>
      </w:pPr>
      <w:r>
        <w:rPr>
          <w:sz w:val="20"/>
          <w:szCs w:val="20"/>
        </w:rPr>
      </w:r>
    </w:p>
    <w:p>
      <w:pPr>
        <w:pStyle w:val="texto1"/>
        <w:spacing w:lineRule="auto" w:line="240" w:before="0" w:after="0"/>
        <w:rPr>
          <w:b/>
          <w:sz w:val="20"/>
          <w:szCs w:val="20"/>
        </w:rPr>
      </w:pPr>
      <w:r>
        <w:rPr>
          <w:b/>
          <w:sz w:val="20"/>
          <w:szCs w:val="20"/>
        </w:rPr>
        <w:t>En relación con el punto resolutivo tercero: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mayoría de seis votos de los señores Ministros Cossío Díaz con precisiones, Pardo Rebolledo, Medina Mora I., Laynez Potisek, Pérez Dayán y Presidente Aguilar Morales, respecto del considerando cuarto, relativo a las causas de improcedencia, en cuanto a la causa de improcedencia sexta, consistente en sobreseer de oficio en la acción de inconstitucionalidad 10/2018, promovida por el Partido Político Movimiento Ciudadano. Los señores Ministros Gutiérrez Ortiz Mena, Luna Ramos, Franco González Salas, Zaldívar Lelo de Larrea y Piña Hernández votaron en contra.</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el punto resolutivo cuarto: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mayoría de nueve votos de los señores Ministros Gutiérrez Ortiz Mena, Cossío Díaz con precisiones, Franco González Salas con precisiones, Zaldívar Lelo de Larrea con precisiones, Piña Hernández con precisiones, Medina Mora I. con precisiones, Laynez Potisek, Pérez Dayán y Presidente Aguilar Morales con precisiones, respecto del considerando noveno, relativo al estudio de fondo, en su tema A, denominado “CUESTIONAMIENTOS A LA LEY DE SEGURIDAD INTERIOR EN SU INTEGRIDAD”, en su tema A.1., denominado “Competencia constitucional del Congreso de la Unión para legislar en materia de seguridad interior”, consistente en determinar que el Congreso de la Unión no es competente para legislar en materia de seguridad interior. El señor Ministro Pardo Rebolledo votó en contra. La señora Ministra Luna Ramos se ausentó durante esta votación. Los señores Ministros Cossío Díaz, Zaldívar Lelo de Larrea y Piña Hernández anunciaron sendos votos concurrentes. Los señores Ministros Gutiérrez Ortiz Mena, Franco González Salas y Presidente Aguilar Morales reservaron su derecho de formular sendos votos concurrentes.</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En relación con los puntos resolutivos quinto y sexto:</w:t>
      </w:r>
    </w:p>
    <w:p>
      <w:pPr>
        <w:pStyle w:val="texto1"/>
        <w:spacing w:lineRule="auto" w:line="240" w:before="0" w:after="0"/>
        <w:rPr>
          <w:b/>
          <w:sz w:val="20"/>
          <w:szCs w:val="20"/>
        </w:rPr>
      </w:pPr>
      <w:r>
        <w:rPr>
          <w:b/>
          <w:sz w:val="20"/>
          <w:szCs w:val="20"/>
        </w:rPr>
      </w:r>
    </w:p>
    <w:p>
      <w:pPr>
        <w:pStyle w:val="texto1"/>
        <w:spacing w:lineRule="auto" w:line="240" w:before="0" w:after="0"/>
        <w:rPr>
          <w:sz w:val="20"/>
          <w:szCs w:val="20"/>
        </w:rPr>
      </w:pPr>
      <w:r>
        <w:rPr>
          <w:sz w:val="20"/>
          <w:szCs w:val="20"/>
        </w:rPr>
        <w:t>Se aprobó por unanimidad de diez votos de los señores Ministros Gutiérrez Ortiz Mena, Cossío Díaz, Franco González Salas, Zaldívar Lelo de Larrea, Pardo Rebolledo, Piña Hernández, Medina Mora I., Laynez Potisek, Pérez Dayán y Presidente Aguilar Morales. La señora Ministra Luna Ramos se ausentó durante esta votación.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señor Ministro Presidente Aguilar Morales declaró que el asunto se resolvió en los términos precisados.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Firman los señores Ministros Presidente y el encargado del engrose con el Secretario General de Acuerdos que da fe.</w:t>
      </w:r>
    </w:p>
    <w:p>
      <w:pPr>
        <w:pStyle w:val="Texto"/>
        <w:spacing w:lineRule="auto" w:line="240" w:before="0" w:after="0"/>
        <w:rPr>
          <w:sz w:val="20"/>
          <w:szCs w:val="20"/>
        </w:rPr>
      </w:pPr>
      <w:r>
        <w:rPr>
          <w:sz w:val="20"/>
          <w:szCs w:val="20"/>
        </w:rPr>
      </w:r>
    </w:p>
    <w:p>
      <w:pPr>
        <w:pStyle w:val="Texto"/>
        <w:spacing w:lineRule="auto" w:line="240" w:before="0" w:after="0"/>
        <w:rPr/>
      </w:pPr>
      <w:r>
        <w:rPr>
          <w:sz w:val="20"/>
        </w:rPr>
        <w:t xml:space="preserve">El Presidente Ministro: </w:t>
      </w:r>
      <w:r>
        <w:rPr>
          <w:b/>
          <w:sz w:val="20"/>
        </w:rPr>
        <w:t>Luis María Aguilar Morales</w:t>
      </w:r>
      <w:r>
        <w:rPr>
          <w:sz w:val="20"/>
        </w:rPr>
        <w:t xml:space="preserve">.- Rúbrica.- El Encargado del Engrose Ministro: </w:t>
      </w:r>
      <w:r>
        <w:rPr>
          <w:b/>
          <w:sz w:val="20"/>
        </w:rPr>
        <w:t>Eduardo Medina Mora I.</w:t>
      </w:r>
      <w:r>
        <w:rPr>
          <w:sz w:val="20"/>
        </w:rPr>
        <w:t xml:space="preserve">- Rúbrica.- El Secretario General de Acuerdos, </w:t>
      </w:r>
      <w:r>
        <w:rPr>
          <w:b/>
          <w:sz w:val="20"/>
        </w:rPr>
        <w:t>Rafael Coello Cetina</w:t>
      </w:r>
      <w:r>
        <w:rPr>
          <w:sz w:val="20"/>
        </w:rPr>
        <w:t>.- Rúbrica.</w:t>
      </w:r>
    </w:p>
    <w:p>
      <w:pPr>
        <w:pStyle w:val="Texto"/>
        <w:spacing w:lineRule="auto" w:line="240" w:before="0" w:after="0"/>
        <w:rPr>
          <w:sz w:val="20"/>
        </w:rPr>
      </w:pPr>
      <w:r>
        <w:rPr>
          <w:sz w:val="20"/>
        </w:rPr>
      </w:r>
    </w:p>
    <w:p>
      <w:pPr>
        <w:pStyle w:val="Texto"/>
        <w:spacing w:lineRule="auto" w:line="240" w:before="0" w:after="0"/>
        <w:rPr/>
      </w:pPr>
      <w:r>
        <w:rPr>
          <w:sz w:val="20"/>
        </w:rPr>
        <w:t xml:space="preserve">LICENCIADO </w:t>
      </w:r>
      <w:r>
        <w:rPr>
          <w:b/>
          <w:sz w:val="20"/>
        </w:rPr>
        <w:t>RAFAEL COELLO CETINA</w:t>
      </w:r>
      <w:r>
        <w:rPr>
          <w:sz w:val="20"/>
        </w:rPr>
        <w:t>, SECRETARIO GENERAL DE ACUERDOS DE LA SUPREMA CORTE DE JUSTICIA DE LA NACIÓN, CERTIFICA: Que esta fotocopia constante de sesenta y nueve fojas útiles, concuerda fiel y exactamente con el original de la sentencia de quince de noviembre de dos mil dieciocho, dictada por el Tribunal Pleno en la acción de inconstitucionalidad 6/2018 y sus acumuladas 8/2018, 9/2018, 10/2018 y 11/2018. Se certifica con la finalidad de que se publique en el Diario Oficial de la Federación.- Ciudad de México, a nueve de mayo de dos mil diecinueve.-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iAes New Roman">
    <w:charset w:val="00" w:characterSet="windows-1252"/>
    <w:family w:val="roman"/>
    <w:pitch w:val="default"/>
  </w:font>
  <w:font w:name="Calibri">
    <w:charset w:val="00" w:characterSet="windows-1252"/>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15</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15</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3358"/>
      <w:gridCol w:w="4796"/>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82132948"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SEGURIDAD INTERIOR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3358"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796" w:type="dxa"/>
          <w:tcBorders/>
        </w:tcPr>
        <w:p>
          <w:pPr>
            <w:pStyle w:val="Header"/>
            <w:ind w:start="-70" w:end="0"/>
            <w:jc w:val="end"/>
            <w:rPr/>
          </w:pPr>
          <w:r>
            <w:rPr>
              <w:rFonts w:cs="Arial" w:ascii="Arial" w:hAnsi="Arial"/>
              <w:i/>
              <w:iCs/>
              <w:color w:val="181818"/>
              <w:sz w:val="14"/>
              <w:lang w:val="es-MX" w:eastAsia="es-MX"/>
            </w:rPr>
            <w:t>Nueva Ley DOF 21-12-2017</w:t>
          </w:r>
        </w:p>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Declaración de Invalidez de la Ley 15-11-2018 / DOF 30-05-2019</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rFonts w:cs="CG Palacio (WN)"/>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Helv;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EncabezadoCar">
    <w:name w:val="Encabezado Car"/>
    <w:qFormat/>
    <w:rPr>
      <w:sz w:val="24"/>
      <w:szCs w:val="24"/>
      <w:lang w:val="es-ES"/>
    </w:rPr>
  </w:style>
  <w:style w:type="character" w:styleId="TextosinformatoCar">
    <w:name w:val="Texto sin formato Car"/>
    <w:basedOn w:val="Fuentedeprrafopredeter"/>
    <w:qFormat/>
    <w:rPr>
      <w:rFonts w:ascii="Courier New" w:hAnsi="Courier New" w:cs="Courier New"/>
      <w:lang w:val="es-ES"/>
    </w:rPr>
  </w:style>
  <w:style w:type="character" w:styleId="PiedepginaCar">
    <w:name w:val="Pie de página Car"/>
    <w:basedOn w:val="Fuentedeprrafopredeter"/>
    <w:qFormat/>
    <w:rPr>
      <w:sz w:val="24"/>
      <w:szCs w:val="24"/>
      <w:lang w:val="es-ES"/>
    </w:rPr>
  </w:style>
  <w:style w:type="character" w:styleId="EndnoteCharacters">
    <w:name w:val="Endnote Characters"/>
    <w:qFormat/>
    <w:rPr>
      <w:vertAlign w:val="superscrip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Prrafodelista">
    <w:name w:val="Párrafo de lista"/>
    <w:basedOn w:val="Normal"/>
    <w:qFormat/>
    <w:pPr>
      <w:ind w:hanging="0" w:start="708" w:end="0"/>
    </w:pPr>
    <w:rPr>
      <w:rFonts w:ascii="TiAes New Roman" w:hAnsi="TiAes New Roman" w:cs="TiAes New Roman"/>
      <w:szCs w:val="20"/>
    </w:rPr>
  </w:style>
  <w:style w:type="paragraph" w:styleId="Textosinformato">
    <w:name w:val="Texto sin formato"/>
    <w:basedOn w:val="Normal"/>
    <w:qFormat/>
    <w:pPr/>
    <w:rPr>
      <w:rFonts w:ascii="Courier New" w:hAnsi="Courier New" w:cs="Courier New"/>
      <w:sz w:val="20"/>
      <w:szCs w:val="20"/>
    </w:rPr>
  </w:style>
  <w:style w:type="paragraph" w:styleId="Default">
    <w:name w:val="Default"/>
    <w:qFormat/>
    <w:pPr>
      <w:widowControl/>
      <w:autoSpaceDE w:val="false"/>
      <w:bidi w:val="0"/>
    </w:pPr>
    <w:rPr>
      <w:rFonts w:ascii="Arial" w:hAnsi="Arial" w:eastAsia="Calibri" w:cs="Arial"/>
      <w:color w:val="000000"/>
      <w:sz w:val="24"/>
      <w:szCs w:val="24"/>
      <w:lang w:val="es-MX" w:bidi="ar-SA" w:eastAsia="zh-CN"/>
    </w:rPr>
  </w:style>
  <w:style w:type="paragraph" w:styleId="textodenotaalfinal">
    <w:name w:val="texto de nota al final"/>
    <w:basedOn w:val="Normal"/>
    <w:qFormat/>
    <w:pPr/>
    <w:rPr>
      <w:rFonts w:ascii="Calibri" w:hAnsi="Calibri" w:cs="Calibri"/>
      <w:sz w:val="20"/>
      <w:szCs w:val="20"/>
      <w:lang w:val="es-MX" w:eastAsia="zh-C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2019-09-18T11:27:00Z</dcterms:created>
  <dc:creator>Cámara de Diputados del H. Congreso de la Unión</dc:creator>
  <dc:description/>
  <dc:language>en-US</dc:language>
  <cp:lastModifiedBy>Armando Torres</cp:lastModifiedBy>
  <cp:lastPrinted>2019-09-18T14:28:00Z</cp:lastPrinted>
  <dcterms:modified xsi:type="dcterms:W3CDTF">2019-09-18T11:28:00Z</dcterms:modified>
  <cp:revision>4</cp:revision>
  <dc:subject/>
  <dc:title>Ley de Seguridad Interior</dc:title>
</cp:coreProperties>
</file>