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FONDO MEXICANO DEL PETRÓLEO PARA LA ESTABILIZACIÓN Y EL DESARROLLO</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11 de agosto de 2014</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18-03-2025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DE INGRESOS SOBRE HIDROCARBUROS, SE REFORMAN, ADICIONAN Y DEROGAN DIVERSAS DISPOSICIONES DE LA LEY FEDERAL DE DERECHOS Y DE LA LEY DE COORDINACIÓN FISCAL Y SE EXPIDE LA LEY DEL FONDO MEXICANO DEL PETRÓLEO PARA LA ESTABILIZACIÓN Y EL DESARROLLO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ARTÍCULOS PRIMERO A SEXTO. </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SÉPTIMO. </w:t>
      </w:r>
      <w:r>
        <w:rPr>
          <w:sz w:val="20"/>
        </w:rPr>
        <w:t>Se expide la Ley del Fondo Mexicano del Petróleo para la Estabilización y el Desarrollo</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DEL FONDO MEXICANO DEL PETRÓLEO PARA LA ESTABILIZACIÓN Y EL DESARROLLO</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tiene por objeto establecer las normas para la constitución y operación del Fondo Mexicano del Petróleo para la Estabilización y el Desarrollo, el cual tendrá como fin recibir, administrar, invertir y distribuir los ingresos derivados de las asignaciones y los contratos a que se refiere el párrafo séptimo del artículo 27 de la Constitución Política de los Estados Unidos Mexicanos, con excepción de los impuestos, en términos de lo dispuesto en el artículo 28 de la propia Constitución y los transitorios Décimo Cuarto y Décimo Quinto del Decreto por el que se reforman y adicionan diversas disposiciones de la Constitución Política de los Estados Unidos Mexicanos, en Materia de Energía, publicado en el Diario Oficial de la Federación el 20 de diciembre de 2013.</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efectos de esta Ley, se entenderá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Comité: el Comité Técnico del Fondo Mexicano del Petróleo para la Estabilización y el Desarrollo;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Fondo Mexicano del Petróleo: el Fondo Mexicano del Petróleo para la Estabilización y el Desarrollo,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Reserva del Fondo: los activos del Fondo Mexicano del Petróleo destinados al ahorro de largo plazo en términos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Las disposiciones que regulan a los fideicomisos públicos de la Administración Pública Federal no serán aplicables al Fondo Mexicano del Petróleo.</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en su carácter de fiduciario, quedará sujeto a lo dispuesto por la presente Ley y al régimen que le es aplicable al propio Banco tratándose de la administración del patrimonio fideicomitido y, en general, de la realización de la encomienda fiduciaria.</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El patrimonio del Fondo Mexicano del Petróleo se constituirá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ingresos derivados de las asignaciones y los contratos a que se refiere el artículo 1 de esta Ley, los cuales incluyen los acuerdos o resoluciones de unificación;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18-03-2025</w:t>
      </w:r>
    </w:p>
    <w:p>
      <w:pPr>
        <w:pStyle w:val="Texto"/>
        <w:spacing w:lineRule="auto" w:line="240" w:before="0" w:after="0"/>
        <w:ind w:hanging="720" w:start="100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008" w:end="0"/>
        <w:rPr/>
      </w:pPr>
      <w:r>
        <w:rPr>
          <w:b/>
          <w:sz w:val="20"/>
        </w:rPr>
        <w:t>II.</w:t>
      </w:r>
      <w:r>
        <w:rPr>
          <w:sz w:val="20"/>
        </w:rPr>
        <w:tab/>
        <w:t>El producto de las inversiones que se deriven de los recursos del Fondo Mexicano del Petróleo,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III. </w:t>
        <w:tab/>
      </w:r>
      <w:r>
        <w:rPr>
          <w:sz w:val="20"/>
        </w:rPr>
        <w:t>Las donaciones o cualquier tipo de aportación provenientes de cualquier persona física o moral, sin que por ese hecho se consideren como fideicomitentes o fideicomisarios o tengan derecho alguno sobre el patrimonio fideicomitido.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todos los efectos legales, los recursos que conforman el patrimonio del Fondo Mexicano del Petróleo serán considerados de naturaleza federal, imprescriptibles e inembargables.</w:t>
      </w:r>
    </w:p>
    <w:p>
      <w:pPr>
        <w:pStyle w:val="texto1"/>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Fondo Mexicano del Petróleo y su Comité</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
      <w:r>
        <w:rPr>
          <w:b/>
          <w:sz w:val="20"/>
        </w:rPr>
        <w:t>Artículo 5</w:t>
      </w:r>
      <w:bookmarkEnd w:id="4"/>
      <w:r>
        <w:rPr>
          <w:b/>
          <w:sz w:val="20"/>
        </w:rPr>
        <w:t xml:space="preserve">.- </w:t>
      </w:r>
      <w:r>
        <w:rPr>
          <w:sz w:val="20"/>
        </w:rPr>
        <w:t>El Fondo Mexicano del Petróleo, fideicomiso público del Estado constituido por la Secretaría de Hacienda y Crédito Público, como fideicomitente, en el Banco de México, como institución fiduciaria, forma parte de la Federación y no será considerado entidad paraestatal.</w:t>
      </w:r>
    </w:p>
    <w:p>
      <w:pPr>
        <w:pStyle w:val="Texto"/>
        <w:spacing w:lineRule="auto" w:line="240" w:before="0" w:after="0"/>
        <w:rPr>
          <w:sz w:val="20"/>
        </w:rPr>
      </w:pPr>
      <w:r>
        <w:rPr>
          <w:sz w:val="20"/>
        </w:rPr>
      </w:r>
    </w:p>
    <w:p>
      <w:pPr>
        <w:pStyle w:val="Texto"/>
        <w:spacing w:lineRule="auto" w:line="240" w:before="0" w:after="0"/>
        <w:rPr>
          <w:sz w:val="20"/>
        </w:rPr>
      </w:pPr>
      <w:r>
        <w:rPr>
          <w:sz w:val="20"/>
        </w:rPr>
        <w:t>El fideicomitente no podrá, bajo ninguna circunstancia, disminuir el patrimonio fideicomitido del Fondo Mexicano del Petróleo.</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Comité del Fondo Mexicano del Petróleo estará integrado por tres representantes del Estado y cuatro miembros independientes.</w:t>
      </w:r>
    </w:p>
    <w:p>
      <w:pPr>
        <w:pStyle w:val="Texto"/>
        <w:spacing w:lineRule="auto" w:line="240" w:before="0" w:after="0"/>
        <w:rPr>
          <w:sz w:val="20"/>
        </w:rPr>
      </w:pPr>
      <w:r>
        <w:rPr>
          <w:sz w:val="20"/>
        </w:rPr>
      </w:r>
    </w:p>
    <w:p>
      <w:pPr>
        <w:pStyle w:val="Texto"/>
        <w:spacing w:lineRule="auto" w:line="240" w:before="0" w:after="0"/>
        <w:rPr/>
      </w:pPr>
      <w:r>
        <w:rPr>
          <w:sz w:val="20"/>
        </w:rPr>
        <w:t>Las personas integrantes</w:t>
      </w:r>
      <w:r>
        <w:rPr>
          <w:b/>
          <w:sz w:val="20"/>
        </w:rPr>
        <w:t xml:space="preserve"> </w:t>
      </w:r>
      <w:r>
        <w:rPr>
          <w:sz w:val="20"/>
        </w:rPr>
        <w:t>representantes del Estado serán las titulares de la Secretaría de Hacienda y Crédito Público, quien presidirá el Comité, y de la Secretaría de Energía, así como quien ejerza la Gubernatura del Banco de México. Las cuatro personas integrantes independientes serán nombradas en los términos del artículo 9 de esta Ley, y en su nombramiento se garantizará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Las personas integrantes representantes del Estado podrán designar suplentes para asistir a las sesiones del Comité, quienes deberán tener nivel de subsecretaría, tratándose de las personas titulares de las secretarías citadas, o de subgubernatura</w:t>
      </w:r>
      <w:r>
        <w:rPr>
          <w:b/>
          <w:sz w:val="20"/>
        </w:rPr>
        <w:t xml:space="preserve"> </w:t>
      </w:r>
      <w:r>
        <w:rPr>
          <w:sz w:val="20"/>
        </w:rPr>
        <w:t>tratándose de la Gubernatura del Banco de México. Las personas integrantes independientes no podrán designar suplencias bajo ninguna circunstancia.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Comité designará una Secretaría y una Prosecretaría, debiendo recaer tales nombramientos en servidoras y servidores públicos del Banco de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6" w:name="Artículo_7"/>
      <w:r>
        <w:rPr>
          <w:b/>
          <w:sz w:val="20"/>
        </w:rPr>
        <w:t>Artículo 7</w:t>
      </w:r>
      <w:bookmarkEnd w:id="6"/>
      <w:r>
        <w:rPr>
          <w:b/>
          <w:sz w:val="20"/>
        </w:rPr>
        <w:t xml:space="preserve">.- </w:t>
      </w:r>
      <w:r>
        <w:rPr>
          <w:sz w:val="20"/>
        </w:rPr>
        <w:t>Las funciones de administración de aspectos financieros y cálculo de las contraprestaciones de los contratos a que se refiere el párrafo séptimo del artículo 27 de la Constitución Política de los Estados Unidos Mexicanos, que correspondan al Fondo Mexicano del Petróleo en los términos de los artículos 35 y 37, apartado A, fracción IV, de la Ley de Ingresos sobre Hidrocarburos, se llevarán a cabo a través del Comité quien, para ello, encomendará a un Coordinador Ejecutivo y demás personal a su cargo que éste designe, la ejecución de los actos relacionados con dichas funciones.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párrafo anterior, el Coordinador Ejecutivo tendrá las atribuciones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Ejecutar los acuerdos e instrucciones del Comité para efecto de ejercer las funciones a que se refiere el primer párrafo del presente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Realizar el cálculo de las contraprestaciones que, conforme a los contratos citados en el artículo 1 de esta Ley, correspondan a los contratistas respectivos, así como instruir el pago de las mismas;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Informar bimestralmente al Comité de la situación financiera del Fondo Mexicano del Petróleo, incluyendo ingresos, egresos, inversiones y demás información y operaciones relevantes;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Proponer al Comité, para su aprobación, los lineamientos para el desempeño de sus funciones relacionadas con las funciones a que se refiere el primer párrafo del presente artículo, de conformidad con las disposiciones aplicables y, en su caso, lo dispuesto en los contratos, así como los demás lineamientos necesarios para el desarrollo de dichas funciones;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Autorizar la reserva de información en posesión del Coordinador Ejecutivo y su personal, en términos de esta Ley y las demás disposiciones aplicables,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demás que determine el Comité que correspondan a las atribuciones de éste.</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Comité designará a un contralor interno que tendrá a su cargo examinar y dictaminar el desempeño de las funciones que correspondan al Coordinador Ejecutivo y su personal.</w:t>
      </w:r>
    </w:p>
    <w:p>
      <w:pPr>
        <w:pStyle w:val="Texto"/>
        <w:spacing w:lineRule="auto" w:line="240" w:before="0" w:after="0"/>
        <w:rPr>
          <w:sz w:val="20"/>
        </w:rPr>
      </w:pPr>
      <w:r>
        <w:rPr>
          <w:sz w:val="20"/>
        </w:rPr>
      </w:r>
    </w:p>
    <w:p>
      <w:pPr>
        <w:pStyle w:val="Texto"/>
        <w:spacing w:lineRule="auto" w:line="240" w:before="0" w:after="0"/>
        <w:rPr>
          <w:sz w:val="20"/>
        </w:rPr>
      </w:pPr>
      <w:r>
        <w:rPr>
          <w:sz w:val="20"/>
        </w:rPr>
        <w:t>El Coordinador Ejecutivo y el personal a que se refiere el primer párrafo del presente artículo, así como el contralor interno referido en el párrafo anterior, serán trabajadores del Banco de México, quienes deberán satisfacer los requisitos de contratación establecidos para todo el personal del Banco. Las remuneraciones que correspondan al Coordinador Ejecutivo y demás personal citado serán cubiertas con cargo a los honorarios fiduciarios, sujeto a la aprobación del Comité, así como a la política salarial del fiduciario.</w:t>
      </w:r>
    </w:p>
    <w:p>
      <w:pPr>
        <w:pStyle w:val="Texto"/>
        <w:spacing w:lineRule="auto" w:line="240" w:before="0" w:after="0"/>
        <w:rPr>
          <w:sz w:val="20"/>
        </w:rPr>
      </w:pPr>
      <w:r>
        <w:rPr>
          <w:sz w:val="20"/>
        </w:rPr>
      </w:r>
    </w:p>
    <w:p>
      <w:pPr>
        <w:pStyle w:val="Texto"/>
        <w:spacing w:lineRule="auto" w:line="240" w:before="0" w:after="0"/>
        <w:rPr>
          <w:sz w:val="20"/>
        </w:rPr>
      </w:pPr>
      <w:r>
        <w:rPr>
          <w:sz w:val="20"/>
        </w:rPr>
        <w:t>El Coordinador Ejecutivo será delegado fiduciario del Fondo Mexicano del Petróleo para llevar a cabo los actos a que se refiere el presente artículo y deberá cumplir con los requisitos establecidos en el artículo 9, fracciones I a IV y VII,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dispuesto en las demás disposiciones aplicables, el Coordinador Ejecutivo estará sujeto a lo establecido en el artículo 25 de esta Ley.</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El contrato constitutivo del Fondo Mexicano del Petróleo deberá prever, al menos,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duración indefinida y el carácter irrevocable del fideicomiso;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w:t>
      </w:r>
      <w:r>
        <w:rPr>
          <w:b/>
          <w:sz w:val="20"/>
        </w:rPr>
        <w:t xml:space="preserve"> </w:t>
      </w:r>
      <w:r>
        <w:rPr>
          <w:sz w:val="20"/>
        </w:rPr>
        <w:t>su Comité tendrá las siguientes atribuciones: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Determinar, con el voto favorable de por lo menos cinco de sus miembros:</w:t>
      </w:r>
    </w:p>
    <w:p>
      <w:pPr>
        <w:pStyle w:val="Texto"/>
        <w:spacing w:lineRule="auto" w:line="240" w:before="0" w:after="0"/>
        <w:ind w:hanging="0" w:start="1440" w:end="0"/>
        <w:rPr>
          <w:b/>
          <w:sz w:val="20"/>
        </w:rPr>
      </w:pPr>
      <w:r>
        <w:rPr>
          <w:b/>
          <w:sz w:val="20"/>
        </w:rPr>
      </w:r>
    </w:p>
    <w:p>
      <w:pPr>
        <w:pStyle w:val="Texto"/>
        <w:spacing w:lineRule="auto" w:line="240" w:before="0" w:after="0"/>
        <w:ind w:hanging="432" w:start="1872" w:end="0"/>
        <w:rPr/>
      </w:pPr>
      <w:r>
        <w:rPr>
          <w:b/>
          <w:sz w:val="20"/>
        </w:rPr>
        <w:t xml:space="preserve">1. </w:t>
        <w:tab/>
      </w:r>
      <w:r>
        <w:rPr>
          <w:sz w:val="20"/>
        </w:rPr>
        <w:t>La política de inversión en activos financieros que el fiduciario deberá observar en las decisiones de inversión individual que le corresponde tomar respecto del ahorro de largo plazo.</w:t>
      </w:r>
    </w:p>
    <w:p>
      <w:pPr>
        <w:pStyle w:val="Texto"/>
        <w:spacing w:lineRule="auto" w:line="240" w:before="0" w:after="0"/>
        <w:ind w:hanging="432" w:start="1872" w:end="0"/>
        <w:rPr>
          <w:sz w:val="20"/>
        </w:rPr>
      </w:pPr>
      <w:r>
        <w:rPr>
          <w:sz w:val="20"/>
        </w:rPr>
      </w:r>
    </w:p>
    <w:p>
      <w:pPr>
        <w:pStyle w:val="Texto"/>
        <w:spacing w:lineRule="auto" w:line="240" w:before="0" w:after="0"/>
        <w:ind w:hanging="0" w:start="1872" w:end="0"/>
        <w:rPr/>
      </w:pPr>
      <w:r>
        <w:rPr>
          <w:sz w:val="20"/>
        </w:rPr>
        <w:t>En la determinación de las políticas de inversión a que se refiere el párrafo anterior, el Comité deberá establecer parámetros y lineamientos generales, así como metodologías de evaluación sobre las inversiones correspondientes y, dentro de los activos elegibles de inversión, éstos deberán comprender una amplia gama de instrumentos seleccionados con el propósito de incrementar el rendimiento y proteger a la Reserva del Fondo de riesgos inherentes a eventos adversos en la economía nacional;</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 xml:space="preserve">2. </w:t>
        <w:tab/>
      </w:r>
      <w:r>
        <w:rPr>
          <w:sz w:val="20"/>
        </w:rPr>
        <w:t>La estrategia de administración de riesgos que el fiduciario deberá observar en relación con las respectivas inversiones y que, entre otros aspectos, esté referida a las variaciones en el valor del portafolio correspondiente a dichas inversiones;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 xml:space="preserve">3. </w:t>
        <w:tab/>
      </w:r>
      <w:r>
        <w:rPr>
          <w:sz w:val="20"/>
        </w:rPr>
        <w:t>Las reglas de operación que regirán el funcionamiento del Comité, incluyendo las funciones del Presidente, Secretario y Prosecretario, así como los términos y condiciones para la participación de invitados en las sesiones del Comité;</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 xml:space="preserve">4. </w:t>
        <w:tab/>
      </w:r>
      <w:r>
        <w:rPr>
          <w:sz w:val="20"/>
        </w:rPr>
        <w:t>El nombramiento del Coordinador Ejecutivo, a propuesta del Gobernador del Banco de México, y</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 xml:space="preserve">5. </w:t>
        <w:tab/>
      </w:r>
      <w:r>
        <w:rPr>
          <w:sz w:val="20"/>
        </w:rPr>
        <w:t>La aprobación, a propuesta del Coordinador Ejecutivo, del plan de trabajo, el informe anual, así como la propuesta de gasto de operación del año en cuestión para cumplir el fin del Fondo Mexicano del Petróleo;</w:t>
      </w:r>
    </w:p>
    <w:p>
      <w:pPr>
        <w:pStyle w:val="Texto"/>
        <w:spacing w:lineRule="auto" w:line="240" w:before="0" w:after="0"/>
        <w:ind w:hanging="0" w:start="1440" w:end="0"/>
        <w:rPr>
          <w:sz w:val="20"/>
        </w:rPr>
      </w:pPr>
      <w:r>
        <w:rPr>
          <w:sz w:val="20"/>
        </w:rPr>
      </w:r>
    </w:p>
    <w:p>
      <w:pPr>
        <w:pStyle w:val="Texto"/>
        <w:spacing w:lineRule="auto" w:line="240" w:before="0" w:after="0"/>
        <w:ind w:hanging="432" w:start="1440" w:end="0"/>
        <w:rPr/>
      </w:pPr>
      <w:r>
        <w:rPr>
          <w:b/>
          <w:sz w:val="20"/>
        </w:rPr>
        <w:t>b)</w:t>
        <w:tab/>
      </w:r>
      <w:r>
        <w:rPr>
          <w:sz w:val="20"/>
        </w:rPr>
        <w:t>Instruir al fiduciario para que realice las transferencias a la Tesorería de la Federación a que se refiere el artículo 16, fracciones II, incisos f) y g), y IV de esta Ley, de acuerdo con lo establecido en el Título Quinto de la Ley Federal de Presupuesto y Responsabilidad Hacendaria;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Fijar las políticas y lineamientos conforme a los cuales el fiduciario realice las operaciones previstas en el artículo 18 de esta Ley y, en caso que así lo resuelva, determinar las características de éstas;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tab/>
      </w:r>
      <w:r>
        <w:rPr>
          <w:sz w:val="20"/>
        </w:rPr>
        <w:t>Aprobar, a propuesta del Coordinador Ejecutivo, los lineamientos para la apertura de las cuentas y subcuentas en el Banco de México que se determinen en términos de los mismos, para la correcta recepción, administración y distribución de los ingresos derivados de las asignaciones y contratos a que se refiere el artículo 1 de esta Ley, que incluyen los acuerdos o resoluciones de unificación, así como las transferencias a la Tesorería de la Federación, el ahorro de largo plazo e inversiones, además de cualquier otra necesaria para el cumplimiento del fin del Fondo Mexicano del Petróleo;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18-03-2025</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e)</w:t>
        <w:tab/>
      </w:r>
      <w:r>
        <w:rPr>
          <w:sz w:val="20"/>
        </w:rPr>
        <w:t>Recomendar a la Cámara de Diputados, cuando la Reserva del Fondo sea mayor al 3% del Producto Interno Bruto del año previo, por conducto de su Presidente, la asignación de recursos a los siguientes rubros: al fondo para el sistema de pensión universal; a financiar proyectos de inversión en ciencia, tecnología e innovación, y en energías renovables; fondear un vehículo de inversión especializado en proyectos petroleros, coordinado por la Secretaría de Energía y, en su caso, en inversiones en infraestructura para el desarrollo nacional; y a becas para la formación de capital humano en universidades y posgrados; en proyectos de mejora a la conectividad; así como para el desarrollo regional de la industria, en términos del artículo 94 de la Ley Federal de Presupuesto y Responsabilidad Hacendaria;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tab/>
      </w:r>
      <w:r>
        <w:rPr>
          <w:sz w:val="20"/>
        </w:rPr>
        <w:t>Conocer y requerir al Coordinador Ejecutivo la información relativa a los flujos esperados por los pagos que deriven de las asignaciones y los contratos a que se refiere el párrafo séptimo del artículo 27 de la Constitución Política de los Estados Unidos Mexicanos, los cuales incluyen los acuerdos o resoluciones de unificación, que el fiduciario pudiera requerir para llevar a cabo la planeación y administración de la tesorería;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18-03-2025</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g)</w:t>
        <w:tab/>
      </w:r>
      <w:r>
        <w:rPr>
          <w:sz w:val="20"/>
        </w:rPr>
        <w:t>Designar al Secretario y al Prosecretario del Comité,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h)</w:t>
        <w:tab/>
      </w:r>
      <w:r>
        <w:rPr>
          <w:sz w:val="20"/>
        </w:rPr>
        <w:t>Aprobar los estados financieros dictaminados por el auditor externo, que le presente el Coordinador Ejecutivo y, en su caso, realizar las observaciones a que haya lugar.</w:t>
      </w:r>
    </w:p>
    <w:p>
      <w:pPr>
        <w:pStyle w:val="Texto"/>
        <w:spacing w:lineRule="auto" w:line="240" w:before="0" w:after="0"/>
        <w:ind w:hanging="0" w:start="1008" w:end="0"/>
        <w:rPr>
          <w:sz w:val="20"/>
        </w:rPr>
      </w:pPr>
      <w:r>
        <w:rPr>
          <w:sz w:val="20"/>
        </w:rPr>
      </w:r>
    </w:p>
    <w:p>
      <w:pPr>
        <w:pStyle w:val="Texto"/>
        <w:spacing w:lineRule="auto" w:line="240" w:before="0" w:after="0"/>
        <w:ind w:hanging="720" w:start="1008" w:end="0"/>
        <w:rPr/>
      </w:pPr>
      <w:r>
        <w:rPr>
          <w:b/>
          <w:sz w:val="20"/>
        </w:rPr>
        <w:t>III.</w:t>
        <w:tab/>
      </w:r>
      <w:r>
        <w:rPr>
          <w:sz w:val="20"/>
        </w:rPr>
        <w:t>La celebración de sesiones ordinarias del Comité que se llevarán a cabo, al menos cada trimestre, de conformidad con el calendario que éste apruebe en la última sesión ordinaria del año calendario previo. El Presidente del Comité, directamente o a petición del fiduciario en casos urgentes, instruirá al Secretario para que convoque a sesión extraordinaria en cualquier momento.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Para tales efectos, se preverán los plazos y términos para las convocatorias, así como el uso de tecnologías de la información para la convocatoria y celebración de sus sesiones en caso necesario;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sesiones serán válidas con la presencia de al menos cuatro de sus miembros, siempre que asistan el Presidente del Comité y el Gobernador del Banco de México, así como al menos dos miembros independientes;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Comité deliberará en forma colegiada y sus decisiones se adoptarán por mayoría de votos de los miembros presentes o mayoría calificada en los casos previstos en esta Ley. El Presidente tendrá voto de calidad en caso de empate;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procedimiento para determinar los honorarios fiduciarios, los cuales deberán erogarse con cargo al patrimonio fideicomitido, y fijarse observando criterios de eficiencia y economía, que cubran al Banco de México los gastos necesarios para la debida operación del Fondo Mexicano del Petróleo;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 obligación del fiduciario hacia el Comité de transparentar y rendir cuentas sobre el manejo de los recursos aportados al fideicomiso y de proporcionar a las autoridades competentes los informes que permitan su vigilancia y fiscalización, así como las facilidades para realizar auditorías y visitas de inspección por parte de las instancias fiscalizadoras federales;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El fiduciario deberá proporcionar a la Secretaría de Hacienda y Crédito Público la información que ésta le requiera, para efectos de integración de informes en materia de presupuesto, contabilidad gubernamental y fiscalización,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Las demás disposiciones que, en el marco de lo previsto en esta Ley, establezcan el fideicomitente y el fiduciario para la adecuada organización, funcionamiento y operación del Fondo Mexicano del Petróleo.</w:t>
      </w:r>
    </w:p>
    <w:p>
      <w:pPr>
        <w:pStyle w:val="Texto"/>
        <w:spacing w:lineRule="auto" w:line="240" w:before="0" w:after="0"/>
        <w:ind w:hanging="720" w:start="1008" w:end="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Los miembros independientes del Comité, nombrados por el Titular del Ejecutivo Federal con la aprobación de las dos terceras partes de los miembros presentes de la Cámara de Senadores, serán designados en razón de su experiencia, capacidad y prestigio profesional y considerando que puedan desempeñar sus funciones sin conflicto de interés. Los miembros independientes del Comité, deberán reunir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Contar con título profesional, con una antigüedad no menor a diez años al día de la designación, en alguna de las áreas siguientes: derecho, administración, economía, finanzas, contaduría, actuaría, ingeniería o materias relacionadas con el fin del Fondo Mexicano del Petróleo;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Haberse desempeñado, durante al menos diez años, en actividades que proporcionen la experiencia necesaria y que estén sustancialmente relacionadas con las funciones del Comité, ya sea en los ámbitos profesional, docente, o de investigación;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No haber sido condenado por sentencia ejecutoria por delito doloso que le imponga pena de prisión. Tratándose de delitos patrimoniales dolosos, cualquiera que haya sido la pena;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No haber sido sancionado mediante una resolución o sentencia ejecutoria por responsabilidad administrativa o, en su caso, política;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No haber sido servidor público de cualquier nivel de gobierno ni haber ocupado cargos de elección popular o directivos en partido político alguno, durante los dos años anteriores al día de la designación;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No ejercer un empleo, cargo o comisión simultáneo que le impida el adecuado ejercicio de su función de miembro independiente,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No haber sido accionista, socio o dueño, funcionario, directivo, representante legal o asesor importante de cualquier asignatario, contratista, o participante en un Contrato Mixto derivado de una Asignación para Desarrollo Mixto, en los dos años anteriores a su nombramiento, ni tener litigio pendiente con cualquier asignatario o contratista el día de la designación.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18-03-2025</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Los miembros independientes no podrán ocupar, durante el tiempo de su nombramiento, ningún empleo, cargo o comisión de cualquier naturaleza, en los gobiernos federal, de las entidades federativas o municipales, con excepción de los servicios que presten en instituciones docentes, científicas, culturales o de beneficencia. Tampoco podrán realizar actividades o prestar servicios en el sector privado cuando ello implique un conflicto de interés.</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Los miembros independientes que durante su encargo dejen de cumplir con los requisitos señalados en los artículos 9 y 10 de esta Ley o les sobrevenga algún impedimento para continuar desempeñando su función, deberán hacerlo del conocimiento del Ejecutivo Federal, para que éste proceda al nombramiento de un nuevo miembro en los términos de esta Ley.</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Los miembros independientes del Comité se sujetarán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Durarán en el cargo ocho años y no podrán ser nombrados para nuevos periodos.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Los miembros que cubran las vacantes que se produzcan antes de la terminación del periodo respectivo durarán sólo el tiempo que le faltare al sustituido, y sólo podrán ser nombrados para un nuevo periodo si la suplencia no hubiera sido mayor a 3 años;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Los periodos de los miembros serán escalonados, e iniciarán cada dos años el 1 de enero del año que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No tendrán el carácter de servidores públicos y ejercerán su función únicamente durante las sesiones del Comité o como consecuencia de las actividades relacionadas directamente con dichas sesiones;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No tendrán relación laboral alguna con el Banco de México ni con el Fondo Mexicano del Petróleo,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Se les cubrirán honorarios por su asistencia a las sesiones ordinarias del Comité, cuyo monto será equivalente a aquéllos que se cubran a los consejeros independientes de la banca de desarrollo. Asimismo, podrán ser reembolsados por los costos de hospedaje, alimentación y gastos de traslado desde su lugar de residencia al lugar donde se lleve a cabo la sesión del Comité.</w:t>
      </w:r>
    </w:p>
    <w:p>
      <w:pPr>
        <w:pStyle w:val="Texto"/>
        <w:spacing w:lineRule="auto" w:line="240" w:before="0" w:after="0"/>
        <w:ind w:hanging="720" w:start="1008" w:end="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Los servidores públicos que participen como miembros del Comité no recibirán remuneración alguna por el desempeño de dicha función.</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Los miembros independientes del Comité serán removidos de sus cargos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Por incapacidad mental o física permanente total que impida el correcto ejercicio de sus funciones;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Por incumplir, sin mediar causa justificada, los acuerdos y decisiones del Comité;</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Por incumplir deliberadamente o sin causa justificada con las disposiciones que establece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Por incumplir con algún requisito de los que el presente Capítulo señala para ser miembro del Comité o que les sobrevenga algún impedimento;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Por someter, con conocimiento de causa, información falsa a consideración del Comité;</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Por no excusarse de conocer y votar los asuntos en que tengan conflicto de interés;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Por faltar consecutivamente a tres sesiones o no asistir al menos al setenta y cinco por ciento de las sesiones celebradas en un año,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Por haber sido condenado por delito que amerite pena privativa de libertad.</w:t>
      </w:r>
    </w:p>
    <w:p>
      <w:pPr>
        <w:pStyle w:val="Texto"/>
        <w:spacing w:lineRule="auto" w:line="240" w:before="0" w:after="0"/>
        <w:ind w:hanging="720" w:start="1008" w:end="0"/>
        <w:rPr>
          <w:sz w:val="20"/>
        </w:rPr>
      </w:pPr>
      <w:r>
        <w:rPr>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A solicitud de cuando menos uno de sus miembros, el Presidente del Comité deberá hacer del conocimiento del Ejecutivo Federal los casos en que alguno de los miembros independientes pueda ubicarse en alguno de los supuestos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determinará, previa audiencia del interesado, si se configuran o no los supuestos de remoción de los miembros independientes, con base en los elementos que se le presenten o recabe para tal efecto. En caso de que el Ejecutivo Federal determine la remoción del miembro independiente, procederá al nombramiento de un nuevo miembro en los términos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operación del Fondo Mexicano del Petróleo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Los recursos entregados al Fondo Mexicano del Petróleo serán destinados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términos de la Ley de Ingresos sobre Hidrocarburos, el fiduciario debe realizar los pagos derivados de las asignaciones y los contratos a que se refiere el párrafo séptimo del artículo 27 de la Constitución Política de los Estados Unidos Mexicanos, así como los relativos a los acuerdos o resoluciones de unificación, a más tardar a los cinco días hábiles bancarios posteriores a que el Coordinador Ejecutivo lo autorice;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18-03-2025</w:t>
      </w:r>
    </w:p>
    <w:p>
      <w:pPr>
        <w:pStyle w:val="Texto"/>
        <w:spacing w:lineRule="auto" w:line="240" w:before="0" w:after="0"/>
        <w:ind w:hanging="720" w:start="100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008" w:end="0"/>
        <w:rPr/>
      </w:pPr>
      <w:r>
        <w:rPr>
          <w:b/>
          <w:sz w:val="20"/>
        </w:rPr>
        <w:t>II.</w:t>
        <w:tab/>
      </w:r>
      <w:r>
        <w:rPr>
          <w:sz w:val="20"/>
        </w:rPr>
        <w:t>En términos del Título Quinto de la Ley Federal de Presupuesto y Responsabilidad Hacendaria y conforme al calendario que establezca el fideicomitente, el fiduciario realizará transferencias ordinarias en el siguiente orden de prelación:</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Al Fondo de Estabilización de los Ingresos Presupuestarios;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Al Fondo de Estabilización de los Ingresos de las Entidades Federativas;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Al Fondo de Extracción de Hidrocarburos;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 xml:space="preserve">d) </w:t>
        <w:tab/>
      </w:r>
      <w:r>
        <w:rPr>
          <w:sz w:val="20"/>
        </w:rPr>
        <w:t>A la investigación científica y desarrollo tecnológico en materia de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06-11-2020</w:t>
      </w:r>
    </w:p>
    <w:p>
      <w:pPr>
        <w:pStyle w:val="Texto"/>
        <w:spacing w:lineRule="auto" w:line="240" w:before="0" w:after="0"/>
        <w:ind w:hanging="432" w:start="144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2" w:start="1440" w:end="0"/>
        <w:rPr/>
      </w:pPr>
      <w:r>
        <w:rPr>
          <w:b/>
          <w:sz w:val="20"/>
        </w:rPr>
        <w:t xml:space="preserve">e) </w:t>
        <w:tab/>
      </w:r>
      <w:r>
        <w:rPr>
          <w:sz w:val="20"/>
        </w:rPr>
        <w:t>A la investigación científica y desarrollo tecnológico en materia de sustentabilidad energética;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06-11-2020</w:t>
      </w:r>
    </w:p>
    <w:p>
      <w:pPr>
        <w:pStyle w:val="Texto"/>
        <w:spacing w:lineRule="auto" w:line="240" w:before="0" w:after="0"/>
        <w:ind w:hanging="432" w:start="14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2" w:start="1440" w:end="0"/>
        <w:rPr/>
      </w:pPr>
      <w:r>
        <w:rPr>
          <w:b/>
          <w:sz w:val="20"/>
        </w:rPr>
        <w:t>f)</w:t>
        <w:tab/>
      </w:r>
      <w:r>
        <w:rPr>
          <w:sz w:val="20"/>
        </w:rPr>
        <w:t>A la Tesorería de la Federación, para cubrir los costos de fiscalización en materia petrolera de la Auditoría Superior de la Federación,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tab/>
      </w:r>
      <w:r>
        <w:rPr>
          <w:sz w:val="20"/>
        </w:rPr>
        <w:t>A la Tesorería de la Federación, los recursos necesarios para que los ingresos petroleros del Gobierno Federal que se destinan a cubrir el Presupuesto de Egresos de la Federación se mantengan en el 4.7% del Producto Interno Bruto. Dichos recursos incluirán las transferencias a los municipios colindantes con la frontera o litorales por los que se realice materialmente la salida del país de los hidrocarburos.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sz w:val="20"/>
        </w:rPr>
        <w:tab/>
        <w:t>Para efectos del cumplimiento del monto establecido en este inciso se considerarán incluidas las transferencias previstas en los incisos a) a f) anteriores;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III.</w:t>
        <w:tab/>
      </w:r>
      <w:r>
        <w:rPr>
          <w:sz w:val="20"/>
        </w:rPr>
        <w:t>Una vez realizados los pagos y transferencias a que se refieren las fracciones I y II anteriores, el fiduciario administrará los recursos remanentes en la Reserva del Fondo para generar ahorro de largo plazo del Gobierno Federal, incluyendo inversión en activos financieros,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recursos correspondientes a la Reserva del Fondo podrán ser transferidos de manera extraordinaria a la Tesorería de la Federación para cubrir erogaciones del Presupuesto de Egresos de la Federación, en los términos de la Ley Federal de Presupuesto y Responsabilidad Hacendaria. Lo anterior, incluyendo las transferencias que se realicen de conformidad con los montos aprobados por la Cámara de Diputados para el uso de los recursos cuando la Reserva del Fondo sea mayor al 3% del Producto Interno Bruto.</w:t>
      </w:r>
    </w:p>
    <w:p>
      <w:pPr>
        <w:pStyle w:val="Texto"/>
        <w:spacing w:lineRule="auto" w:line="240" w:before="0" w:after="0"/>
        <w:ind w:hanging="720" w:start="1008" w:end="0"/>
        <w:rPr>
          <w:sz w:val="20"/>
        </w:rPr>
      </w:pPr>
      <w:r>
        <w:rPr>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 política de inversiones y de administración de riesgos para la Reserva del Fondo deberá contemplar, al menos, los siguientes lineamientos: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Buscar el máximo retorno a la inversión con un nivel adecuado de riesgo;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Buscar una diversificación del riesgo alineada con la política macroeconómica del país, mediante una composición de cartera en activos financieros, tales como bonos soberanos, bonos soberanos indexados a inflación, bonos corporativos y acciones, entre otros, que cumplan con las políticas de inversión que determine el Comité;</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Establecer límites de exposición por tipo de activo, países, regiones y sectores económicos;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Aprovechar la naturaleza de largo plazo del ahorro para eludir los riesgos asociados a la volatilidad de los mercados en el corto plazo y poder capturar un premio en el retorno en el largo plazo;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 xml:space="preserve"> </w:t>
        <w:tab/>
        <w:t>Considerar un portafolio de referencia que permita evaluar el desempeño de la Reserva del Fondo,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En su caso, contemplar la utilización de derivados con el único fin de facilitar la instrumentación de las políticas de inversión y de administración de riesgos.</w:t>
      </w:r>
    </w:p>
    <w:p>
      <w:pPr>
        <w:pStyle w:val="Texto"/>
        <w:spacing w:lineRule="auto" w:line="240" w:before="0" w:after="0"/>
        <w:ind w:hanging="720" w:start="1008" w:end="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Con el objeto de permitir una adecuada operación del Fondo Mexicano del Petróleo en cumplimiento de su fin y satisfacer sus necesidades de liquidez y cumplimiento oportuno de las obligaciones a su cargo, el fiduciario, sujeto a los lineamientos que emita el Comité en esta materia, mantendrá en el Banco de México las cuentas corrientes que requiera para recibir, administrar y distribuir los ingresos destinados a lo señalado en el artículo 16, fracciones I y II, de esta Ley. Las reglas operativas de estas cuentas se ajustarán a lo que acuerden el fideicomitente y el fiduciario pero, en todo caso, el saldo de estas cuentas no podrá tener un saldo deudor bajo ninguna circunstancia.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transparencia e información sobre las operaciones del Fondo Mexicano del Petróleo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El fiduciario deberá publicar por medios electrónicos y por lo menos dentro de los treinta días naturales posteriores al cierre de cada trimestre calendario, previa aprobación del Comité, un informe que contenga como mínimo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Un reporte sobre las actividades realizadas en el trimestre anterior y los principales resultados financieros. Dicho reporte deberá emplear indicadores o parámetros para la correcta y puntual medición de los resultados y estar vinculado a los objetivos y metas del Fondo Mexicano del Petróleo;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estados que muestren la situación financiera del Fondo Mexicano del Petróleo durante y a la fecha de cierre del ejercicio, sus cambios y resultados, así como la demás información que sea necesaria para completar o aclarar los datos suministrados con dichos estados;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montos de las transferencias realizadas a la Tesorería de la Federación y a los fondos señalados en el Capítulo III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monto de los honorarios fiduciarios pagados por el Fondo Mexicano del Petróleo al Banco de México,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El monto de los gastos cubiertos al comercializador del Fondo Mexicano del Petróleo a que se refiere la Ley de Ingresos sobre Hidrocarburos.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fiduciario deberá observar lo anterior como excepción a las disposiciones relativas al secreto fiduciario previstas en ley y sin perjuicio de las demás obligaciones en materia presupuestaria, contable y de transparencia que resulten aplicables al fiduciario.</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Las actas del Comité que contengan información sujeta a reserva en términos de la presente Ley, así como de las disposiciones aplicables en materia de transparencia y acceso a la información pública, solamente serán reservadas en lo que concierne a dicha información, conforme a las políticas que al respecto determine el Comité, en términos de dichas disposiciones.</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el Secretario, Prosecretario y los invitados del Comité están obligados a guardar la confidencialidad y reserva, así como custodiar y cuidar la documentación e información de la que, por razón de su participación en el Comité, tengan conocimiento o que esté bajo su responsabilidad, así como impedir y evitar su uso, sustracción, destrucción, ocultamiento o utilización indebidos.</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confidencialidad referida permanecerá en vigor cinco años después de que los sujetos vinculados por ella dejen de participar en el Fondo Mexicano del Petróleo, excepto en el caso en que presten sus servicios, laboren o tengan cualquier vínculo comercial, corporativo o de asesoría con personas físicas o morales, nacionales o extranjeras, que lleven a cabo actividades relacionadas con los fines del Fondo Mexicano del Petróleo, en cuyo caso la obligación de confidencialidad permanecerá vigente durante todo el tiempo que dure dicha relación comercial, laboral o de cualquier naturaleza.</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reserva y confidencialidad a que se refieren los párrafos anteriores será aplicable al Coordinador Ejecutivo y al personal que dependa del mismo.</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Sin perjuicio de lo dispuesto por las disposiciones aplicables en materia de transparencia, será reservada: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Aquella información cuya revelación pudiera colocar al Fondo Mexicano del Petróleo en situaciones de desventaja o que pudiera resultar en un beneficio indebido a un tercero, respecto de las inversiones y operaciones financieras que el fiduciario está facultado a realizar, incluidos los términos y condiciones de los contratos o instrumentos que documenten dichas inversiones y operaciones que lleve a cabo el fiduciario;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evaluaciones que lleve a cabo el fiduciario o el Comité sobre inversiones o sujetos o instrumentos de inversión individuales, así como cualquier operación sobre activos objeto de inversión que el Fondo Mexicano del Petróleo contemple realizar;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proyecciones o estimaciones que lleve a cabo el fiduciario o el Comité sobre comportamientos de los mercados o indicadores económicos que no sean del conocimiento público, así como cualquier otra información sobre mercados o instrumentos de inversión que constituya información privilegiada o confidencial en términos de las disposiciones aplicables,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metodologías analíticas o de investigación que emplee el fiduciario o el Comité para la toma de decisiones sobre las inversiones que el Fondo Mexicano del Petróleo está facultado a realizar.</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Respecto de aquella información recibida por el fiduciario que deba ser conservada en confidencialidad o reserva por las instancias que la hayan proporcionado, el fiduciario quedará obligado a mantener dicha confidencialidad y reserva en los mismos términos. Una vez que haya transcurrido el periodo de reserva correspondiente a la información prevista en este artículo, ésta deberá considerarse pública, sin que resulten aplicables las disposiciones relativas al secreto fiduciario previstas en ley.</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w:t>
      </w:r>
      <w:r>
        <w:rPr>
          <w:sz w:val="20"/>
        </w:rPr>
        <w:t xml:space="preserve"> </w:t>
      </w:r>
      <w:r>
        <w:rPr>
          <w:b/>
          <w:sz w:val="20"/>
        </w:rPr>
        <w:t>22</w:t>
      </w:r>
      <w:bookmarkEnd w:id="21"/>
      <w:r>
        <w:rPr>
          <w:b/>
          <w:sz w:val="20"/>
        </w:rPr>
        <w:t>.-</w:t>
      </w:r>
      <w:r>
        <w:rPr>
          <w:sz w:val="20"/>
        </w:rPr>
        <w:t xml:space="preserve"> El auditor externo del Banco de México que contrate el Secretario de Hacienda y Crédito Público de conformidad con el artículo 50 de la Ley del Banco de México fungirá también como auditor externo del Fondo Mexicano del Petróleo.</w:t>
      </w:r>
    </w:p>
    <w:p>
      <w:pPr>
        <w:pStyle w:val="Texto"/>
        <w:spacing w:lineRule="auto" w:line="240" w:before="0" w:after="0"/>
        <w:rPr>
          <w:sz w:val="20"/>
        </w:rPr>
      </w:pPr>
      <w:r>
        <w:rPr>
          <w:sz w:val="20"/>
        </w:rPr>
      </w:r>
    </w:p>
    <w:p>
      <w:pPr>
        <w:pStyle w:val="Texto"/>
        <w:spacing w:lineRule="auto" w:line="240" w:before="0" w:after="0"/>
        <w:rPr>
          <w:sz w:val="20"/>
        </w:rPr>
      </w:pPr>
      <w:r>
        <w:rPr>
          <w:sz w:val="20"/>
        </w:rPr>
        <w:t>El auditor tendrá las más amplias facultades para examinar y dictaminar los estados financieros del Fondo Mexicano del Petróleo, así como para revisar la contabilidad y demás documentación relacionada.</w:t>
      </w:r>
    </w:p>
    <w:p>
      <w:pPr>
        <w:pStyle w:val="Texto"/>
        <w:spacing w:lineRule="auto" w:line="240" w:before="0" w:after="0"/>
        <w:rPr>
          <w:sz w:val="20"/>
        </w:rPr>
      </w:pPr>
      <w:r>
        <w:rPr>
          <w:sz w:val="20"/>
        </w:rPr>
      </w:r>
    </w:p>
    <w:p>
      <w:pPr>
        <w:pStyle w:val="Texto"/>
        <w:spacing w:lineRule="auto" w:line="240" w:before="0" w:after="0"/>
        <w:rPr/>
      </w:pPr>
      <w:r>
        <w:rPr>
          <w:sz w:val="20"/>
        </w:rPr>
        <w:t>Además de lo anterior, el auditor a que se refiere el presente artículo puede revisar el cumplimiento de las obligaciones previstas en los contratos para la exploración y extracción de hidrocarburos a que se refiere la Ley del Sector</w:t>
      </w:r>
      <w:r>
        <w:rPr>
          <w:b/>
          <w:sz w:val="20"/>
        </w:rPr>
        <w:t xml:space="preserve"> </w:t>
      </w:r>
      <w:r>
        <w:rPr>
          <w:sz w:val="20"/>
        </w:rPr>
        <w:t>Hidrocarburos, así como las acciones tomadas por las autoridades competentes en su administración, analizando si las modalidades de contratación y las contraprestaciones pactadas obedecen a maximizar los ingresos de la Nación, con base en las circunstancias observadas al momento de la determinación.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18-03-2025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auditor externo referido deberá enviar al Ejecutivo Federal y al Congreso de la Unión copia de los dictámenes y resultados de revisión que lleve a cabo en cumplimiento a lo dispuesto por el presente artículo y que presente al Comité.</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El Fondo Mexicano del Petróleo deberá contar con un sistema informático que permita, de manera remota, el intercambio y registro de las transacciones y las auditorías de las mismas.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Fondo Mexicano del Petróleo debe coordinarse con la Secretaría de Energía quien le debe proporcionar toda la información técnica y operativa que sea necesaria para el correcto cumplimiento de su fin.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18-03-2025</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responsabilidades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Los miembros del Comité serán sujetos a responsabilidad en el ejercicio de sus funciones cuando causen un daño o perjuicio estimable en dinero a la Hacienda Pública Federal, en los términos del Título Quinto de la Ley de Fiscalización y Rendición de Cuentas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Comité no se considerarán responsables por daños y perjuicios, cuando se actualicen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Actúen conforme a sus facultades;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Tomen sus decisiones con base en la información disponible al momento de la decisión,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los procedimientos de responsabilidad que, en su caso, se lleven a cabo en contra de los miembros del Comité, será necesario que se acredite el dolo o mala fe con que se condujeron para poder fincar la responsabilidad de orden civil, penal o administrativa que corresponda.</w:t>
      </w:r>
    </w:p>
    <w:p>
      <w:pPr>
        <w:pStyle w:val="Texto"/>
        <w:spacing w:lineRule="auto" w:line="240" w:before="0" w:after="0"/>
        <w:rPr>
          <w:sz w:val="20"/>
        </w:rPr>
      </w:pPr>
      <w:r>
        <w:rPr>
          <w:sz w:val="20"/>
        </w:rPr>
      </w:r>
    </w:p>
    <w:p>
      <w:pPr>
        <w:pStyle w:val="Texto"/>
        <w:spacing w:lineRule="auto" w:line="240" w:before="0" w:after="0"/>
        <w:rPr/>
      </w:pPr>
      <w:bookmarkStart w:id="25" w:name="DISPOSICIONES_TRANSITORIAS_DE_LA_LEY"/>
      <w:r>
        <w:rPr>
          <w:b/>
          <w:sz w:val="20"/>
        </w:rPr>
        <w:t>ARTÍCULO OCTAVO</w:t>
      </w:r>
      <w:bookmarkEnd w:id="25"/>
      <w:r>
        <w:rPr>
          <w:b/>
          <w:sz w:val="20"/>
        </w:rPr>
        <w:t xml:space="preserve">. </w:t>
      </w:r>
      <w:r>
        <w:rPr>
          <w:sz w:val="20"/>
        </w:rPr>
        <w:t>Se establecen las siguientes disposiciones transitorias de la Ley del Fondo Mexicano del Petróleo para la Estabilización y el Desarrollo:</w:t>
      </w:r>
    </w:p>
    <w:p>
      <w:pPr>
        <w:pStyle w:val="Texto"/>
        <w:spacing w:lineRule="auto" w:line="240" w:before="0" w:after="0"/>
        <w:rPr>
          <w:b/>
          <w:sz w:val="20"/>
        </w:rPr>
      </w:pPr>
      <w:r>
        <w:rPr>
          <w:b/>
          <w:sz w:val="20"/>
        </w:rPr>
      </w:r>
    </w:p>
    <w:p>
      <w:pPr>
        <w:pStyle w:val="Texto"/>
        <w:spacing w:lineRule="auto" w:line="240" w:before="0" w:after="0"/>
        <w:ind w:hanging="720" w:start="1008" w:end="0"/>
        <w:rPr/>
      </w:pPr>
      <w:r>
        <w:rPr>
          <w:b/>
          <w:color w:val="000000"/>
          <w:sz w:val="20"/>
        </w:rPr>
        <w:t>I.</w:t>
        <w:tab/>
      </w:r>
      <w:r>
        <w:rPr>
          <w:sz w:val="20"/>
        </w:rPr>
        <w:t>La presente Ley entrará en vigor al día siguiente de su publicación en el Diario Oficial de la Federación.</w:t>
      </w:r>
    </w:p>
    <w:p>
      <w:pPr>
        <w:pStyle w:val="Texto"/>
        <w:spacing w:lineRule="auto" w:line="240" w:before="0" w:after="0"/>
        <w:ind w:hanging="720" w:start="1008" w:end="0"/>
        <w:rPr>
          <w:b/>
          <w:color w:val="000000"/>
          <w:sz w:val="20"/>
        </w:rPr>
      </w:pPr>
      <w:r>
        <w:rPr>
          <w:b/>
          <w:color w:val="000000"/>
          <w:sz w:val="20"/>
        </w:rPr>
      </w:r>
    </w:p>
    <w:p>
      <w:pPr>
        <w:pStyle w:val="Texto"/>
        <w:spacing w:lineRule="auto" w:line="240" w:before="0" w:after="0"/>
        <w:ind w:hanging="720" w:start="1008" w:end="0"/>
        <w:rPr/>
      </w:pPr>
      <w:r>
        <w:rPr>
          <w:b/>
          <w:color w:val="000000"/>
          <w:sz w:val="20"/>
        </w:rPr>
        <w:t>II.</w:t>
        <w:tab/>
      </w:r>
      <w:r>
        <w:rPr>
          <w:sz w:val="20"/>
        </w:rPr>
        <w:t>El Ejecutivo Federal someterá a la aprobación del Senado de la República, dentro de los noventa días naturales siguientes a la entrada en vigor de este Decreto, los nombramientos de los primeros cuatro miembros independientes del Comité del Fondo Mexicano del Petróleo para la Estabilización y el Desarrollo.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Los periodos de los cuatro primeros miembros independientes del Comité vencerán los días 31 de diciembre de 2015, 2017, 2019 y 2021, respectivamente, y el Ejecutivo Federal señalará cuál de los periodos citados corresponderá a cada miembro nombrado.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color w:val="000000"/>
          <w:sz w:val="20"/>
        </w:rPr>
        <w:t>III.</w:t>
        <w:tab/>
      </w:r>
      <w:r>
        <w:rPr>
          <w:sz w:val="20"/>
        </w:rPr>
        <w:t>Dentro de los noventa días naturales siguientes a la entrada en vigor del presente Decreto, la Secretaría de Hacienda y Crédito Público, como fideicomitente, deberá suscribir con el Banco de México, como fiduciario, el contrato constitutivo del fideicomiso denominado Fondo Mexicano del Petróleo para la Estabilización y el Desarrollo.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A los treinta días naturales posteriores a la suscripción del contrato a que se refiere el párrafo anterior, el Comité Técnico del Fondo Mexicano del Petróleo para la Estabilización y el Desarrollo podrá llevar a cabo las sesiones que requiera y se realizarán las acciones necesarias a fin de que dicho Fondo inicie operaciones en el año 2015. Para tal efecto, el Comité adoptará sus decisiones mediante mayoría simple de los miembros presentes en las sesiones correspondientes, las cuales requerirán un quórum de tres miembros como mínimo.</w:t>
      </w:r>
    </w:p>
    <w:p>
      <w:pPr>
        <w:pStyle w:val="Texto"/>
        <w:spacing w:lineRule="auto" w:line="240" w:before="0" w:after="0"/>
        <w:ind w:hanging="720" w:start="1008" w:end="0"/>
        <w:rPr>
          <w:sz w:val="20"/>
        </w:rPr>
      </w:pPr>
      <w:r>
        <w:rPr>
          <w:sz w:val="20"/>
        </w:rPr>
      </w:r>
    </w:p>
    <w:p>
      <w:pPr>
        <w:pStyle w:val="ANOTACION"/>
        <w:spacing w:lineRule="auto" w:line="240" w:before="0" w:after="0"/>
        <w:rPr>
          <w:rFonts w:ascii="Arial" w:hAnsi="Arial" w:cs="Arial"/>
          <w:sz w:val="22"/>
          <w:szCs w:val="22"/>
        </w:rPr>
      </w:pPr>
      <w:bookmarkStart w:id="26" w:name="TRANSITORIOS_DEL_DECRETO"/>
      <w:r>
        <w:rPr>
          <w:rFonts w:cs="Arial" w:ascii="Arial" w:hAnsi="Arial"/>
          <w:sz w:val="22"/>
          <w:szCs w:val="22"/>
        </w:rPr>
        <w:t>TRANSITORIOS</w:t>
      </w:r>
      <w:bookmarkEnd w:id="2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7" w:name="Primero"/>
      <w:r>
        <w:rPr>
          <w:b/>
          <w:sz w:val="20"/>
        </w:rPr>
        <w:t>Primero</w:t>
      </w:r>
      <w:bookmarkEnd w:id="27"/>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28" w:name="Segundo"/>
      <w:r>
        <w:rPr>
          <w:b/>
          <w:sz w:val="20"/>
        </w:rPr>
        <w:t>Segundo</w:t>
      </w:r>
      <w:bookmarkEnd w:id="28"/>
      <w:r>
        <w:rPr>
          <w:b/>
          <w:sz w:val="20"/>
        </w:rPr>
        <w:t xml:space="preserve">. </w:t>
      </w:r>
      <w:r>
        <w:rPr>
          <w:sz w:val="20"/>
        </w:rPr>
        <w:t>Durante los ejercicios 2015, 2016, 2017 y 2018 se está a lo siguiente:</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Cuando los ingresos observados totales del Fondo Mexicano del Petróleo para la Estabilización y el Desarrollo en el ejercicio correspondiente sean superiores a los ingresos estimados para el mismo año de que se trate, en ambos casos descontando los pagos establecidos en la fracción I del artículo 16 de la Ley del Fondo Mexicano del Petróleo para la Estabilización y el Desarrollo y los rendimientos de la Reserva del Fondo, el Gobierno Federal entregará a las entidades federativas y municipios, con cargo al Presupuesto de Egresos de la Federación del siguiente ejercicio fiscal, una cantidad equivalente al monto que les correspondería como participaciones de considerar participable, en términos de la Ley de Ingresos del año de que se trate, el monto que resulte de descontar del excedente que se registre entre los ingresos observados y los ingresos estimados, la diferencia existente entre el monto observado correspondiente a la transferencia del Fondo Mexicano del Petróleo a que se refiere el artículo 93 de la Ley Federal de Presupuesto y Responsabilidad Hacendaria y la estimación por el mismo concepto contenida en la Ley de Ingresos de la Federación del año de que se trate.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Cuando los recursos recibidos por las entidades federativas y los municipios procedentes de los ingresos que, en términos de este Decreto, se integran a la Recaudación Federal Participable conforme a lo dispuesto en el párrafo tercero del artículo 2o. de la Ley de Coordinación Fiscal, sean menores a las que hubieran recibido de haber aplicado a las asignaciones vigentes en el año que corresponda, las disposiciones de la Ley Federal de Derechos y la Ley de Coordinación Fiscal vigentes hasta antes de la entrada en vigor de este Decreto, el Gobierno Federal entregará a las entidades federativas y los municipios, con cargo al Presupuesto de Egresos de la Federación del siguiente ejercicio fiscal, una cantidad equivalente a la diferencia entre el monto que les hubiera correspondido como participaciones conforme a las disposiciones citadas, y el monto efectivamente observado conforme a lo dispuesto en el párrafo tercero del artículo 2o. de la Ley de Coordinación Fiscal.</w:t>
      </w:r>
    </w:p>
    <w:p>
      <w:pPr>
        <w:pStyle w:val="ROMANOS"/>
        <w:spacing w:lineRule="auto" w:line="240" w:before="0" w:after="0"/>
        <w:rPr>
          <w:sz w:val="20"/>
          <w:szCs w:val="20"/>
        </w:rPr>
      </w:pPr>
      <w:r>
        <w:rPr>
          <w:sz w:val="20"/>
          <w:szCs w:val="20"/>
        </w:rPr>
      </w:r>
    </w:p>
    <w:p>
      <w:pPr>
        <w:pStyle w:val="Texto"/>
        <w:spacing w:lineRule="auto" w:line="240" w:before="0" w:after="0"/>
        <w:rPr>
          <w:sz w:val="20"/>
        </w:rPr>
      </w:pPr>
      <w:r>
        <w:rPr>
          <w:sz w:val="20"/>
        </w:rPr>
        <w:t>Los recursos que se entreguen a las entidades federativas y municipios en términos de la fracción I de este transitorio no podrán ser mayores a 11,800 millones de pesos en el ejercicio correspondiente. El Gobierno Federal realizará la entrega de los recursos que procedan conforme a las fracciones I y II anteriores a más tardar en el mes de febrero del ejercicio siguiente al que corresponda.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5 de agosto de 2014.- Dip. </w:t>
      </w:r>
      <w:r>
        <w:rPr>
          <w:b/>
          <w:sz w:val="20"/>
        </w:rPr>
        <w:t>José González Morfín</w:t>
      </w:r>
      <w:r>
        <w:rPr>
          <w:sz w:val="20"/>
        </w:rPr>
        <w:t xml:space="preserve">, Presidente.- Sen. </w:t>
      </w:r>
      <w:r>
        <w:rPr>
          <w:b/>
          <w:sz w:val="20"/>
        </w:rPr>
        <w:t>Raúl Cervantes Andrade</w:t>
      </w:r>
      <w:r>
        <w:rPr>
          <w:sz w:val="20"/>
        </w:rPr>
        <w:t xml:space="preserve">, Presidente.- Dip. </w:t>
      </w:r>
      <w:r>
        <w:rPr>
          <w:b/>
          <w:sz w:val="20"/>
        </w:rPr>
        <w:t>Javier Orozco Gómez</w:t>
      </w:r>
      <w:r>
        <w:rPr>
          <w:sz w:val="20"/>
        </w:rPr>
        <w:t xml:space="preserve">, Secretario.- Sen. </w:t>
      </w:r>
      <w:r>
        <w:rPr>
          <w:b/>
          <w:sz w:val="20"/>
        </w:rPr>
        <w:t>Rosa Adriana Díaz Lizama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center"/>
        <w:rPr>
          <w:rFonts w:ascii="Tahoma" w:hAnsi="Tahoma" w:eastAsia="MS Mincho;Yu Gothic UI" w:cs="Tahoma"/>
          <w:b/>
          <w:color w:val="008000"/>
          <w:sz w:val="22"/>
          <w:szCs w:val="22"/>
        </w:rPr>
      </w:pPr>
      <w:bookmarkStart w:id="29" w:name="TRANSITORIOS_DE_DECRETOS_DE_REFORMA"/>
      <w:r>
        <w:rPr>
          <w:rFonts w:eastAsia="MS Mincho;Yu Gothic UI" w:cs="Tahoma" w:ascii="Tahoma" w:hAnsi="Tahoma"/>
          <w:b/>
          <w:color w:val="008000"/>
          <w:sz w:val="22"/>
          <w:szCs w:val="22"/>
        </w:rPr>
        <w:t>ARTÍCULOS TRANSITORIOS DE DECRETOS DE REFORMA</w:t>
      </w:r>
      <w:bookmarkEnd w:id="29"/>
    </w:p>
    <w:p>
      <w:pPr>
        <w:pStyle w:val="Textosinformato"/>
        <w:jc w:val="both"/>
        <w:rPr>
          <w:rFonts w:ascii="Arial" w:hAnsi="Arial" w:eastAsia="MS Mincho;Yu Gothic UI" w:cs="Arial"/>
          <w:b/>
          <w:color w:val="008000"/>
          <w:sz w:val="22"/>
          <w:szCs w:val="22"/>
        </w:rPr>
      </w:pPr>
      <w:r>
        <w:rPr>
          <w:rFonts w:eastAsia="MS Mincho;Yu Gothic UI" w:cs="Arial" w:ascii="Arial" w:hAnsi="Arial"/>
          <w:b/>
          <w:color w:val="008000"/>
          <w:sz w:val="22"/>
          <w:szCs w:val="22"/>
        </w:rPr>
      </w:r>
    </w:p>
    <w:p>
      <w:pPr>
        <w:pStyle w:val="Textosinformato"/>
        <w:jc w:val="both"/>
        <w:rPr/>
      </w:pPr>
      <w:r>
        <w:rPr>
          <w:rFonts w:cs="Arial" w:ascii="Arial" w:hAnsi="Arial"/>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6 de noviembre de 2020</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MX"/>
        </w:rPr>
      </w:pPr>
      <w:r>
        <w:rPr>
          <w:b/>
          <w:bCs/>
          <w:sz w:val="20"/>
          <w:lang w:val="es-MX"/>
        </w:rPr>
        <w:t xml:space="preserve">ARTÍCULO DÉCIMO QUINTO. </w:t>
      </w:r>
      <w:r>
        <w:rPr>
          <w:sz w:val="20"/>
          <w:lang w:val="es-MX"/>
        </w:rPr>
        <w:t>Se reforman los incisos d) y e) de la fracción II del artículo 16 de la Ley del Fondo Mexicano del Petróleo para la Estabilización y el Desarrollo,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Segundo. </w:t>
      </w:r>
      <w:r>
        <w:rPr>
          <w:sz w:val="20"/>
          <w:lang w:val="es-MX"/>
        </w:rPr>
        <w:t>Se derogan todas las disposiciones que se opongan a lo dispuesto en 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Tercero. </w:t>
      </w:r>
      <w:r>
        <w:rPr>
          <w:sz w:val="20"/>
          <w:lang w:val="es-MX"/>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Cuarto. </w:t>
      </w:r>
      <w:r>
        <w:rPr>
          <w:sz w:val="20"/>
          <w:lang w:val="es-MX"/>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Quinto. </w:t>
      </w:r>
      <w:r>
        <w:rPr>
          <w:sz w:val="20"/>
          <w:lang w:val="es-MX"/>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Sexto. </w:t>
      </w:r>
      <w:r>
        <w:rPr>
          <w:sz w:val="20"/>
          <w:lang w:val="es-MX"/>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Séptimo. </w:t>
      </w:r>
      <w:r>
        <w:rPr>
          <w:sz w:val="20"/>
          <w:lang w:val="es-MX"/>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concentrar en sus tesorerías los recursos distintos a los señalados en el primer párrafo del presente Transitorio en el plazo previsto en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Octavo. </w:t>
      </w:r>
      <w:r>
        <w:rPr>
          <w:sz w:val="20"/>
          <w:lang w:val="es-MX"/>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Noveno. </w:t>
      </w:r>
      <w:r>
        <w:rPr>
          <w:sz w:val="20"/>
          <w:lang w:val="es-MX"/>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w:t>
      </w:r>
      <w:r>
        <w:rPr>
          <w:sz w:val="20"/>
          <w:lang w:val="es-MX"/>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Primero. </w:t>
      </w:r>
      <w:r>
        <w:rPr>
          <w:sz w:val="20"/>
          <w:lang w:val="es-MX"/>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Segundo. </w:t>
      </w:r>
      <w:r>
        <w:rPr>
          <w:sz w:val="20"/>
          <w:lang w:val="es-MX"/>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Tercero. </w:t>
      </w:r>
      <w:r>
        <w:rPr>
          <w:sz w:val="20"/>
          <w:lang w:val="es-MX"/>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Cuarto. </w:t>
      </w:r>
      <w:r>
        <w:rPr>
          <w:sz w:val="20"/>
          <w:lang w:val="es-MX"/>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Quinto. </w:t>
      </w:r>
      <w:r>
        <w:rPr>
          <w:sz w:val="20"/>
          <w:lang w:val="es-MX"/>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Sexto. </w:t>
      </w:r>
      <w:r>
        <w:rPr>
          <w:sz w:val="20"/>
          <w:lang w:val="es-MX"/>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Séptimo. </w:t>
      </w:r>
      <w:r>
        <w:rPr>
          <w:sz w:val="20"/>
          <w:lang w:val="es-MX"/>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Octavo. </w:t>
      </w:r>
      <w:r>
        <w:rPr>
          <w:sz w:val="20"/>
          <w:lang w:val="es-MX"/>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Noveno. </w:t>
      </w:r>
      <w:r>
        <w:rPr>
          <w:sz w:val="20"/>
          <w:lang w:val="es-MX"/>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Vigésimo. </w:t>
      </w:r>
      <w:r>
        <w:rPr>
          <w:sz w:val="20"/>
          <w:lang w:val="es-MX"/>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20 de octubre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lang w:val="es-MX"/>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4 de noviembre de 2020.- </w:t>
      </w:r>
      <w:r>
        <w:rPr>
          <w:b/>
          <w:sz w:val="20"/>
          <w:lang w:val="es-MX" w:eastAsia="es-MX"/>
        </w:rPr>
        <w:t>Andrés Manuel López Obrador</w:t>
      </w:r>
      <w:r>
        <w:rPr>
          <w:sz w:val="20"/>
          <w:lang w:val="es-MX"/>
        </w:rPr>
        <w:t xml:space="preserve">.- Rúbrica.- </w:t>
      </w:r>
      <w:r>
        <w:rPr>
          <w:sz w:val="20"/>
          <w:lang w:val="es-MX" w:eastAsia="es-MX"/>
        </w:rPr>
        <w:t>La Secretaria de Gobernación, Dra.</w:t>
      </w:r>
      <w:r>
        <w:rPr>
          <w:b/>
          <w:sz w:val="20"/>
          <w:lang w:val="es-MX" w:eastAsia="es-MX"/>
        </w:rPr>
        <w:t xml:space="preserve"> </w:t>
      </w:r>
      <w:r>
        <w:rPr>
          <w:b/>
          <w:sz w:val="20"/>
          <w:lang w:val="es-MX"/>
        </w:rPr>
        <w:t>Olga María del Carmen Sánchez Cordero Dávila</w:t>
      </w:r>
      <w:r>
        <w:rPr>
          <w:sz w:val="20"/>
          <w:lang w:val="es-MX"/>
        </w:rPr>
        <w:t>.-</w:t>
      </w:r>
      <w:r>
        <w:rPr>
          <w:bCs/>
          <w:sz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MX"/>
        </w:rPr>
      </w:pPr>
      <w:r>
        <w:rPr>
          <w:b/>
          <w:sz w:val="20"/>
          <w:lang w:val="es-MX"/>
        </w:rPr>
        <w:t xml:space="preserve">Artículo Décimo Tercero. </w:t>
      </w:r>
      <w:r>
        <w:rPr>
          <w:sz w:val="20"/>
          <w:lang w:val="es-MX"/>
        </w:rPr>
        <w:t>Se reforma el segundo, tercer y cuarto párrafos del artículo 6 de la Ley del Fondo Mexicano del Petróleo para la Estabilización y el Desarrollo,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pPr>
      <w:r>
        <w:rPr>
          <w:rFonts w:cs="Arial" w:ascii="Arial" w:hAnsi="Arial"/>
          <w:sz w:val="22"/>
          <w:szCs w:val="22"/>
        </w:rPr>
        <w:t>DECRETO por el que 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18 de marzo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rPr>
      </w:pPr>
      <w:r>
        <w:rPr>
          <w:b/>
          <w:sz w:val="20"/>
        </w:rPr>
        <w:t xml:space="preserve">ARTÍCULO NOVENO.- </w:t>
      </w:r>
      <w:r>
        <w:rPr>
          <w:sz w:val="20"/>
        </w:rPr>
        <w:t xml:space="preserve">Se </w:t>
      </w:r>
      <w:r>
        <w:rPr>
          <w:b/>
          <w:sz w:val="20"/>
        </w:rPr>
        <w:t>reforman</w:t>
      </w:r>
      <w:r>
        <w:rPr>
          <w:sz w:val="20"/>
        </w:rPr>
        <w:t xml:space="preserve"> la fracción I del artículo 4; los incisos d) y f) de la fracción II del artículo 8; la fracción VII del artículo 9; la fracción I del artículo 16; el tercer párrafo del artículo 22, y el artículo 24 de la Ley del Fondo Mexicano del Petróleo para la Estabilización y el Desarrollo,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Transitorios</w:t>
      </w:r>
    </w:p>
    <w:p>
      <w:pPr>
        <w:pStyle w:val="Texto"/>
        <w:spacing w:lineRule="auto" w:line="240" w:before="0" w:after="0"/>
        <w:rPr>
          <w:b/>
          <w:sz w:val="20"/>
          <w:szCs w:val="22"/>
        </w:rPr>
      </w:pPr>
      <w:r>
        <w:rPr>
          <w:b/>
          <w:sz w:val="20"/>
          <w:szCs w:val="22"/>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Segundo.- </w:t>
      </w:r>
      <w:r>
        <w:rPr>
          <w:sz w:val="20"/>
        </w:rPr>
        <w:t>En los instrumentos de coordinación y colaboración administrativa para el intercambio de información y asistencia técnica, cuando se haga referencia a la Comisión Nacional de Hidrocarburos se debe entender por la Secretaría de Energía, en tanto no se dejen sin efectos o se celebren los nuevos convenios de colaboración administrativa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Segundo.</w:t>
      </w:r>
      <w:r>
        <w:rPr>
          <w:sz w:val="20"/>
        </w:rPr>
        <w:t xml:space="preserve"> La Cámara de Diputados debe realizar las previsiones presupuestales necesarias para que las dependencias y entidades puedan cumplir las atribuciones conferidas en este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Ciudad de México, a 12 de marzo de 2025.- </w:t>
      </w:r>
      <w:r>
        <w:rPr>
          <w:sz w:val="20"/>
          <w:lang w:val="es-MX"/>
        </w:rPr>
        <w:t>Sen. Gerardo Fernández Noroña, Presidente.- Dip. Sergio Carlos Gutiérrez Luna, Presidente.- Sen. Verónica Noemí Camino Farjat, Secretaria.- Dip. José Luis Montalvo Luna,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Cambria">
    <w:charset w:val="00" w:characterSet="windows-1252"/>
    <w:family w:val="roman"/>
    <w:pitch w:val="variable"/>
  </w:font>
  <w:font w:name="Tahoma">
    <w:charset w:val="00" w:characterSet="windows-1252"/>
    <w:family w:val="swiss"/>
    <w:pitch w:val="variable"/>
  </w:font>
  <w:font w:name="Presidencia Base">
    <w:altName w:val="Bodoni MT Condensed"/>
    <w:charset w:val="00" w:characterSet="windows-1252"/>
    <w:family w:val="modern"/>
    <w:pitch w:val="variable"/>
  </w:font>
  <w:font w:name="Consolas">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7867047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DEL FONDO MEXICANO DEL PETRÓLEO PARA LA ESTABILIZACIÓN Y EL DESARROLLO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18-03-2025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b/>
      <w:sz w:val="26"/>
      <w:lang w:val="es-ES"/>
    </w:rPr>
  </w:style>
  <w:style w:type="character" w:styleId="TextocomentarioCar">
    <w:name w:val="Texto comentario Car"/>
    <w:qFormat/>
    <w:rPr>
      <w:rFonts w:ascii="Calibri" w:hAnsi="Calibri" w:cs="Calibri"/>
    </w:rPr>
  </w:style>
  <w:style w:type="character" w:styleId="TextonotapieCar">
    <w:name w:val="Texto nota pie Car"/>
    <w:qFormat/>
    <w:rPr>
      <w:rFonts w:ascii="Cambria" w:hAnsi="Cambria" w:cs="Cambria"/>
    </w:rPr>
  </w:style>
  <w:style w:type="character" w:styleId="TtuloCar">
    <w:name w:val="Título Car"/>
    <w:qFormat/>
    <w:rPr>
      <w:rFonts w:ascii="Arial" w:hAnsi="Arial" w:cs="Arial"/>
      <w:b/>
      <w:sz w:val="24"/>
      <w:lang w:val="es-ES_tradnl"/>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jc w:val="center"/>
    </w:pPr>
    <w:rPr>
      <w:rFonts w:ascii="Arial" w:hAnsi="Arial" w:cs="Arial"/>
      <w:b/>
      <w:szCs w:val="20"/>
      <w:lang w:val="es-ES_tradnl"/>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200"/>
    </w:pPr>
    <w:rPr>
      <w:rFonts w:ascii="Calibri" w:hAnsi="Calibri" w:cs="Calibri"/>
      <w:sz w:val="20"/>
      <w:szCs w:val="20"/>
      <w:lang w:val="en-US"/>
    </w:rPr>
  </w:style>
  <w:style w:type="paragraph" w:styleId="FootnoteText">
    <w:name w:val="footnote text"/>
    <w:basedOn w:val="Normal"/>
    <w:pPr/>
    <w:rPr>
      <w:rFonts w:ascii="Cambria" w:hAnsi="Cambria" w:cs="Cambria"/>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1">
    <w:name w:val="Estilo sin nombre1"/>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Prrafodelista">
    <w:name w:val="Párrafo de lista"/>
    <w:basedOn w:val="Normal"/>
    <w:qFormat/>
    <w:pPr>
      <w:ind w:hanging="0" w:start="720" w:end="0"/>
    </w:pPr>
    <w:rPr>
      <w:rFonts w:ascii="Cambria" w:hAnsi="Cambria" w:cs="Cambria"/>
      <w:szCs w:val="20"/>
      <w:lang w:val="es-ES_tradnl"/>
    </w:rPr>
  </w:style>
  <w:style w:type="paragraph" w:styleId="cetneg">
    <w:name w:val="cetneg"/>
    <w:basedOn w:val="Texto"/>
    <w:qFormat/>
    <w:pPr>
      <w:spacing w:lineRule="atLeast" w:line="216"/>
      <w:ind w:hanging="0" w:start="0" w:end="0"/>
      <w:jc w:val="center"/>
    </w:pPr>
    <w:rPr>
      <w:b/>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rPr>
      <w:b/>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ecxmsonormal">
    <w:name w:val="ecxmsonormal"/>
    <w:basedOn w:val="Normal"/>
    <w:qFormat/>
    <w:pPr>
      <w:spacing w:before="0" w:after="324"/>
    </w:pPr>
    <w:rPr>
      <w:szCs w:val="20"/>
      <w:lang w:val="es-MX"/>
    </w:rPr>
  </w:style>
  <w:style w:type="paragraph" w:styleId="Cuerpodeltexto">
    <w:name w:val="Cuerpo del texto"/>
    <w:basedOn w:val="Normal"/>
    <w:qFormat/>
    <w:pPr>
      <w:shd w:fill="FFFFFF" w:val="clear"/>
      <w:spacing w:lineRule="exact" w:line="410" w:before="180" w:after="360"/>
      <w:ind w:hanging="380" w:start="0" w:end="0"/>
      <w:jc w:val="both"/>
    </w:pPr>
    <w:rPr>
      <w:sz w:val="20"/>
      <w:szCs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szCs w:val="20"/>
      <w:lang w:val="es-MX"/>
    </w:rPr>
  </w:style>
  <w:style w:type="paragraph" w:styleId="Letreromargen1">
    <w:name w:val="Letrero margen1"/>
    <w:basedOn w:val="Normal"/>
    <w:next w:val="Textonormal"/>
    <w:qFormat/>
    <w:pPr>
      <w:jc w:val="both"/>
    </w:pPr>
    <w:rPr>
      <w:rFonts w:ascii="Arial" w:hAnsi="Arial" w:cs="Arial"/>
      <w:szCs w:val="20"/>
    </w:rPr>
  </w:style>
  <w:style w:type="paragraph" w:styleId="BodyText2">
    <w:name w:val="Body Text 2"/>
    <w:basedOn w:val="Normal"/>
    <w:qFormat/>
    <w:pPr>
      <w:spacing w:before="0" w:after="120"/>
      <w:ind w:hanging="0" w:start="283" w:end="0"/>
    </w:pPr>
    <w:rPr>
      <w:rFonts w:ascii="Arial" w:hAnsi="Arial" w:cs="Arial"/>
      <w:sz w:val="20"/>
      <w:szCs w:val="20"/>
    </w:rPr>
  </w:style>
  <w:style w:type="paragraph" w:styleId="DocumentMap">
    <w:name w:val="Document Map"/>
    <w:basedOn w:val="Normal"/>
    <w:qFormat/>
    <w:pPr>
      <w:shd w:fill="000080" w:val="clear"/>
    </w:pPr>
    <w:rPr>
      <w:rFonts w:ascii="Tahoma" w:hAnsi="Tahoma" w:cs="Tahoma"/>
      <w:sz w:val="20"/>
      <w:szCs w:val="20"/>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EstilotextoPrimeral">
    <w:name w:val="Estilo texto + Primera l"/>
    <w:basedOn w:val="texto1"/>
    <w:qFormat/>
    <w:pPr>
      <w:snapToGrid w:val="true"/>
      <w:ind w:hanging="0" w:start="0" w:end="0"/>
    </w:pPr>
    <w:rPr>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20"/>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CGTexto">
    <w:name w:val="CGTexto"/>
    <w:qFormat/>
    <w:pPr>
      <w:widowControl/>
      <w:bidi w:val="0"/>
      <w:spacing w:lineRule="exact" w:line="300" w:before="0" w:after="360"/>
      <w:jc w:val="both"/>
    </w:pPr>
    <w:rPr>
      <w:rFonts w:ascii="Arial" w:hAnsi="Arial" w:eastAsia="Times New Roman" w:cs="Arial"/>
      <w:color w:val="auto"/>
      <w:sz w:val="20"/>
      <w:szCs w:val="20"/>
      <w:lang w:val="es-ES" w:bidi="ar-SA" w:eastAsia="zh-CN"/>
    </w:rPr>
  </w:style>
  <w:style w:type="paragraph" w:styleId="CTexto">
    <w:name w:val="C Texto"/>
    <w:basedOn w:val="Normal"/>
    <w:qFormat/>
    <w:pPr>
      <w:spacing w:lineRule="exact" w:line="280" w:before="0" w:after="120"/>
      <w:jc w:val="both"/>
    </w:pPr>
    <w:rPr>
      <w:rFonts w:ascii="Presidencia Base;Bodoni MT Condensed" w:hAnsi="Presidencia Base;Bodoni MT Condensed" w:cs="Presidencia Base;Bodoni MT Condensed"/>
      <w:sz w:val="28"/>
      <w:szCs w:val="20"/>
    </w:rPr>
  </w:style>
  <w:style w:type="paragraph" w:styleId="nomal">
    <w:name w:val="nomal"/>
    <w:basedOn w:val="Normal"/>
    <w:qFormat/>
    <w:pPr/>
    <w:rPr>
      <w:rFonts w:ascii="Arial" w:hAnsi="Arial" w:cs="Arial"/>
      <w:b/>
      <w:sz w:val="22"/>
      <w:szCs w:val="20"/>
    </w:rPr>
  </w:style>
  <w:style w:type="paragraph" w:styleId="sum1">
    <w:name w:val="sum1"/>
    <w:basedOn w:val="texto1"/>
    <w:qFormat/>
    <w:pPr>
      <w:tabs>
        <w:tab w:val="clear" w:pos="706"/>
        <w:tab w:val="right" w:pos="8100" w:leader="dot"/>
        <w:tab w:val="right" w:pos="8640" w:leader="none"/>
      </w:tabs>
      <w:snapToGrid w:val="true"/>
      <w:spacing w:lineRule="exact" w:line="266" w:before="0" w:after="0"/>
      <w:ind w:hanging="0" w:start="274" w:end="749"/>
    </w:pPr>
    <w:rPr>
      <w:rFonts w:ascii="Times New Roman" w:hAnsi="Times New Roman" w:cs="Times New Roman"/>
      <w:sz w:val="20"/>
      <w:szCs w:val="20"/>
    </w:rPr>
  </w:style>
  <w:style w:type="paragraph" w:styleId="PlainText">
    <w:name w:val="Plain Text"/>
    <w:basedOn w:val="Normal"/>
    <w:qFormat/>
    <w:pPr/>
    <w:rPr>
      <w:rFonts w:ascii="Consolas" w:hAnsi="Consolas" w:cs="Consolas"/>
      <w:sz w:val="21"/>
      <w:szCs w:val="20"/>
      <w:lang w:val="es-MX"/>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deglobo1">
    <w:name w:val="Texto de globo1"/>
    <w:basedOn w:val="Normal"/>
    <w:qFormat/>
    <w:pPr/>
    <w:rPr>
      <w:rFonts w:ascii="Tahoma" w:hAnsi="Tahoma" w:cs="Tahoma"/>
      <w:sz w:val="16"/>
      <w:szCs w:val="20"/>
    </w:rPr>
  </w:style>
  <w:style w:type="paragraph" w:styleId="Textonormal">
    <w:name w:val="Texto normal"/>
    <w:basedOn w:val="Normal"/>
    <w:qFormat/>
    <w:pPr>
      <w:spacing w:lineRule="atLeast" w:line="276" w:before="0" w:after="120"/>
    </w:pPr>
    <w:rPr>
      <w:rFonts w:ascii="Arial" w:hAnsi="Arial" w:cs="Arial"/>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2025-04-25T15:18:00Z</dcterms:created>
  <dc:creator>Cámara de Diputados del H. Congreso de la Unión</dc:creator>
  <dc:description/>
  <cp:keywords/>
  <dc:language>en-US</dc:language>
  <cp:lastModifiedBy>Armando Torres</cp:lastModifiedBy>
  <dcterms:modified xsi:type="dcterms:W3CDTF">2025-04-25T15:18:00Z</dcterms:modified>
  <cp:revision>2</cp:revision>
  <dc:subject/>
  <dc:title>Ley del Fondo Mexicano del Petróleo para la Estabilización y el Desarrollo</dc:title>
</cp:coreProperties>
</file>