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media/image1.wmf" ContentType="image/x-wm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1"/>
        <w:pBdr>
          <w:bottom w:val="nil"/>
        </w:pBdr>
        <w:spacing w:before="0" w:after="0"/>
        <w:jc w:val="center"/>
        <w:rPr>
          <w:rFonts w:ascii="Tahoma" w:hAnsi="Tahoma" w:cs="Tahoma"/>
          <w:color w:val="008000"/>
          <w:sz w:val="22"/>
          <w:szCs w:val="22"/>
        </w:rPr>
      </w:pPr>
      <w:r>
        <w:rPr>
          <w:rFonts w:cs="Tahoma" w:ascii="Tahoma" w:hAnsi="Tahoma"/>
          <w:color w:val="008000"/>
          <w:sz w:val="22"/>
          <w:szCs w:val="22"/>
        </w:rPr>
        <w:t>LEY GENERAL PARA LA PREVENCIÓN SOCIAL DE LA VIOLENCIA Y LA DELINCUENCIA</w:t>
      </w:r>
    </w:p>
    <w:p>
      <w:pPr>
        <w:pStyle w:val="Textosinformato"/>
        <w:jc w:val="center"/>
        <w:rPr>
          <w:rFonts w:ascii="Tahoma" w:hAnsi="Tahoma" w:eastAsia="MS Mincho;ＭＳ 明朝" w:cs="Tahoma"/>
          <w:b/>
          <w:bCs/>
          <w:color w:val="008000"/>
          <w:sz w:val="16"/>
          <w:szCs w:val="16"/>
        </w:rPr>
      </w:pPr>
      <w:r>
        <w:rPr>
          <w:rFonts w:eastAsia="MS Mincho;ＭＳ 明朝" w:cs="Tahoma" w:ascii="Tahoma" w:hAnsi="Tahoma"/>
          <w:b/>
          <w:bCs/>
          <w:color w:val="008000"/>
          <w:sz w:val="16"/>
          <w:szCs w:val="16"/>
        </w:rPr>
      </w:r>
    </w:p>
    <w:p>
      <w:pPr>
        <w:pStyle w:val="Textosinformato"/>
        <w:jc w:val="center"/>
        <w:rPr>
          <w:rFonts w:ascii="Arial" w:hAnsi="Arial" w:cs="Arial"/>
          <w:b/>
        </w:rPr>
      </w:pPr>
      <w:r>
        <w:rPr>
          <w:rFonts w:eastAsia="MS Mincho;ＭＳ 明朝" w:cs="Tahoma" w:ascii="Tahoma" w:hAnsi="Tahoma"/>
          <w:b/>
          <w:bCs/>
          <w:sz w:val="16"/>
          <w:szCs w:val="16"/>
        </w:rPr>
        <w:t>Nueva Ley publicada en el Diario Oficial de la Federación el 24 de enero de 2012</w:t>
      </w:r>
    </w:p>
    <w:p>
      <w:pPr>
        <w:pStyle w:val="Titulo1"/>
        <w:pBdr>
          <w:bottom w:val="nil"/>
        </w:pBdr>
        <w:spacing w:before="0" w:after="0"/>
        <w:jc w:val="center"/>
        <w:rPr>
          <w:rFonts w:ascii="Tahoma" w:hAnsi="Tahoma" w:cs="Tahoma"/>
          <w:b w:val="false"/>
          <w:sz w:val="16"/>
          <w:szCs w:val="16"/>
        </w:rPr>
      </w:pPr>
      <w:r>
        <w:rPr>
          <w:rFonts w:cs="Tahoma" w:ascii="Tahoma" w:hAnsi="Tahoma"/>
          <w:b w:val="false"/>
          <w:sz w:val="16"/>
          <w:szCs w:val="16"/>
        </w:rPr>
      </w:r>
    </w:p>
    <w:p>
      <w:pPr>
        <w:pStyle w:val="texto1"/>
        <w:spacing w:lineRule="auto" w:line="240" w:before="0" w:after="0"/>
        <w:ind w:hanging="0" w:end="0"/>
        <w:jc w:val="center"/>
        <w:rPr>
          <w:rFonts w:ascii="Tahoma" w:hAnsi="Tahoma" w:cs="Tahoma"/>
          <w:b/>
          <w:sz w:val="16"/>
        </w:rPr>
      </w:pPr>
      <w:r>
        <w:rPr>
          <w:rFonts w:cs="Tahoma" w:ascii="Tahoma" w:hAnsi="Tahoma"/>
          <w:b/>
          <w:sz w:val="16"/>
        </w:rPr>
        <w:t>TEXTO VIGENTE</w:t>
      </w:r>
    </w:p>
    <w:p>
      <w:pPr>
        <w:pStyle w:val="texto1"/>
        <w:spacing w:lineRule="auto" w:line="240" w:before="0" w:after="0"/>
        <w:ind w:hanging="0" w:end="0"/>
        <w:jc w:val="center"/>
        <w:rPr>
          <w:rFonts w:ascii="Tahoma" w:hAnsi="Tahoma" w:cs="Tahoma"/>
          <w:b/>
          <w:color w:val="CC3300"/>
          <w:sz w:val="16"/>
        </w:rPr>
      </w:pPr>
      <w:r>
        <w:rPr>
          <w:rFonts w:cs="Tahoma" w:ascii="Tahoma" w:hAnsi="Tahoma"/>
          <w:b/>
          <w:color w:val="CC3300"/>
          <w:sz w:val="16"/>
        </w:rPr>
        <w:t>Última reforma publicada DOF 04-05-2021</w:t>
      </w:r>
    </w:p>
    <w:p>
      <w:pPr>
        <w:pStyle w:val="Titulo1"/>
        <w:pBdr>
          <w:bottom w:val="nil"/>
        </w:pBdr>
        <w:spacing w:before="0" w:after="0"/>
        <w:rPr>
          <w:rFonts w:ascii="Arial" w:hAnsi="Arial" w:cs="Arial"/>
          <w:b w:val="false"/>
          <w:color w:val="CC3300"/>
          <w:sz w:val="20"/>
          <w:szCs w:val="20"/>
        </w:rPr>
      </w:pPr>
      <w:r>
        <w:rPr>
          <w:rFonts w:cs="Arial" w:ascii="Arial" w:hAnsi="Arial"/>
          <w:b w:val="false"/>
          <w:color w:val="CC3300"/>
          <w:sz w:val="20"/>
          <w:szCs w:val="20"/>
        </w:rPr>
      </w:r>
    </w:p>
    <w:p>
      <w:pPr>
        <w:pStyle w:val="Titulo1"/>
        <w:pBdr>
          <w:bottom w:val="nil"/>
        </w:pBdr>
        <w:spacing w:before="0" w:after="0"/>
        <w:rPr>
          <w:rFonts w:ascii="Arial" w:hAnsi="Arial" w:cs="Arial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</w:r>
    </w:p>
    <w:p>
      <w:pPr>
        <w:pStyle w:val="Titulo1"/>
        <w:pBdr>
          <w:bottom w:val="nil"/>
        </w:pBdr>
        <w:spacing w:before="0" w:after="0"/>
        <w:rPr>
          <w:rFonts w:ascii="Arial" w:hAnsi="Arial" w:cs="Arial"/>
          <w:b w:val="false"/>
          <w:sz w:val="20"/>
          <w:szCs w:val="20"/>
        </w:rPr>
      </w:pPr>
      <w:r>
        <w:rPr>
          <w:rFonts w:cs="Arial" w:ascii="Arial" w:hAnsi="Arial"/>
          <w:b w:val="false"/>
          <w:sz w:val="20"/>
          <w:szCs w:val="20"/>
        </w:rPr>
      </w:r>
    </w:p>
    <w:p>
      <w:pPr>
        <w:pStyle w:val="Titulo2"/>
        <w:pBdr>
          <w:top w:val="nil"/>
        </w:pBdr>
        <w:spacing w:before="0" w:after="0"/>
        <w:rPr/>
      </w:pPr>
      <w:r>
        <w:rPr>
          <w:sz w:val="20"/>
        </w:rPr>
        <w:t>Al margen un sello con el Escudo Nacional, que dice: Estados Unidos Mexicanos.- Presidencia de la República.</w:t>
      </w:r>
    </w:p>
    <w:p>
      <w:pPr>
        <w:pStyle w:val="Titulo2"/>
        <w:pBdr>
          <w:top w:val="nil"/>
        </w:pBdr>
        <w:spacing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FELIPE DE JESÚS CALDERÓN HINOJOSA</w:t>
      </w:r>
      <w:r>
        <w:rPr>
          <w:sz w:val="20"/>
        </w:rPr>
        <w:t>, Presidente de los Estados Unidos Mexicanos, a sus habitantes sabed: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Que el Honorable Congreso de la Unión, se ha servido dirigirme el siguiente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ANOTACION"/>
        <w:spacing w:lineRule="auto" w:line="240" w:before="0" w:after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DECRETO</w:t>
      </w:r>
    </w:p>
    <w:p>
      <w:pPr>
        <w:pStyle w:val="ANOTACION"/>
        <w:spacing w:lineRule="auto" w:line="240" w:before="0" w:after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"</w:t>
      </w:r>
      <w:r>
        <w:rPr>
          <w:sz w:val="20"/>
        </w:rPr>
        <w:t>EL CONGRESO GENERAL DE LOS ESTADOS UNIDOS MEXICANOS, D E C R E T A: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  <w:t>SE EXPIDE LA LEY GENERAL PARA LA PREVENCIÓN SOCIAL DE LA VIOLENCIA Y LA DELINCUENCIA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 xml:space="preserve">ARTÍCULO ÚNICO.- </w:t>
      </w:r>
      <w:r>
        <w:rPr>
          <w:sz w:val="20"/>
        </w:rPr>
        <w:t>Se expide la Ley General para la Prevención Social de la Violencia y la Delincuencia.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ANOTACION"/>
        <w:spacing w:lineRule="auto" w:line="24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LEY GENERAL PARA LA PREVENCIÓN SOCIAL DE LA VIOLENCIA Y LA DELINCUENCIA</w:t>
      </w:r>
    </w:p>
    <w:p>
      <w:pPr>
        <w:pStyle w:val="ANOTACION"/>
        <w:spacing w:lineRule="auto" w:line="24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PRIMERO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DISPOSICIONES GENERALES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0" w:name="Artículo_1"/>
      <w:r>
        <w:rPr>
          <w:b/>
          <w:sz w:val="20"/>
        </w:rPr>
        <w:t>Artículo 1</w:t>
      </w:r>
      <w:bookmarkEnd w:id="0"/>
      <w:r>
        <w:rPr>
          <w:b/>
          <w:sz w:val="20"/>
        </w:rPr>
        <w:t>.-</w:t>
      </w:r>
      <w:r>
        <w:rPr>
          <w:sz w:val="20"/>
        </w:rPr>
        <w:t xml:space="preserve"> La presente Ley es de orden público e interés social y de observancia general en todo el territorio nacional y tiene por objeto establecer las bases de coordinación entre la Federación, los Estados, el Distrito Federal y los Municipios en materia de prevención social de la violencia y la delincuencia en el marco del Sistema Nacional de Seguridad Pública, previsto en el artículo 21 de la Constitución Política de los Estados Unidos Mexicanos.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1" w:name="Artículo_2"/>
      <w:r>
        <w:rPr>
          <w:b/>
          <w:sz w:val="20"/>
        </w:rPr>
        <w:t>Artículo 2</w:t>
      </w:r>
      <w:bookmarkEnd w:id="1"/>
      <w:r>
        <w:rPr>
          <w:b/>
          <w:sz w:val="20"/>
        </w:rPr>
        <w:t>.-</w:t>
      </w:r>
      <w:r>
        <w:rPr>
          <w:sz w:val="20"/>
        </w:rPr>
        <w:t xml:space="preserve"> La prevención social de la violencia y la delincuencia es el conjunto de políticas públicas, programas y acciones orientadas a reducir factores de riesgo que favorezcan la generación de violencia y delincuencia, así como a combatir las distintas causas y factores que la generan.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2" w:name="Artículo_3"/>
      <w:r>
        <w:rPr>
          <w:b/>
          <w:sz w:val="20"/>
        </w:rPr>
        <w:t>Artículo 3</w:t>
      </w:r>
      <w:bookmarkEnd w:id="2"/>
      <w:r>
        <w:rPr>
          <w:b/>
          <w:sz w:val="20"/>
        </w:rPr>
        <w:t>.-</w:t>
      </w:r>
      <w:r>
        <w:rPr>
          <w:sz w:val="20"/>
        </w:rPr>
        <w:t xml:space="preserve"> La planeación, programación, implementación y evaluación de las políticas públicas, programas y acciones se realizará en los diversos ámbitos de competencia, por conducto de las Instituciones de Seguridad Pública y demás autoridades que en razón de sus atribuciones deban contribuir directa o indirectamente al cumplimiento de esta Ley, debiendo observar como mínimo los siguientes principios: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Respeto irrestricto a los derechos humanos;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Integralidad. El Estado, en sus distintos órdenes de gobierno desarrollará políticas públicas integrales eficaces para la prevención de la violencia y la delincuencia, con la participación ciudadana y comunitaria;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Intersectorialidad y transversalidad. Consiste en la articulación, homologación y complementariedad de las políticas públicas, programas y acciones de los distintos órdenes de Gobierno, incluidas las de justicia, seguridad pública, desarrollo social, economía, cultura y derechos humanos, con atención particular a las comunidades, las familias, las niñas y niños, las mujeres, así como las y los jóvenes en situación de riesgo;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Trabajo conjunto. Comprende el desarrollo de acciones conjuntas entre las autoridades de los distintos órdenes de gobierno, así como de los diferentes sectores y grupos de la sociedad civil, organizada y no organizada, así como de la comunidad académica de manera solidaria, para que contribuyan a la prevención social de la violencia y la delincuencia y al mejoramiento de la calidad de vida de la sociedad;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V.</w:t>
      </w:r>
      <w:r>
        <w:rPr>
          <w:sz w:val="20"/>
        </w:rPr>
        <w:t xml:space="preserve"> Continuidad de las políticas públicas. Con el fin de garantizar los cambios socioculturales en el mediano y largo plazos, a través del fortalecimiento de los mecanismos de participación ciudadana y comunitaria, asignación de presupuesto, el monitoreo y la evaluación;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VI.</w:t>
      </w:r>
      <w:r>
        <w:rPr>
          <w:sz w:val="20"/>
        </w:rPr>
        <w:t xml:space="preserve"> Interdisciplinariedad. Consiste en el diseño de políticas públicas tomando en cuenta conocimientos y herramientas de distintas disciplinas y experiencias nacionales e internacionales;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VII.</w:t>
      </w:r>
      <w:r>
        <w:rPr>
          <w:sz w:val="20"/>
        </w:rPr>
        <w:t xml:space="preserve"> Diversidad. Consiste en considerar las necesidades y circunstancias específicas determinadas por el contexto local territorial, el género, la procedencia étnica, sociocultural, religiosa, así como las necesidades de grupos vulnerables o en riesgo, mediante la atención integral diferenciada y acciones afirmativas;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VIII.</w:t>
      </w:r>
      <w:r>
        <w:rPr>
          <w:sz w:val="20"/>
        </w:rPr>
        <w:t xml:space="preserve"> Proximidad. Comprende la resolución pacífica de conflictos, con estrategias claras, coherentes y estables, de respeto a los derechos humanos, la promoción de la cultura de la paz y sobre la base del trabajo social comunitario, así como del contacto permanente con los actores sociales y comunitarios,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IX.</w:t>
      </w:r>
      <w:r>
        <w:rPr>
          <w:sz w:val="20"/>
        </w:rPr>
        <w:t xml:space="preserve"> Transparencia y rendición de cuentas. En los términos de las leyes aplicables.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3" w:name="Artículo_4"/>
      <w:r>
        <w:rPr>
          <w:b/>
          <w:sz w:val="20"/>
        </w:rPr>
        <w:t>Artículo 4</w:t>
      </w:r>
      <w:bookmarkEnd w:id="3"/>
      <w:r>
        <w:rPr>
          <w:b/>
          <w:sz w:val="20"/>
        </w:rPr>
        <w:t>.-</w:t>
      </w:r>
      <w:r>
        <w:rPr>
          <w:sz w:val="20"/>
        </w:rPr>
        <w:t xml:space="preserve"> Para efectos de esta Ley se entenderá por: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Centro Nacional: El Centro Nacional de Prevención del Delito y Participación Ciudadana, Unidad Administrativa del Secretariado Ejecutivo del Sistema Nacional de Seguridad Pública;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Comisión: La Comisión Permanente de Prevención del Delito y Participación Ciudadana del Consejo Nacional de Seguridad Pública;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Consejo Nacional: El Consejo Nacional de Seguridad Pública;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Ley: La Ley General para la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V.</w:t>
      </w:r>
      <w:r>
        <w:rPr>
          <w:sz w:val="20"/>
        </w:rPr>
        <w:t xml:space="preserve"> Participación ciudadana y comunitaria: La participación de los diferentes sectores y grupos de la sociedad civil, organizada y no organizada, así como de la comunidad académica;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VI.</w:t>
      </w:r>
      <w:r>
        <w:rPr>
          <w:sz w:val="20"/>
        </w:rPr>
        <w:t xml:space="preserve"> Programa Nacional: El Programa Nacional para la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VII.</w:t>
      </w:r>
      <w:r>
        <w:rPr>
          <w:sz w:val="20"/>
        </w:rPr>
        <w:t xml:space="preserve"> Programa anual: El programa de trabajo anual del Centro Nacional;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VIII.</w:t>
      </w:r>
      <w:r>
        <w:rPr>
          <w:sz w:val="20"/>
        </w:rPr>
        <w:t xml:space="preserve"> Reglamento: El Reglamento de la Ley General para la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IX.</w:t>
      </w:r>
      <w:r>
        <w:rPr>
          <w:sz w:val="20"/>
        </w:rPr>
        <w:t xml:space="preserve"> Secretariado Ejecutivo: El Secretariado Ejecutivo del Sistema Nacional de Seguridad Pública;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X.</w:t>
      </w:r>
      <w:r>
        <w:rPr>
          <w:sz w:val="20"/>
        </w:rPr>
        <w:t xml:space="preserve"> Secretario Ejecutivo: El Titular del Secretariado Ejecutivo,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XI.</w:t>
      </w:r>
      <w:r>
        <w:rPr>
          <w:sz w:val="20"/>
        </w:rPr>
        <w:t xml:space="preserve"> Violencia: El uso deliberado del poder o de la fuerza física, ya sea en grado de amenaza o efectivo, contra uno mismo, otra persona o un grupo o comunidad, que cause o tenga muchas probabilidades de causar lesiones, muerte, daños psicológicos, trastornos del desarrollo o privaciones. Quedan incluidas las diversas manifestaciones que tiene la violencia como la de género, la juvenil, la delictiva, la institucional y la social, entre otras.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4" w:name="Artículo_5"/>
      <w:r>
        <w:rPr>
          <w:b/>
          <w:sz w:val="20"/>
        </w:rPr>
        <w:t>Artículo 5</w:t>
      </w:r>
      <w:bookmarkEnd w:id="4"/>
      <w:r>
        <w:rPr>
          <w:b/>
          <w:sz w:val="20"/>
        </w:rPr>
        <w:t>.-</w:t>
      </w:r>
      <w:r>
        <w:rPr>
          <w:sz w:val="20"/>
        </w:rPr>
        <w:t xml:space="preserve"> En lo no previsto por la presente Ley, se aplicarán, conforme a su naturaleza y de forma supletoria, las disposiciones contenidas en la Ley General del Sistema Nacional de Seguridad Pública.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SEGUNDO</w:t>
      </w:r>
    </w:p>
    <w:p>
      <w:pPr>
        <w:pStyle w:val="Texto"/>
        <w:spacing w:lineRule="auto" w:line="240" w:before="0" w:after="0"/>
        <w:ind w:hanging="0" w:end="0"/>
        <w:jc w:val="center"/>
        <w:rPr/>
      </w:pPr>
      <w:r>
        <w:rPr>
          <w:b/>
          <w:sz w:val="22"/>
          <w:szCs w:val="22"/>
        </w:rPr>
        <w:t>DE LA PREVENCIÓN SOCIAL DE LA VIOLENCIA Y LA DELINCUENCIA Y LA ATENCIÓN A LAS VÍCTIMAS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5" w:name="Artículo_6"/>
      <w:r>
        <w:rPr>
          <w:b/>
          <w:sz w:val="20"/>
        </w:rPr>
        <w:t>Artículo 6</w:t>
      </w:r>
      <w:bookmarkEnd w:id="5"/>
      <w:r>
        <w:rPr>
          <w:b/>
          <w:sz w:val="20"/>
        </w:rPr>
        <w:t>.-</w:t>
      </w:r>
      <w:r>
        <w:rPr>
          <w:sz w:val="20"/>
        </w:rPr>
        <w:t xml:space="preserve"> La prevención social de la violencia y la delincuencia incluye los siguientes ámbitos: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Social;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Comunitario;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Situacional,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Psicosocial.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6" w:name="Artículo_7"/>
      <w:r>
        <w:rPr>
          <w:b/>
          <w:sz w:val="20"/>
        </w:rPr>
        <w:t>Artículo 7</w:t>
      </w:r>
      <w:bookmarkEnd w:id="6"/>
      <w:r>
        <w:rPr>
          <w:b/>
          <w:sz w:val="20"/>
        </w:rPr>
        <w:t>.-</w:t>
      </w:r>
      <w:r>
        <w:rPr>
          <w:sz w:val="20"/>
        </w:rPr>
        <w:t xml:space="preserve"> La prevención social de la violencia y la delincuencia en el ámbito social se llevará a cabo mediante: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Programas integrales de desarrollo social, cultural y económico que no produzcan estigmatización, incluidos los de salud, educación, vivienda, empleo, deporte y desarrollo urbano;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La promoción de actividades que eliminen la marginación y la exclusión;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b/>
          <w:bCs/>
          <w:sz w:val="20"/>
          <w:lang w:val="es-MX"/>
        </w:rPr>
      </w:pPr>
      <w:r>
        <w:rPr>
          <w:b/>
          <w:bCs/>
          <w:sz w:val="20"/>
          <w:lang w:val="es-MX"/>
        </w:rPr>
        <w:t xml:space="preserve">III. </w:t>
      </w:r>
      <w:r>
        <w:rPr>
          <w:sz w:val="20"/>
          <w:lang w:val="es-MX"/>
        </w:rPr>
        <w:t>El fomento de la solución pacífica de conflictos privilegiando la comunicación a través del diálogo, la tolerancia y el principio de no discriminación;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szCs w:val="16"/>
          <w:lang w:val="es-MX"/>
        </w:rPr>
        <w:t>Fracción reformada DOF 04-05-2021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b/>
          <w:bCs/>
          <w:sz w:val="20"/>
          <w:lang w:val="es-MX"/>
        </w:rPr>
        <w:t xml:space="preserve">IV. </w:t>
      </w:r>
      <w:r>
        <w:rPr>
          <w:sz w:val="20"/>
          <w:lang w:val="es-MX"/>
        </w:rPr>
        <w:t>Estrategias de educación y sensibilización de la población para promover la cultura de legalidad y tolerancia respetando al mismo tiempo las diversas identidades culturales. Incluye tanto programas generales como aquéllos enfocados a grupos sociales y comunidades en altas condiciones de vulnerabilidad;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szCs w:val="16"/>
          <w:lang w:val="es-MX"/>
        </w:rPr>
        <w:t>Fracción reformada DOF 04-05-2021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b/>
          <w:bCs/>
          <w:sz w:val="20"/>
          <w:lang w:val="es-MX"/>
        </w:rPr>
        <w:t xml:space="preserve">V. </w:t>
      </w:r>
      <w:r>
        <w:rPr>
          <w:sz w:val="20"/>
          <w:lang w:val="es-MX"/>
        </w:rPr>
        <w:t>Se establecerán programas que modifiquen las condiciones sociales de la comunidad y generen oportunidades de desarrollo especialmente para los grupos en situación de riesgo, vulnerabilidad, marginación, o afectación, y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szCs w:val="16"/>
          <w:lang w:val="es-MX"/>
        </w:rPr>
        <w:t>Fracción reformada DOF 04-05-2021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b/>
          <w:bCs/>
          <w:sz w:val="20"/>
          <w:lang w:val="es-MX"/>
        </w:rPr>
        <w:t xml:space="preserve">VI. </w:t>
      </w:r>
      <w:r>
        <w:rPr>
          <w:sz w:val="20"/>
          <w:lang w:val="es-MX"/>
        </w:rPr>
        <w:t>Estrategias y acciones de protección a las familias para evitar su desintegración y cualquier modalidad de violencia que la propicie, a través de la educación y el empoderamiento de todos sus miembros sin ningún tipo de discriminación.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szCs w:val="16"/>
          <w:lang w:val="es-MX"/>
        </w:rPr>
        <w:t>Fracción adicionada DOF 04-05-2021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/>
      </w:pPr>
      <w:bookmarkStart w:id="7" w:name="Artículo_8"/>
      <w:r>
        <w:rPr>
          <w:b/>
          <w:sz w:val="20"/>
        </w:rPr>
        <w:t>Artículo 8</w:t>
      </w:r>
      <w:bookmarkEnd w:id="7"/>
      <w:r>
        <w:rPr>
          <w:b/>
          <w:sz w:val="20"/>
        </w:rPr>
        <w:t>.-</w:t>
      </w:r>
      <w:r>
        <w:rPr>
          <w:sz w:val="20"/>
        </w:rPr>
        <w:t xml:space="preserve"> La prevención en el ámbito comunitario pretende atender los factores que generan violencia y delincuencia mediante la participación ciudadana y comunitaria y comprende: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La participación ciudadana y comunitaria en acciones tendentes a establecer las prioridades de la prevención, mediante diagnósticos participativos, el mejoramiento de las condiciones de seguridad de su entorno y el desarrollo de prácticas que fomenten una cultura de prevención, autoprotección, denuncia ciudadana y de utilización de los mecanismos alternativos de solución de controversias;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El mejoramiento del acceso de la comunidad a los servicios básicos;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Fomentar el desarrollo comunitario, la convivencia y la cohesión social entre las comunidades frente a problemas locales;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La participación ciudadana y comunitaria, a través de mecanismos que garanticen su efectiva intervención ciudadana en el diseño e implementación de planes y programas, su evaluación y sostenibilidad,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V.</w:t>
      </w:r>
      <w:r>
        <w:rPr>
          <w:sz w:val="20"/>
        </w:rPr>
        <w:t xml:space="preserve"> El fomento de las actividades de las organizaciones de la sociedad civil.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8" w:name="Artículo_9"/>
      <w:r>
        <w:rPr>
          <w:b/>
          <w:sz w:val="20"/>
        </w:rPr>
        <w:t>Artículo 9</w:t>
      </w:r>
      <w:bookmarkEnd w:id="8"/>
      <w:r>
        <w:rPr>
          <w:b/>
          <w:sz w:val="20"/>
        </w:rPr>
        <w:t>.-</w:t>
      </w:r>
      <w:r>
        <w:rPr>
          <w:sz w:val="20"/>
        </w:rPr>
        <w:t xml:space="preserve"> La prevención en el ámbito situacional consiste en modificar el entorno para propiciar la convivencia y la cohesión social, así como disminuir los factores de riesgo que facilitan fenómenos de violencia y de incidencia delictiva, mediante: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El mejoramiento y regulación del desarrollo urbano, rural, ambiental y el diseño industrial, incluidos los sistemas de transporte público y de vigilancia;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El uso de nuevas tecnologías;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La vigilancia respetando los derechos a la intimidad y a la privacidad;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bCs/>
          <w:sz w:val="20"/>
          <w:lang w:val="es-MX"/>
        </w:rPr>
        <w:t xml:space="preserve">IV. </w:t>
      </w:r>
      <w:r>
        <w:rPr>
          <w:sz w:val="20"/>
          <w:lang w:val="es-MX"/>
        </w:rPr>
        <w:t>Medidas administrativas encaminadas a disminuir la disponibilidad de medios comisivos o facilitadores de violencia;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szCs w:val="16"/>
          <w:lang w:val="es-MX"/>
        </w:rPr>
        <w:t>Fracción reformada DOF 04-05-2021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b/>
          <w:bCs/>
          <w:sz w:val="20"/>
          <w:lang w:val="es-MX"/>
        </w:rPr>
        <w:t>V.</w:t>
      </w:r>
      <w:r>
        <w:rPr>
          <w:sz w:val="20"/>
          <w:lang w:val="es-MX"/>
        </w:rPr>
        <w:t xml:space="preserve"> La aplicación de estrategias para garantizar la no repetición de casos de victimización, y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szCs w:val="16"/>
          <w:lang w:val="es-MX"/>
        </w:rPr>
        <w:t>Fracción reformada DOF 04-05-2021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b/>
          <w:bCs/>
          <w:sz w:val="20"/>
          <w:lang w:val="es-MX"/>
        </w:rPr>
        <w:t xml:space="preserve">VI. </w:t>
      </w:r>
      <w:r>
        <w:rPr>
          <w:sz w:val="20"/>
          <w:lang w:val="es-MX"/>
        </w:rPr>
        <w:t>La recuperación de espacios públicos, con la participación de la comunidad incluyendo todos los grupos que la conforman.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szCs w:val="16"/>
          <w:lang w:val="es-MX"/>
        </w:rPr>
        <w:t>Fracción adicionada DOF 04-05-2021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/>
      </w:pPr>
      <w:bookmarkStart w:id="9" w:name="Artículo_10"/>
      <w:r>
        <w:rPr>
          <w:b/>
          <w:sz w:val="20"/>
        </w:rPr>
        <w:t>Artículo 10</w:t>
      </w:r>
      <w:bookmarkEnd w:id="9"/>
      <w:r>
        <w:rPr>
          <w:b/>
          <w:sz w:val="20"/>
        </w:rPr>
        <w:t>.-</w:t>
      </w:r>
      <w:r>
        <w:rPr>
          <w:sz w:val="20"/>
        </w:rPr>
        <w:t xml:space="preserve"> La prevención en el ámbito psicosocial tiene como objetivo incidir en las motivaciones individuales hacia la violencia o las condiciones criminógenas con referencia a los individuos, la familia, la escuela y la comunidad, que incluye como mínimo lo siguiente: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Impulsar el diseño y aplicación de programas formativos en habilidades para la vida, dirigidos principalmente a la población en situación de riesgo y vulnerabilidad;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bCs/>
          <w:sz w:val="20"/>
          <w:lang w:val="es-MX"/>
        </w:rPr>
        <w:t xml:space="preserve">II. </w:t>
      </w:r>
      <w:r>
        <w:rPr>
          <w:sz w:val="20"/>
          <w:lang w:val="es-MX"/>
        </w:rPr>
        <w:t>La inclusión de la prevención de la violencia, la delincuencia y de las adicciones, principalmente de alcohol, tabaco y estupefacientes, en las políticas públicas en materia de educación, a través de la difusión de contenidos tendientes a disminuirlas;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szCs w:val="16"/>
          <w:lang w:val="es-MX"/>
        </w:rPr>
        <w:t>Fracción reformada DOF 04-05-2021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b/>
          <w:bCs/>
          <w:sz w:val="20"/>
          <w:lang w:val="es-MX"/>
        </w:rPr>
        <w:t xml:space="preserve">III. </w:t>
      </w:r>
      <w:r>
        <w:rPr>
          <w:sz w:val="20"/>
          <w:lang w:val="es-MX"/>
        </w:rPr>
        <w:t>El fortalecimiento de las capacidades institucionales que asegure la sostenibilidad de los programas preventivos, y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szCs w:val="16"/>
          <w:lang w:val="es-MX"/>
        </w:rPr>
        <w:t>Fracción reformada DOF 04-05-2021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b/>
          <w:bCs/>
          <w:sz w:val="20"/>
          <w:lang w:val="es-MX"/>
        </w:rPr>
        <w:t xml:space="preserve">IV. </w:t>
      </w:r>
      <w:r>
        <w:rPr>
          <w:sz w:val="20"/>
          <w:lang w:val="es-MX"/>
        </w:rPr>
        <w:t>El fortalecimiento de las medidas de detección, prevención y atención del acoso entre niñas, niños, adolescentes y mujeres, en las escuelas y comunidades, que privilegien la retroalimentación de sus experiencias en la comunidad.</w:t>
      </w:r>
    </w:p>
    <w:p>
      <w:pPr>
        <w:pStyle w:val="Textosinformato"/>
        <w:jc w:val="end"/>
        <w:rPr>
          <w:rFonts w:ascii="Times New Roman" w:hAnsi="Times New Roman" w:eastAsia="MS Mincho;ＭＳ 明朝" w:cs="Times New Roman"/>
          <w:i/>
          <w:i/>
          <w:iCs/>
          <w:color w:val="0000FF"/>
          <w:sz w:val="16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16"/>
          <w:szCs w:val="16"/>
          <w:lang w:val="es-MX"/>
        </w:rPr>
        <w:t>Fracción adicionada DOF 04-05-2021</w:t>
      </w:r>
    </w:p>
    <w:p>
      <w:pPr>
        <w:pStyle w:val="Texto"/>
        <w:spacing w:lineRule="auto" w:line="240" w:before="0" w:after="0"/>
        <w:rPr>
          <w:rFonts w:ascii="Times New Roman" w:hAnsi="Times New Roman" w:eastAsia="MS Mincho;ＭＳ 明朝" w:cs="Times New Roman"/>
          <w:i/>
          <w:i/>
          <w:iCs/>
          <w:color w:val="0000FF"/>
          <w:sz w:val="20"/>
          <w:szCs w:val="16"/>
          <w:lang w:val="es-MX"/>
        </w:rPr>
      </w:pPr>
      <w:r>
        <w:rPr>
          <w:rFonts w:eastAsia="MS Mincho;ＭＳ 明朝" w:cs="Times New Roman" w:ascii="Times New Roman" w:hAnsi="Times New Roman"/>
          <w:i/>
          <w:iCs/>
          <w:color w:val="0000FF"/>
          <w:sz w:val="20"/>
          <w:szCs w:val="16"/>
          <w:lang w:val="es-MX"/>
        </w:rPr>
      </w:r>
    </w:p>
    <w:p>
      <w:pPr>
        <w:pStyle w:val="Texto"/>
        <w:spacing w:lineRule="auto" w:line="240" w:before="0" w:after="0"/>
        <w:rPr/>
      </w:pPr>
      <w:bookmarkStart w:id="10" w:name="Artículo_11"/>
      <w:r>
        <w:rPr>
          <w:b/>
          <w:sz w:val="20"/>
        </w:rPr>
        <w:t>Artículo 11</w:t>
      </w:r>
      <w:bookmarkEnd w:id="10"/>
      <w:r>
        <w:rPr>
          <w:b/>
          <w:sz w:val="20"/>
        </w:rPr>
        <w:t>.-</w:t>
      </w:r>
      <w:r>
        <w:rPr>
          <w:sz w:val="20"/>
        </w:rPr>
        <w:t xml:space="preserve"> El acceso a la justicia y la atención integral a las víctimas de la violencia o de la delincuencia debe considerar la asistencia, protección, reparación del daño y prevención de la doble victimización, a través de: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La atención inmediata y efectiva a víctimas de delitos, en términos del impacto emocional y el proceso legal, velando por sus derechos y su seguridad en forma prioritaria;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La atención psicológica especializada, inmediata y subsecuente realizada por profesionales, considerando diferentes modalidades terapéuticas;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La atención específica al impacto en grupos especialmente vulnerables a desarrollar problemas derivados de delitos violentos;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Brindar respuesta a las peticiones o solicitudes de intervención presentadas por las víctimas de la violencia y la delincuencia, a través de los mecanismos creados para ese fin,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V.</w:t>
      </w:r>
      <w:r>
        <w:rPr>
          <w:sz w:val="20"/>
        </w:rPr>
        <w:t xml:space="preserve"> La reparación integral del daño que incluye el reconocimiento público, la reparación del daño moral y material, y las garantías de no repetición.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TERCERO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 LAS INSTANCIAS DE COORDINACIÓN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Sección Primera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Del Consejo Nacional de Seguridad Pública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11" w:name="Artículo_12"/>
      <w:r>
        <w:rPr>
          <w:b/>
          <w:sz w:val="20"/>
        </w:rPr>
        <w:t>Artículo 12</w:t>
      </w:r>
      <w:bookmarkEnd w:id="11"/>
      <w:r>
        <w:rPr>
          <w:b/>
          <w:sz w:val="20"/>
        </w:rPr>
        <w:t>.-</w:t>
      </w:r>
      <w:r>
        <w:rPr>
          <w:sz w:val="20"/>
        </w:rPr>
        <w:t xml:space="preserve"> El Consejo Nacional será la máxima instancia para la coordinación y definición de la política de prevención social de la violencia y la delincuencia.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El Consejo Nacional contará con el Secretariado Ejecutivo del Sistema Nacional de Seguridad Pública para coordinar e implementar la política de prevención social de la violencia y la delincuencia, y éste se apoyará para ello en el Centro Nacional, en los términos que señala la Ley General del Sistema Nacional de Seguridad Pública y demás normativa aplicable.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Para dar seguimiento al cumplimiento de las disposiciones aplicables, el Secretariado Ejecutivo se coordinará con la Comisión.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12" w:name="Artículo_13"/>
      <w:r>
        <w:rPr>
          <w:b/>
          <w:sz w:val="20"/>
        </w:rPr>
        <w:t>Artículo 13</w:t>
      </w:r>
      <w:bookmarkEnd w:id="12"/>
      <w:r>
        <w:rPr>
          <w:b/>
          <w:sz w:val="20"/>
        </w:rPr>
        <w:t>.-</w:t>
      </w:r>
      <w:r>
        <w:rPr>
          <w:sz w:val="20"/>
        </w:rPr>
        <w:t xml:space="preserve"> Las atribuciones del Consejo Nacional en materia de prevención social de la violencia y la delincuencia son: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Definir estrategias de colaboración interinstitucional para facilitar la cooperación, contactos e intercambio de información y experiencias entre la Federación, las entidades federativas y los municipios; así como con organizaciones de la sociedad civil, centros educativos o de investigación, o cualquier otro grupo de expertos o redes especializadas en prevención;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Establecer los lineamientos para recabar, analizar y compartir la información existente sobre la prevención social de la violencia y la delincuencia, análisis de las mejores prácticas, su evaluación, así como su evolución entre los tres órdenes de gobierno del Sistema Nacional de Seguridad Pública, con objeto de contribuir a la toma de decisiones;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Convocar a las autoridades de los tres órdenes de gobierno, dentro del Sistema Nacional de Seguridad Pública, responsables o vinculadas, cuya función incida en la prevención social a efecto de coordinar acciones;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Informar a la sociedad anualmente sobre sus actividades a través de los órganos competentes, e indicar los ámbitos de acción prioritarios de su programa de trabajo para el año siguiente;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V.</w:t>
      </w:r>
      <w:r>
        <w:rPr>
          <w:sz w:val="20"/>
        </w:rPr>
        <w:t xml:space="preserve"> Promover la generación de indicadores y métricas estandarizados para los integrantes del Sistema Nacional de Seguridad Pública en materia de prevención de la violencia y la delincuencia, los que al menos serán desagregados por edad, sexo, ubicación geográfica y pertenencia étnica,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VI.</w:t>
      </w:r>
      <w:r>
        <w:rPr>
          <w:sz w:val="20"/>
        </w:rPr>
        <w:t xml:space="preserve"> Las demás que establezcan otras disposiciones legales y las que sean necesarias para el funcionamiento del Sistema Nacional de Seguridad Pública en las materias propias de esta Ley.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Sección Segunda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Del Secretariado Ejecutivo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13" w:name="Artículo_14"/>
      <w:r>
        <w:rPr>
          <w:b/>
          <w:sz w:val="20"/>
        </w:rPr>
        <w:t>Artículo 14</w:t>
      </w:r>
      <w:bookmarkEnd w:id="13"/>
      <w:r>
        <w:rPr>
          <w:b/>
          <w:sz w:val="20"/>
        </w:rPr>
        <w:t>.-</w:t>
      </w:r>
      <w:r>
        <w:rPr>
          <w:sz w:val="20"/>
        </w:rPr>
        <w:t xml:space="preserve"> El Secretariado Ejecutivo del Sistema Nacional de Seguridad Pública en materia de prevención social de la violencia y la delincuencia, tendrá las siguientes atribuciones: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Elaborar en coordinación con las demás instancias del Sistema Nacional de Seguridad Pública, las propuestas de contenido del Programa Nacional de Prevención Social de la Violencia y la Delincuencia, y todos aquellos vinculados con esta materia;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Proponer al Consejo Nacional de Seguridad Pública, políticas públicas, programas y acciones en materia de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Ejecutar y dar seguimiento a los acuerdos y resoluciones del propio Consejo Nacional y de su Presidente sobre la materia;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Difundir la información estadística en materia de incidencia delictiva y de prevención social de la violencia y la delincuencia,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V.</w:t>
      </w:r>
      <w:r>
        <w:rPr>
          <w:sz w:val="20"/>
        </w:rPr>
        <w:t xml:space="preserve"> Todas aquellas atribuciones conferidas al Secretariado Ejecutivo en la Ley General del Sistema Nacional de Seguridad Pública y demás disposiciones legales.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Sección Tercera</w:t>
      </w:r>
    </w:p>
    <w:p>
      <w:pPr>
        <w:pStyle w:val="Texto"/>
        <w:spacing w:lineRule="auto" w:line="240" w:before="0" w:after="0"/>
        <w:ind w:hanging="0" w:end="0"/>
        <w:jc w:val="center"/>
        <w:rPr/>
      </w:pPr>
      <w:r>
        <w:rPr>
          <w:b/>
          <w:sz w:val="22"/>
          <w:szCs w:val="22"/>
        </w:rPr>
        <w:t>Del Centro Nacional de Prevención del Delito y Participación Ciudadana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14" w:name="Artículo_15"/>
      <w:r>
        <w:rPr>
          <w:b/>
          <w:sz w:val="20"/>
        </w:rPr>
        <w:t>Artículo 15</w:t>
      </w:r>
      <w:bookmarkEnd w:id="14"/>
      <w:r>
        <w:rPr>
          <w:b/>
          <w:sz w:val="20"/>
        </w:rPr>
        <w:t>.-</w:t>
      </w:r>
      <w:r>
        <w:rPr>
          <w:sz w:val="20"/>
        </w:rPr>
        <w:t xml:space="preserve"> El Centro Nacional tendrá, además de las que le confiere la Ley General del Sistema Nacional de Seguridad Pública y demás disposiciones aplicables, las siguientes atribuciones: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Participar en la elaboración del Programa Nacional de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Elaborar su programa anual de trabajo y someterlo a la aprobación del Secretario Ejecutivo;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Recabar información sobre los delitos y sus tendencias, los grupos de mayor victimización y, proyectos enfocados en la prevención y sus resultados;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Realizar diagnósticos participativos en materia de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V.</w:t>
      </w:r>
      <w:r>
        <w:rPr>
          <w:sz w:val="20"/>
        </w:rPr>
        <w:t xml:space="preserve"> Generar mecanismos de participación ciudadana y comunitaria, de los organismos públicos de derechos humanos y de las instituciones de educación superior para el diagnóstico y evaluación de las políticas públicas en materia de prevención;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VI.</w:t>
      </w:r>
      <w:r>
        <w:rPr>
          <w:sz w:val="20"/>
        </w:rPr>
        <w:t xml:space="preserve"> Planear la ejecución de programas de prevención y las formas de evaluación, previa aprobación del Secretario Ejecutivo;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VII.</w:t>
      </w:r>
      <w:r>
        <w:rPr>
          <w:sz w:val="20"/>
        </w:rPr>
        <w:t xml:space="preserve"> Colaborar en el diseño científico de políticas criminológicas;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VIII.</w:t>
      </w:r>
      <w:r>
        <w:rPr>
          <w:sz w:val="20"/>
        </w:rPr>
        <w:t xml:space="preserve"> Elaborar mapas de riesgos sobre la violencia y la delincuencia en colaboración con otras autoridades sobre la base de la información recabada por el Centro Nacional, que estarán correlacionados con las condiciones sociales, económicas y educativas de las localidades;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IX.</w:t>
      </w:r>
      <w:r>
        <w:rPr>
          <w:sz w:val="20"/>
        </w:rPr>
        <w:t xml:space="preserve"> Realizar en coordinación con otras instituciones encuestas nacionales de victimización en hogares, con la periodicidad que se estime conveniente;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X.</w:t>
      </w:r>
      <w:r>
        <w:rPr>
          <w:sz w:val="20"/>
        </w:rPr>
        <w:t xml:space="preserve"> Identificar temas prioritarios o emergentes que pongan en riesgo o que afecten directamente la seguridad pública desde la perspectiva ciudadana;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XI.</w:t>
      </w:r>
      <w:r>
        <w:rPr>
          <w:sz w:val="20"/>
        </w:rPr>
        <w:t xml:space="preserve"> Formular recomendaciones sobre la implementación de medidas de prevención de la victimización;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XII.</w:t>
      </w:r>
      <w:r>
        <w:rPr>
          <w:sz w:val="20"/>
        </w:rPr>
        <w:t xml:space="preserve"> Evaluar la eficiencia y eficacia de las políticas públicas, programas y acciones de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XIII.</w:t>
      </w:r>
      <w:r>
        <w:rPr>
          <w:sz w:val="20"/>
        </w:rPr>
        <w:t xml:space="preserve"> Efectuar estudios comparativos de las estadísticas oficiales de criminalidad;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XIV.</w:t>
      </w:r>
      <w:r>
        <w:rPr>
          <w:sz w:val="20"/>
        </w:rPr>
        <w:t xml:space="preserve"> Promover entre las autoridades los gobiernos Federal, de los Estados, el Distrito Federal y los Municipios la participación ciudadana y comunitaria en las tareas de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XV.</w:t>
      </w:r>
      <w:r>
        <w:rPr>
          <w:sz w:val="20"/>
        </w:rPr>
        <w:t xml:space="preserve"> Garantizar el libre acceso de la población a la información estadística en materia de delito y de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XVI.</w:t>
      </w:r>
      <w:r>
        <w:rPr>
          <w:sz w:val="20"/>
        </w:rPr>
        <w:t xml:space="preserve"> Realizar y difundir estudios sobre las causas y factores que confluyen en el fenómeno de la criminalidad;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XVII.</w:t>
      </w:r>
      <w:r>
        <w:rPr>
          <w:sz w:val="20"/>
        </w:rPr>
        <w:t xml:space="preserve"> Expedir los lineamientos y crear los mecanismos que sean necesarios para garantizar que las inquietudes, requerimientos y propuestas de los ciudadanos sean elevadas al Consejo Nacional;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XVIII.</w:t>
      </w:r>
      <w:r>
        <w:rPr>
          <w:sz w:val="20"/>
        </w:rPr>
        <w:t xml:space="preserve"> Generar y recabar información sobre: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a)</w:t>
      </w:r>
      <w:r>
        <w:rPr>
          <w:sz w:val="20"/>
        </w:rPr>
        <w:t xml:space="preserve"> Las causas estructurales del delito;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b)</w:t>
      </w:r>
      <w:r>
        <w:rPr>
          <w:sz w:val="20"/>
        </w:rPr>
        <w:t xml:space="preserve"> Estadísticas de conductas ilícitas no denunciadas;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c)</w:t>
      </w:r>
      <w:r>
        <w:rPr>
          <w:sz w:val="20"/>
        </w:rPr>
        <w:t xml:space="preserve"> Diagnósticos socio demográficos;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d)</w:t>
      </w:r>
      <w:r>
        <w:rPr>
          <w:sz w:val="20"/>
        </w:rPr>
        <w:t xml:space="preserve"> Prevención de la violencia infantil y juvenil;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e)</w:t>
      </w:r>
      <w:r>
        <w:rPr>
          <w:sz w:val="20"/>
        </w:rPr>
        <w:t xml:space="preserve"> Erradicación de la violencia entre grupos vulnerables,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f)</w:t>
      </w:r>
      <w:r>
        <w:rPr>
          <w:sz w:val="20"/>
        </w:rPr>
        <w:t xml:space="preserve"> Modelos de atención integral a las víctimas;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XIX.</w:t>
      </w:r>
      <w:r>
        <w:rPr>
          <w:sz w:val="20"/>
        </w:rPr>
        <w:t xml:space="preserve"> Organizar y difundir los resultados y conclusiones de las conferencias, seminarios, reuniones y demás acciones destinadas a profundizar en aspectos técnicos de experiencias nacionales e internacionales sobre la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XX.</w:t>
      </w:r>
      <w:r>
        <w:rPr>
          <w:sz w:val="20"/>
        </w:rPr>
        <w:t xml:space="preserve"> Brindar asesoría a las autoridades federales, de las entidades federativas, las municipales, así como a la sociedad civil, organizada o no, cuando estas así lo soliciten;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XXI.</w:t>
      </w:r>
      <w:r>
        <w:rPr>
          <w:sz w:val="20"/>
        </w:rPr>
        <w:t xml:space="preserve"> Proponer al Secretariado Ejecutivo la celebración de convenios para la formación, capacitación, especialización y actualización de servidores públicos cuyas funciones incidan en la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XXII.</w:t>
      </w:r>
      <w:r>
        <w:rPr>
          <w:sz w:val="20"/>
        </w:rPr>
        <w:t xml:space="preserve"> Intercambiar y desarrollar mecanismos de aprendizaje de experiencias internacionales;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XXIII.</w:t>
      </w:r>
      <w:r>
        <w:rPr>
          <w:sz w:val="20"/>
        </w:rPr>
        <w:t xml:space="preserve"> Difundir la recopilación de las mejores prácticas nacionales e internacionales sobre prevención social de la violencia y la delincuencia, y los criterios para tal determinación;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XXIV.</w:t>
      </w:r>
      <w:r>
        <w:rPr>
          <w:sz w:val="20"/>
        </w:rPr>
        <w:t xml:space="preserve"> Analizar las inquietudes, requerimientos y propuestas de los ciudadanos a través de las instancias creadas al efecto, a partir de las directrices y mecanismos establecidos por el Reglamento;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XXV.</w:t>
      </w:r>
      <w:r>
        <w:rPr>
          <w:sz w:val="20"/>
        </w:rPr>
        <w:t xml:space="preserve"> Dar respuesta a las temáticas planteadas por la participación ciudadana y comunitaria,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XXVI.</w:t>
      </w:r>
      <w:r>
        <w:rPr>
          <w:sz w:val="20"/>
        </w:rPr>
        <w:t xml:space="preserve"> Las demás que establezcan otras disposiciones legales.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Sección Cuarta</w:t>
      </w:r>
    </w:p>
    <w:p>
      <w:pPr>
        <w:pStyle w:val="Texto"/>
        <w:spacing w:lineRule="auto" w:line="240" w:before="0" w:after="0"/>
        <w:ind w:hanging="0" w:end="0"/>
        <w:jc w:val="center"/>
        <w:rPr/>
      </w:pPr>
      <w:r>
        <w:rPr>
          <w:b/>
          <w:sz w:val="22"/>
          <w:szCs w:val="22"/>
        </w:rPr>
        <w:t>De la Comisión Permanente de Prevención del Delito y Participación Ciudadana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15" w:name="Artículo_16"/>
      <w:r>
        <w:rPr>
          <w:b/>
          <w:sz w:val="20"/>
        </w:rPr>
        <w:t>Artículo 16</w:t>
      </w:r>
      <w:bookmarkEnd w:id="15"/>
      <w:r>
        <w:rPr>
          <w:b/>
          <w:sz w:val="20"/>
        </w:rPr>
        <w:t>.-</w:t>
      </w:r>
      <w:r>
        <w:rPr>
          <w:sz w:val="20"/>
        </w:rPr>
        <w:t xml:space="preserve"> La Comisión tendrá, además de las que le confiere la Ley General del Sistema Nacional de Seguridad Pública y demás disposiciones aplicables, las siguientes atribuciones: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Apoyar al Secretariado Ejecutivo en el seguimiento del cumplimiento de los programas generales, especiales e institucionales de las dependencias cuyas funciones incidan en la prevención social de la violencia y la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Proponer como resultado de la evaluación de los programas, mecanismos para mejorar sus resultados;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Apoyar al Centro Nacional en la promoción de la participación ciudadana y comunitaria en la prevención social de la violencia y la delincuencia,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Proponer al Consejo Nacional los estándares y las metodologías de evaluación para medir el impacto de los programas en las materias propias de esta Ley.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CUARTO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 LA COORDINACIÓN DE PROGRAMAS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16" w:name="Artículo_17"/>
      <w:r>
        <w:rPr>
          <w:b/>
          <w:sz w:val="20"/>
        </w:rPr>
        <w:t>Artículo 17</w:t>
      </w:r>
      <w:bookmarkEnd w:id="16"/>
      <w:r>
        <w:rPr>
          <w:b/>
          <w:sz w:val="20"/>
        </w:rPr>
        <w:t>.-</w:t>
      </w:r>
      <w:r>
        <w:rPr>
          <w:sz w:val="20"/>
        </w:rPr>
        <w:t xml:space="preserve"> Los programas nacional, sectoriales, especiales e institucionales que incidan en la prevención social de la violencia y la delincuencia, deberán diseñarse considerando la participación interinstitucional con enfoque multidisciplinario, enfatizando la colaboración con universidades y entidades orientadas a la investigación, asimismo se orientarán a contrarrestar, neutralizar o disminuir los factores de riesgo y las consecuencias, daño e impacto social y comunitario de la violencia y la delincuencia.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Los programas tenderán a lograr un efecto multiplicador, fomentando la participación de las autoridades de los gobiernos Federal, de los Estados, el Distrito Federal y los Municipios, organismos públicos de derechos humanos y de las organizaciones civiles, académicas y comunitarias en el diagnóstico, diseño, implementación y evaluación de las políticas públicas y de la prevención social de la violencia y la delincuencia.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17" w:name="Artículo_18"/>
      <w:r>
        <w:rPr>
          <w:b/>
          <w:sz w:val="20"/>
        </w:rPr>
        <w:t>Artículo 18</w:t>
      </w:r>
      <w:bookmarkEnd w:id="17"/>
      <w:r>
        <w:rPr>
          <w:b/>
          <w:sz w:val="20"/>
        </w:rPr>
        <w:t>.-</w:t>
      </w:r>
      <w:r>
        <w:rPr>
          <w:sz w:val="20"/>
        </w:rPr>
        <w:t xml:space="preserve"> Las políticas de prevención social deberán ser evaluadas con la participación de instituciones académicas, profesionales, especialistas en la materia y organizaciones de la sociedad civil.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18" w:name="Artículo_19"/>
      <w:r>
        <w:rPr>
          <w:b/>
          <w:sz w:val="20"/>
        </w:rPr>
        <w:t>Artículo 19</w:t>
      </w:r>
      <w:bookmarkEnd w:id="18"/>
      <w:r>
        <w:rPr>
          <w:b/>
          <w:sz w:val="20"/>
        </w:rPr>
        <w:t>.-</w:t>
      </w:r>
      <w:r>
        <w:rPr>
          <w:sz w:val="20"/>
        </w:rPr>
        <w:t xml:space="preserve"> En el cumplimiento del objeto de esta Ley, las autoridades de los gobiernos Federal, de los Estados, el Distrito Federal y los Municipios, en el ámbito de sus atribuciones, deberán: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Proporcionar información a las comunidades para enfrentar los problemas derivados de la delincuencia; siempre que no violente los principios de confidencialidad y reserva;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Apoyar el intercambio de experiencias, investigación académica y aplicación práctica de conocimientos basados en evidencias;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Apoyar la organización y la sistematización de experiencias exitosas en el combate a los delitos;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Compartir conocimientos, según corresponda, con investigadores, entes normativos, educadores, especialistas de otros sectores pertinentes y la sociedad en general;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V.</w:t>
      </w:r>
      <w:r>
        <w:rPr>
          <w:sz w:val="20"/>
        </w:rPr>
        <w:t xml:space="preserve"> Repetir intervenciones exitosas, concebir nuevas iniciativas y pronosticar nuevos problemas de delincuencia y posibilidades de prevención;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VI.</w:t>
      </w:r>
      <w:r>
        <w:rPr>
          <w:sz w:val="20"/>
        </w:rPr>
        <w:t xml:space="preserve"> Generar bases de datos especializadas que permitan administrar la prevención social de la violencia y la delincuencia, así como reducir la victimización y persistencia de delitos en zonas con altos niveles de delincuencia;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VII.</w:t>
      </w:r>
      <w:r>
        <w:rPr>
          <w:sz w:val="20"/>
        </w:rPr>
        <w:t xml:space="preserve"> Realizar estudios periódicos sobre la victimización y la delincuencia,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VIII.</w:t>
      </w:r>
      <w:r>
        <w:rPr>
          <w:sz w:val="20"/>
        </w:rPr>
        <w:t xml:space="preserve"> Impulsar la participación ciudadana y comunitaria, en la prevención social de la violencia y la delincuencia.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QUINTO</w:t>
      </w:r>
    </w:p>
    <w:p>
      <w:pPr>
        <w:pStyle w:val="Texto"/>
        <w:spacing w:lineRule="auto" w:line="240" w:before="0" w:after="0"/>
        <w:ind w:hanging="0" w:end="0"/>
        <w:jc w:val="center"/>
        <w:rPr/>
      </w:pPr>
      <w:r>
        <w:rPr>
          <w:b/>
          <w:sz w:val="22"/>
          <w:szCs w:val="22"/>
        </w:rPr>
        <w:t>DEL PROGRAMA NACIONAL PARA LA PREVENCIÓN SOCIAL DE LA VIOLENCIA Y LA DELINCUENCIA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19" w:name="Artículo_20"/>
      <w:r>
        <w:rPr>
          <w:b/>
          <w:sz w:val="20"/>
        </w:rPr>
        <w:t>Artículo 20</w:t>
      </w:r>
      <w:bookmarkEnd w:id="19"/>
      <w:r>
        <w:rPr>
          <w:b/>
          <w:sz w:val="20"/>
        </w:rPr>
        <w:t>.-</w:t>
      </w:r>
      <w:r>
        <w:rPr>
          <w:sz w:val="20"/>
        </w:rPr>
        <w:t xml:space="preserve"> El Programa Nacional deberá contribuir al objetivo general de proveer a las personas protección en las áreas de libertad, seguridad y justicia, con base en objetivos precisos, claros y medibles, a través de: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I.</w:t>
      </w:r>
      <w:r>
        <w:rPr>
          <w:sz w:val="20"/>
        </w:rPr>
        <w:t xml:space="preserve"> La incorporación de la prevención como elemento central de las prioridades en la calidad de vida de las personas;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II.</w:t>
      </w:r>
      <w:r>
        <w:rPr>
          <w:sz w:val="20"/>
        </w:rPr>
        <w:t xml:space="preserve"> El diagnóstico de seguridad a través del análisis sistemático de los problemas de la delincuencia, sus causas, los factores de riesgo y las consecuencias;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III.</w:t>
      </w:r>
      <w:r>
        <w:rPr>
          <w:sz w:val="20"/>
        </w:rPr>
        <w:t xml:space="preserve"> Los diagnósticos participativos;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IV.</w:t>
      </w:r>
      <w:r>
        <w:rPr>
          <w:sz w:val="20"/>
        </w:rPr>
        <w:t xml:space="preserve"> Los ámbitos y grupos prioritarios que deben ser atendidos;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V.</w:t>
      </w:r>
      <w:r>
        <w:rPr>
          <w:sz w:val="20"/>
        </w:rPr>
        <w:t xml:space="preserve"> El fomento de la capacitación de los servidores públicos cuyas atribuciones se encuentren relacionadas con la materia objeto de la presente ley, lo cual incluirá la realización de seminarios, estudios e investigaciones o programas de formación entre otros, para asegurar que sus intervenciones sean apropiadas, eficientes, eficaces y sostenibles;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VI.</w:t>
      </w:r>
      <w:r>
        <w:rPr>
          <w:sz w:val="20"/>
        </w:rPr>
        <w:t xml:space="preserve"> La movilización y construcción de una serie de acciones interinstitucionales que tengan capacidad para abordar las causas y que incluyan a la sociedad civil;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VII.</w:t>
      </w:r>
      <w:r>
        <w:rPr>
          <w:sz w:val="20"/>
        </w:rPr>
        <w:t xml:space="preserve"> El desarrollo de estrategias de prevención social de la violencia y la delincuencia, y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b/>
          <w:sz w:val="20"/>
        </w:rPr>
        <w:t>VIII.</w:t>
      </w:r>
      <w:r>
        <w:rPr>
          <w:sz w:val="20"/>
        </w:rPr>
        <w:t xml:space="preserve"> El monitoreo y evaluación continuos.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Las autoridades de los gobiernos Federal, los Estados, el Distrito Federal y los Municipios en el ámbito de sus respectivas atribuciones, deberán incluir a la prevención social de la violencia y la delincuencia en sus planes y programas.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20" w:name="Artículo_21"/>
      <w:r>
        <w:rPr>
          <w:b/>
          <w:sz w:val="20"/>
        </w:rPr>
        <w:t>Artículo 21</w:t>
      </w:r>
      <w:bookmarkEnd w:id="20"/>
      <w:r>
        <w:rPr>
          <w:b/>
          <w:sz w:val="20"/>
        </w:rPr>
        <w:t>.-</w:t>
      </w:r>
      <w:r>
        <w:rPr>
          <w:sz w:val="20"/>
        </w:rPr>
        <w:t xml:space="preserve"> Para la ejecución del Programa Nacional, el Centro Nacional preparará un programa de trabajo anual que contenga objetivos específicos, prioridades temáticas y una lista de acciones y de medidas complementarias.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Sección Primera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 la Evaluación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21" w:name="Artículo_22"/>
      <w:r>
        <w:rPr>
          <w:b/>
          <w:sz w:val="20"/>
        </w:rPr>
        <w:t>Artículo 22</w:t>
      </w:r>
      <w:bookmarkEnd w:id="21"/>
      <w:r>
        <w:rPr>
          <w:b/>
          <w:sz w:val="20"/>
        </w:rPr>
        <w:t>.-</w:t>
      </w:r>
      <w:r>
        <w:rPr>
          <w:sz w:val="20"/>
        </w:rPr>
        <w:t xml:space="preserve"> El Centro Nacional evaluará las acciones realizadas para ejecutar el programa anual y los resultados del año anterior. El resultado de la evaluación se remitirá al Consejo Nacional quien lo hará público en los términos que establezcan las disposiciones aplicables.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Para la evaluación de las acciones referidas en los programas, se convocará a los organismos públicos de derechos humanos, instituciones académicas y organizaciones de la sociedad civil.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>Los resultados de las evaluaciones determinarán la continuidad de los programas.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22" w:name="Artículo_23"/>
      <w:r>
        <w:rPr>
          <w:b/>
          <w:sz w:val="20"/>
        </w:rPr>
        <w:t>Artículo 23</w:t>
      </w:r>
      <w:bookmarkEnd w:id="22"/>
      <w:r>
        <w:rPr>
          <w:b/>
          <w:sz w:val="20"/>
        </w:rPr>
        <w:t>.-</w:t>
      </w:r>
      <w:r>
        <w:rPr>
          <w:sz w:val="20"/>
        </w:rPr>
        <w:t xml:space="preserve"> El Centro Nacional deberá coadyuvar con el Consejo Nacional de Evaluación de la Política Social u otras instancias gubernamentales o de la sociedad para el desarrollo de las evaluaciones respectivas.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Sección Segunda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 la Participación Ciudadana y Comunitaria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23" w:name="Artículo_24"/>
      <w:r>
        <w:rPr>
          <w:b/>
          <w:sz w:val="20"/>
        </w:rPr>
        <w:t>Artículo 24</w:t>
      </w:r>
      <w:bookmarkEnd w:id="23"/>
      <w:r>
        <w:rPr>
          <w:b/>
          <w:sz w:val="20"/>
        </w:rPr>
        <w:t>.-</w:t>
      </w:r>
      <w:r>
        <w:rPr>
          <w:sz w:val="20"/>
        </w:rPr>
        <w:t xml:space="preserve"> La participación ciudadana y comunitaria, organizada o no organizada, en materia de prevención social de la violencia y la delincuencia, es un derecho de las personas.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24" w:name="Artículo_25"/>
      <w:r>
        <w:rPr>
          <w:b/>
          <w:sz w:val="20"/>
        </w:rPr>
        <w:t>Artículo 25</w:t>
      </w:r>
      <w:bookmarkEnd w:id="24"/>
      <w:r>
        <w:rPr>
          <w:b/>
          <w:sz w:val="20"/>
        </w:rPr>
        <w:t>.-</w:t>
      </w:r>
      <w:r>
        <w:rPr>
          <w:sz w:val="20"/>
        </w:rPr>
        <w:t xml:space="preserve"> La participación ciudadana y comunitaria, organizada o no organizada, se hace efectiva a través de la actuación de las personas en las comunidades, en las redes vecinales, las organizaciones para la prevención social de la violencia y la delincuencia, en los consejos de Participación Ciudadana, en el Centro Nacional o a través de cualquier otro mecanismo local o legal, creado en virtud de sus necesidades.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25" w:name="Artículo_26"/>
      <w:r>
        <w:rPr>
          <w:b/>
          <w:sz w:val="20"/>
        </w:rPr>
        <w:t>Artículo 26</w:t>
      </w:r>
      <w:bookmarkEnd w:id="25"/>
      <w:r>
        <w:rPr>
          <w:b/>
          <w:sz w:val="20"/>
        </w:rPr>
        <w:t>.-</w:t>
      </w:r>
      <w:r>
        <w:rPr>
          <w:sz w:val="20"/>
        </w:rPr>
        <w:t xml:space="preserve"> La coordinación entre los diferentes mecanismos y espacios de participación ciudadana, tanto comunitaria como local, será un objetivo fundamental del Centro Nacional, para lo cual desarrollará lineamientos claros de participación y consulta.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SEXTO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DEL FINANCIAMIENTO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26" w:name="Artículo_27"/>
      <w:r>
        <w:rPr>
          <w:b/>
          <w:sz w:val="20"/>
        </w:rPr>
        <w:t>Artículo 27</w:t>
      </w:r>
      <w:bookmarkEnd w:id="26"/>
      <w:r>
        <w:rPr>
          <w:b/>
          <w:sz w:val="20"/>
        </w:rPr>
        <w:t>.-</w:t>
      </w:r>
      <w:r>
        <w:rPr>
          <w:sz w:val="20"/>
        </w:rPr>
        <w:t xml:space="preserve"> Los programas federales, de los estados, el Distrito Federal o municipales, en materia de prevención social de la violencia y de la delincuencia, deberán cubrirse con cargo a sus respectivos presupuestos y sujetarse a las bases que establecen la presente Ley, la Ley General del Sistema Nacional de Seguridad Pública y demás disposiciones legales aplicables.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27" w:name="Artículo_28"/>
      <w:r>
        <w:rPr>
          <w:b/>
          <w:sz w:val="20"/>
        </w:rPr>
        <w:t>Artículo 28</w:t>
      </w:r>
      <w:bookmarkEnd w:id="27"/>
      <w:r>
        <w:rPr>
          <w:b/>
          <w:sz w:val="20"/>
        </w:rPr>
        <w:t>.-</w:t>
      </w:r>
      <w:r>
        <w:rPr>
          <w:sz w:val="20"/>
        </w:rPr>
        <w:t xml:space="preserve"> La Federación, los Estados, el Distrito Federal y los Municipios preverán en sus respectivos presupuestos recursos para el diagnóstico, diseño, ejecución y evaluación de programas y acciones de prevención social de la violencia y la delincuencia derivados de la presente Ley.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28" w:name="Artículo_29"/>
      <w:r>
        <w:rPr>
          <w:b/>
          <w:sz w:val="20"/>
        </w:rPr>
        <w:t>Artículo 29</w:t>
      </w:r>
      <w:bookmarkEnd w:id="28"/>
      <w:r>
        <w:rPr>
          <w:b/>
          <w:sz w:val="20"/>
        </w:rPr>
        <w:t>.-</w:t>
      </w:r>
      <w:r>
        <w:rPr>
          <w:sz w:val="20"/>
        </w:rPr>
        <w:t xml:space="preserve"> El Centro Nacional propondrá, previa aprobación del Secretario Ejecutivo, el desarrollo de mecanismos de financiamiento para proyectos de la sociedad civil, de los municipios o de las entidades federativas que tengan incidencia directa en temas prioritarios de prevención social de la violencia y la delincuencia, con base en los lineamientos que emita para tales efectos el Consejo Nacional, asegurando la coordinación de acciones para evitar la duplicación en el ejercicio de los recursos.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CAPÍTULO SÉPTIMO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 LAS SANCIONES</w:t>
      </w:r>
    </w:p>
    <w:p>
      <w:pPr>
        <w:pStyle w:val="Texto"/>
        <w:spacing w:lineRule="auto" w:line="240" w:before="0" w:after="0"/>
        <w:ind w:hanging="0" w:end="0"/>
        <w:jc w:val="center"/>
        <w:rPr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29" w:name="Artículo_30"/>
      <w:r>
        <w:rPr>
          <w:b/>
          <w:sz w:val="20"/>
        </w:rPr>
        <w:t>Artículo 30</w:t>
      </w:r>
      <w:bookmarkEnd w:id="29"/>
      <w:r>
        <w:rPr>
          <w:b/>
          <w:sz w:val="20"/>
        </w:rPr>
        <w:t>.-</w:t>
      </w:r>
      <w:r>
        <w:rPr>
          <w:sz w:val="20"/>
        </w:rPr>
        <w:t xml:space="preserve"> El incumplimiento en el ejercicio de las obligaciones que se derivan de la presente Ley será sancionado de conformidad con la legislación en materia de responsabilidades administrativas de los servidores públicos.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ANOTACION"/>
        <w:spacing w:lineRule="auto" w:line="240" w:before="0" w:after="0"/>
        <w:rPr>
          <w:rFonts w:ascii="Arial" w:hAnsi="Arial" w:cs="Arial"/>
          <w:sz w:val="22"/>
          <w:szCs w:val="22"/>
        </w:rPr>
      </w:pPr>
      <w:bookmarkStart w:id="30" w:name="TRANSITORIOS"/>
      <w:r>
        <w:rPr>
          <w:rFonts w:cs="Arial" w:ascii="Arial" w:hAnsi="Arial"/>
          <w:sz w:val="22"/>
          <w:szCs w:val="22"/>
        </w:rPr>
        <w:t>TRANSITORIOS</w:t>
      </w:r>
      <w:bookmarkEnd w:id="30"/>
    </w:p>
    <w:p>
      <w:pPr>
        <w:pStyle w:val="ANOTACION"/>
        <w:spacing w:lineRule="auto" w:line="240" w:before="0" w:after="0"/>
        <w:rPr>
          <w:rFonts w:ascii="Arial" w:hAnsi="Arial" w:cs="Arial"/>
          <w:sz w:val="20"/>
          <w:szCs w:val="22"/>
        </w:rPr>
      </w:pPr>
      <w:r>
        <w:rPr>
          <w:rFonts w:cs="Arial" w:ascii="Arial" w:hAnsi="Arial"/>
          <w:sz w:val="20"/>
          <w:szCs w:val="22"/>
        </w:rPr>
      </w:r>
    </w:p>
    <w:p>
      <w:pPr>
        <w:pStyle w:val="Texto"/>
        <w:spacing w:lineRule="auto" w:line="240" w:before="0" w:after="0"/>
        <w:rPr/>
      </w:pPr>
      <w:bookmarkStart w:id="31" w:name="Artículo_Primero"/>
      <w:r>
        <w:rPr>
          <w:b/>
          <w:sz w:val="20"/>
        </w:rPr>
        <w:t>ARTÍCULO PRIMERO</w:t>
      </w:r>
      <w:bookmarkEnd w:id="31"/>
      <w:r>
        <w:rPr>
          <w:b/>
          <w:sz w:val="20"/>
        </w:rPr>
        <w:t>.</w:t>
      </w:r>
      <w:r>
        <w:rPr>
          <w:sz w:val="20"/>
        </w:rPr>
        <w:t xml:space="preserve"> El presente Decreto entrará en vigor al día siguiente de su publicación en el Diario Oficial de la Federación.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32" w:name="Artículo_Segundo"/>
      <w:r>
        <w:rPr>
          <w:b/>
          <w:sz w:val="20"/>
        </w:rPr>
        <w:t>ARTÍCULO SEGUNDO</w:t>
      </w:r>
      <w:bookmarkEnd w:id="32"/>
      <w:r>
        <w:rPr>
          <w:b/>
          <w:sz w:val="20"/>
        </w:rPr>
        <w:t>.</w:t>
      </w:r>
      <w:r>
        <w:rPr>
          <w:sz w:val="20"/>
        </w:rPr>
        <w:t xml:space="preserve"> El Ejecutivo Federal expedirá el Reglamento respectivo en un término de hasta ciento ochenta días naturales a partir de la entrada en vigor de este Decreto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  <w:bookmarkStart w:id="33" w:name="Artículo_Tercero"/>
      <w:bookmarkStart w:id="34" w:name="Artículo_Tercero"/>
    </w:p>
    <w:p>
      <w:pPr>
        <w:pStyle w:val="Texto"/>
        <w:spacing w:lineRule="auto" w:line="240" w:before="0" w:after="0"/>
        <w:rPr/>
      </w:pPr>
      <w:bookmarkStart w:id="35" w:name="Artículo_Tercero"/>
      <w:r>
        <w:rPr>
          <w:b/>
          <w:sz w:val="20"/>
        </w:rPr>
        <w:t>ARTÍCULO TERCERO</w:t>
      </w:r>
      <w:bookmarkEnd w:id="35"/>
      <w:r>
        <w:rPr>
          <w:b/>
          <w:sz w:val="20"/>
        </w:rPr>
        <w:t>.</w:t>
      </w:r>
      <w:r>
        <w:rPr>
          <w:sz w:val="20"/>
        </w:rPr>
        <w:t xml:space="preserve"> La Cámara de Diputados del H. Congreso de la Unión, las legislaturas de los Estados y la Asamblea Legislativa del Distrito Federal expedirán las normas legales y tomarán las medidas presupuestales correspondientes para garantizar el cumplimiento de la Ley General para la Prevención Social de la Violencia y la Delincuencia, en el ejercicio fiscal siguiente a la entrada en vigor de este decreto.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bookmarkStart w:id="36" w:name="Artículo_Cuarto"/>
      <w:r>
        <w:rPr>
          <w:b/>
          <w:sz w:val="20"/>
        </w:rPr>
        <w:t>ARTÍCULO CUARTO</w:t>
      </w:r>
      <w:bookmarkEnd w:id="36"/>
      <w:r>
        <w:rPr>
          <w:b/>
          <w:sz w:val="20"/>
        </w:rPr>
        <w:t>.-</w:t>
      </w:r>
      <w:r>
        <w:rPr>
          <w:sz w:val="20"/>
        </w:rPr>
        <w:t xml:space="preserve"> Los programas, proyectos y demás acciones que, en cumplimiento a lo dispuesto en esta Ley y en razón de su competencia, corresponden a las dependencias y entidades de la Administración Pública Federal, deberán sujetarse a la disponibilidad presupuestaria que se apruebe para dichos fines en el Presupuesto de Egresos de la Federación y a las disposiciones de la Ley Federal de Presupuesto y Responsabilidad Hacendaria.</w:t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pStyle w:val="Texto"/>
        <w:spacing w:lineRule="auto" w:line="240" w:before="0" w:after="0"/>
        <w:rPr/>
      </w:pPr>
      <w:r>
        <w:rPr>
          <w:sz w:val="20"/>
        </w:rPr>
        <w:t xml:space="preserve">México, D.F., a 8 de diciembre de 2011.- Sen. </w:t>
      </w:r>
      <w:r>
        <w:rPr>
          <w:b/>
          <w:sz w:val="20"/>
        </w:rPr>
        <w:t>Jose Gonzalez Morfin</w:t>
      </w:r>
      <w:r>
        <w:rPr>
          <w:sz w:val="20"/>
        </w:rPr>
        <w:t xml:space="preserve">, Presidente.- Dip. </w:t>
      </w:r>
      <w:r>
        <w:rPr>
          <w:b/>
          <w:sz w:val="20"/>
        </w:rPr>
        <w:t>Emilio Chuayffet Chemor</w:t>
      </w:r>
      <w:r>
        <w:rPr>
          <w:sz w:val="20"/>
        </w:rPr>
        <w:t xml:space="preserve">, Presidente.- Sen. </w:t>
      </w:r>
      <w:r>
        <w:rPr>
          <w:b/>
          <w:sz w:val="20"/>
        </w:rPr>
        <w:t>Ludivina Menchaca Castellanos</w:t>
      </w:r>
      <w:r>
        <w:rPr>
          <w:sz w:val="20"/>
        </w:rPr>
        <w:t xml:space="preserve">, Secretaria.- Dip. </w:t>
      </w:r>
      <w:r>
        <w:rPr>
          <w:b/>
          <w:sz w:val="20"/>
        </w:rPr>
        <w:t>Guadalupe Pérez Domínguez</w:t>
      </w:r>
      <w:r>
        <w:rPr>
          <w:sz w:val="20"/>
        </w:rPr>
        <w:t>, Secretaria.- Rúbricas.</w:t>
      </w:r>
      <w:r>
        <w:rPr>
          <w:b/>
          <w:sz w:val="20"/>
        </w:rPr>
        <w:t>"</w:t>
      </w:r>
    </w:p>
    <w:p>
      <w:pPr>
        <w:pStyle w:val="Texto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Texto"/>
        <w:spacing w:lineRule="auto" w:line="240" w:before="0" w:after="0"/>
        <w:rPr>
          <w:sz w:val="20"/>
        </w:rPr>
      </w:pPr>
      <w:r>
        <w:rPr>
          <w:sz w:val="20"/>
        </w:rPr>
        <w:t xml:space="preserve">En cumplimiento de lo dispuesto por la fracción I del Artículo 89 de la Constitución Política de los Estados Unidos Mexicanos, y para su debida publicación y observancia, expido el presente Decreto en la Residencia del Poder Ejecutivo Federal, en la Ciudad de México, Distrito Federal, a veinte de enero de dos mil doce.- </w:t>
      </w:r>
      <w:r>
        <w:rPr>
          <w:b/>
          <w:sz w:val="20"/>
        </w:rPr>
        <w:t>Felipe de Jesús Calderón Hinojosa</w:t>
      </w:r>
      <w:r>
        <w:rPr>
          <w:sz w:val="20"/>
        </w:rPr>
        <w:t xml:space="preserve">.- Rúbrica.- El Secretario de Gobernación, </w:t>
      </w:r>
      <w:r>
        <w:rPr>
          <w:b/>
          <w:sz w:val="20"/>
        </w:rPr>
        <w:t>Alejandro Alfonso Poiré Romero</w:t>
      </w:r>
      <w:r>
        <w:rPr>
          <w:sz w:val="20"/>
        </w:rPr>
        <w:t>.- Rúbrica.</w:t>
      </w:r>
      <w:r>
        <w:br w:type="page"/>
      </w:r>
    </w:p>
    <w:p>
      <w:pPr>
        <w:pStyle w:val="Normal"/>
        <w:jc w:val="center"/>
        <w:rPr>
          <w:rFonts w:ascii="Tahoma" w:hAnsi="Tahoma" w:cs="Tahoma"/>
          <w:b/>
          <w:bCs/>
          <w:color w:val="008000"/>
          <w:sz w:val="22"/>
          <w:szCs w:val="22"/>
        </w:rPr>
      </w:pPr>
      <w:bookmarkStart w:id="37" w:name="TRANSITORIOS_DE_DECRETOS_DE_REFORMA"/>
      <w:r>
        <w:rPr>
          <w:rFonts w:cs="Tahoma" w:ascii="Tahoma" w:hAnsi="Tahoma"/>
          <w:b/>
          <w:bCs/>
          <w:color w:val="008000"/>
          <w:sz w:val="22"/>
          <w:szCs w:val="22"/>
        </w:rPr>
        <w:t>ARTÍCULOS TRANSITORIOS DE DECRETOS DE REFORMA</w:t>
      </w:r>
      <w:bookmarkEnd w:id="37"/>
    </w:p>
    <w:p>
      <w:pPr>
        <w:pStyle w:val="Normal"/>
        <w:rPr>
          <w:rFonts w:ascii="Arial" w:hAnsi="Arial" w:cs="Arial"/>
          <w:b/>
          <w:bCs/>
          <w:color w:val="008000"/>
          <w:sz w:val="20"/>
          <w:szCs w:val="20"/>
        </w:rPr>
      </w:pPr>
      <w:r>
        <w:rPr>
          <w:rFonts w:cs="Arial" w:ascii="Arial" w:hAnsi="Arial"/>
          <w:b/>
          <w:bCs/>
          <w:color w:val="008000"/>
          <w:sz w:val="20"/>
          <w:szCs w:val="20"/>
        </w:rPr>
      </w:r>
    </w:p>
    <w:p>
      <w:pPr>
        <w:pStyle w:val="Normal"/>
        <w:rPr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DECRETO por el que se reforman y adicionan diversas disposiciones de la Ley General para la Prevención Social de la Violencia y la Delincuencia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Titulo1"/>
        <w:pBdr>
          <w:bottom w:val="nil"/>
        </w:pBdr>
        <w:spacing w:before="0" w:after="0"/>
        <w:jc w:val="center"/>
        <w:rPr>
          <w:rFonts w:ascii="Arial" w:hAnsi="Arial" w:cs="Arial"/>
          <w:b w:val="false"/>
          <w:bCs/>
          <w:sz w:val="16"/>
          <w:szCs w:val="16"/>
        </w:rPr>
      </w:pPr>
      <w:r>
        <w:rPr>
          <w:rFonts w:cs="Arial" w:ascii="Arial" w:hAnsi="Arial"/>
          <w:b w:val="false"/>
          <w:bCs/>
          <w:sz w:val="16"/>
          <w:szCs w:val="16"/>
        </w:rPr>
        <w:t>Publicado en el Diario Oficial de la Federación el 4 de mayo de 2021</w:t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b/>
          <w:bCs/>
          <w:sz w:val="20"/>
          <w:lang w:val="es-MX"/>
        </w:rPr>
        <w:t>Artículo Único.-</w:t>
      </w:r>
      <w:r>
        <w:rPr>
          <w:sz w:val="20"/>
          <w:lang w:val="es-MX"/>
        </w:rPr>
        <w:t xml:space="preserve"> Se reforman las fracciones III y V del artículo 7; las fracciones IV y V del artículo 9, y la fracción II del artículo 10; y se adicionan la fracción VI al artículo 7; la fracción VI al artículo 9, y la fracción IV al artículo 10 de la Ley General para la Prevención Social de la Violencia y la Delincuencia, para quedar como sigue: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  <w:t>………</w:t>
      </w:r>
    </w:p>
    <w:p>
      <w:pPr>
        <w:pStyle w:val="Texto"/>
        <w:spacing w:lineRule="auto" w:line="240" w:before="0" w:after="0"/>
        <w:rPr>
          <w:sz w:val="20"/>
          <w:lang w:val="es-MX"/>
        </w:rPr>
      </w:pPr>
      <w:r>
        <w:rPr>
          <w:sz w:val="20"/>
          <w:lang w:val="es-MX"/>
        </w:rPr>
      </w:r>
    </w:p>
    <w:p>
      <w:pPr>
        <w:pStyle w:val="ANOTACION"/>
        <w:spacing w:lineRule="auto" w:line="240" w:before="0" w:after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Transitorio</w:t>
      </w:r>
    </w:p>
    <w:p>
      <w:pPr>
        <w:pStyle w:val="Texto"/>
        <w:spacing w:lineRule="auto" w:line="240" w:before="0" w:after="0"/>
        <w:rPr>
          <w:rFonts w:ascii="Arial" w:hAnsi="Arial" w:cs="Arial"/>
          <w:b/>
          <w:bCs/>
          <w:sz w:val="20"/>
          <w:szCs w:val="22"/>
          <w:lang w:val="es-MX"/>
        </w:rPr>
      </w:pPr>
      <w:r>
        <w:rPr>
          <w:rFonts w:cs="Arial"/>
          <w:b/>
          <w:bCs/>
          <w:sz w:val="20"/>
          <w:szCs w:val="22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b/>
          <w:bCs/>
          <w:sz w:val="20"/>
          <w:lang w:val="es-MX"/>
        </w:rPr>
        <w:t>Único.</w:t>
      </w:r>
      <w:r>
        <w:rPr>
          <w:sz w:val="20"/>
          <w:lang w:val="es-MX"/>
        </w:rPr>
        <w:t xml:space="preserve"> El presente Decreto entrará en vigor al día siguiente de su publicación en el Diario Oficial  de la Federación.</w:t>
      </w:r>
    </w:p>
    <w:p>
      <w:pPr>
        <w:pStyle w:val="Texto"/>
        <w:spacing w:lineRule="auto" w:line="240" w:before="0" w:after="0"/>
        <w:rPr>
          <w:rFonts w:eastAsia="Calibri"/>
          <w:sz w:val="20"/>
          <w:lang w:val="es-MX"/>
        </w:rPr>
      </w:pPr>
      <w:r>
        <w:rPr>
          <w:rFonts w:eastAsia="Calibri"/>
          <w:sz w:val="20"/>
          <w:lang w:val="es-MX"/>
        </w:rPr>
      </w:r>
    </w:p>
    <w:p>
      <w:pPr>
        <w:pStyle w:val="Texto"/>
        <w:spacing w:lineRule="auto" w:line="240" w:before="0" w:after="0"/>
        <w:rPr>
          <w:rFonts w:eastAsia="Calibri"/>
          <w:sz w:val="20"/>
          <w:lang w:val="es-MX"/>
        </w:rPr>
      </w:pPr>
      <w:r>
        <w:rPr>
          <w:rFonts w:eastAsia="Calibri"/>
          <w:sz w:val="20"/>
          <w:lang w:val="es-MX"/>
        </w:rPr>
        <w:t xml:space="preserve">Ciudad de México, a 17 de marzo de 2021.- Sen. </w:t>
      </w:r>
      <w:r>
        <w:rPr>
          <w:rFonts w:eastAsia="Calibri"/>
          <w:b/>
          <w:sz w:val="20"/>
          <w:lang w:val="es-MX"/>
        </w:rPr>
        <w:t>Oscar Eduardo Ramírez Aguilar</w:t>
      </w:r>
      <w:r>
        <w:rPr>
          <w:rFonts w:eastAsia="Calibri"/>
          <w:sz w:val="20"/>
          <w:lang w:val="es-MX"/>
        </w:rPr>
        <w:t xml:space="preserve">, Presidente.-  Dip. </w:t>
      </w:r>
      <w:r>
        <w:rPr>
          <w:rFonts w:eastAsia="Calibri"/>
          <w:b/>
          <w:sz w:val="20"/>
          <w:lang w:val="es-MX"/>
        </w:rPr>
        <w:t>Dulce María Sauri Riancho</w:t>
      </w:r>
      <w:r>
        <w:rPr>
          <w:rFonts w:eastAsia="Calibri"/>
          <w:sz w:val="20"/>
          <w:lang w:val="es-MX"/>
        </w:rPr>
        <w:t xml:space="preserve">, Presidenta.- Sen. </w:t>
      </w:r>
      <w:r>
        <w:rPr>
          <w:rFonts w:eastAsia="Calibri"/>
          <w:b/>
          <w:sz w:val="20"/>
          <w:lang w:val="es-MX"/>
        </w:rPr>
        <w:t>Lilia Margarita Valdez Martínez</w:t>
      </w:r>
      <w:r>
        <w:rPr>
          <w:rFonts w:eastAsia="Calibri"/>
          <w:sz w:val="20"/>
          <w:lang w:val="es-MX"/>
        </w:rPr>
        <w:t xml:space="preserve">, Secretaria.- Dip. </w:t>
      </w:r>
      <w:r>
        <w:rPr>
          <w:rFonts w:eastAsia="Calibri"/>
          <w:b/>
          <w:sz w:val="20"/>
          <w:lang w:val="es-MX"/>
        </w:rPr>
        <w:t>Julieta Macías Rábago</w:t>
      </w:r>
      <w:r>
        <w:rPr>
          <w:rFonts w:eastAsia="Calibri"/>
          <w:sz w:val="20"/>
          <w:lang w:val="es-MX"/>
        </w:rPr>
        <w:t>, Secretaria.- Rúbricas.</w:t>
      </w:r>
      <w:r>
        <w:rPr>
          <w:b/>
          <w:bCs/>
          <w:sz w:val="20"/>
        </w:rPr>
        <w:t>"</w:t>
      </w:r>
    </w:p>
    <w:p>
      <w:pPr>
        <w:pStyle w:val="Texto"/>
        <w:spacing w:lineRule="auto" w:line="240" w:before="0" w:after="0"/>
        <w:rPr>
          <w:rFonts w:eastAsia="Calibri"/>
          <w:sz w:val="20"/>
          <w:lang w:val="es-MX"/>
        </w:rPr>
      </w:pPr>
      <w:r>
        <w:rPr>
          <w:rFonts w:eastAsia="Calibri"/>
          <w:sz w:val="20"/>
          <w:lang w:val="es-MX"/>
        </w:rPr>
      </w:r>
    </w:p>
    <w:p>
      <w:pPr>
        <w:pStyle w:val="Texto"/>
        <w:spacing w:lineRule="auto" w:line="240" w:before="0" w:after="0"/>
        <w:rPr/>
      </w:pPr>
      <w:r>
        <w:rPr>
          <w:rFonts w:eastAsia="Calibri"/>
          <w:sz w:val="20"/>
          <w:lang w:val="es-MX"/>
        </w:rPr>
        <w:t xml:space="preserve">En cumplimiento de lo dispuesto por la fracción I del Artículo 89 de la Constitución Política de los Estados Unidos Mexicanos, y para su debida publicación y observancia, expido el presente Decreto en la Residencia del Poder Ejecutivo Federal, en la Ciudad de México, </w:t>
      </w:r>
      <w:r>
        <w:rPr>
          <w:sz w:val="20"/>
          <w:lang w:val="es-MX"/>
        </w:rPr>
        <w:t>a 28 de abril de 2021</w:t>
      </w:r>
      <w:r>
        <w:rPr>
          <w:sz w:val="20"/>
        </w:rPr>
        <w:t xml:space="preserve">.- </w:t>
      </w:r>
      <w:r>
        <w:rPr>
          <w:b/>
          <w:sz w:val="20"/>
          <w:lang w:val="es-MX" w:eastAsia="es-MX"/>
        </w:rPr>
        <w:t>Andrés Manuel López Obrador</w:t>
      </w:r>
      <w:r>
        <w:rPr>
          <w:sz w:val="20"/>
        </w:rPr>
        <w:t xml:space="preserve">.- Rúbrica.- </w:t>
      </w:r>
      <w:r>
        <w:rPr>
          <w:sz w:val="20"/>
          <w:lang w:val="es-MX" w:eastAsia="es-MX"/>
        </w:rPr>
        <w:t>La Secretaria de Gobernación, Dra.</w:t>
      </w:r>
      <w:r>
        <w:rPr>
          <w:b/>
          <w:sz w:val="20"/>
          <w:lang w:val="es-MX" w:eastAsia="es-MX"/>
        </w:rPr>
        <w:t xml:space="preserve"> </w:t>
      </w:r>
      <w:r>
        <w:rPr>
          <w:b/>
          <w:sz w:val="20"/>
        </w:rPr>
        <w:t>Olga María del Carmen Sánchez Cordero Dávila</w:t>
      </w:r>
      <w:r>
        <w:rPr>
          <w:sz w:val="20"/>
        </w:rPr>
        <w:t>.-</w:t>
      </w:r>
      <w:r>
        <w:rPr>
          <w:bCs/>
          <w:sz w:val="20"/>
          <w:lang w:val="es-MX" w:eastAsia="es-MX"/>
        </w:rPr>
        <w:t xml:space="preserve"> Rúbrica.</w:t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09" w:top="1418" w:footer="709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G Omega">
    <w:altName w:val="Segoe UI"/>
    <w:charset w:val="00" w:characterSet="windows-1252"/>
    <w:family w:val="swiss"/>
    <w:pitch w:val="variable"/>
  </w:font>
  <w:font w:name="Arial Narro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13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13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44" w:type="dxa"/>
      <w:jc w:val="start"/>
      <w:tblInd w:w="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1390"/>
      <w:gridCol w:w="4077"/>
      <w:gridCol w:w="4077"/>
    </w:tblGrid>
    <w:tr>
      <w:trPr>
        <w:trHeight w:val="333" w:hRule="atLeast"/>
        <w:cantSplit w:val="true"/>
      </w:trPr>
      <w:tc>
        <w:tcPr>
          <w:tcW w:w="1390" w:type="dxa"/>
          <w:vMerge w:val="restart"/>
          <w:tcBorders/>
          <w:vAlign w:val="center"/>
        </w:tcPr>
        <w:p>
          <w:pPr>
            <w:pStyle w:val="Header"/>
            <w:rPr>
              <w:rFonts w:ascii="CG Omega;Segoe UI" w:hAnsi="CG Omega;Segoe UI" w:cs="CG Omega;Segoe UI"/>
              <w:sz w:val="16"/>
            </w:rPr>
          </w:pPr>
          <w:r>
            <w:rPr>
              <w:rFonts w:cs="CG Omega;Segoe UI" w:ascii="CG Omega;Segoe UI" w:hAnsi="CG Omega;Segoe UI"/>
              <w:sz w:val="16"/>
            </w:rPr>
            <w:object w:dxaOrig="1126" w:dyaOrig="1066">
              <v:shapetype id="_x0000_tole_rId1" coordsize="21600,21600" o:spt="ole_rId1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1" type="_x0000_tole_rId1" style="width:56.3pt;height:53.3pt" filled="f" o:ole="">
                <v:imagedata r:id="rId2" o:title=""/>
              </v:shape>
              <o:OLEObject Type="Embed" ProgID="" ShapeID="ole_rId1" DrawAspect="Content" ObjectID="_276405833" r:id="rId1"/>
            </w:object>
          </w:r>
        </w:p>
      </w:tc>
      <w:tc>
        <w:tcPr>
          <w:tcW w:w="8154" w:type="dxa"/>
          <w:gridSpan w:val="2"/>
          <w:tcBorders>
            <w:bottom w:val="double" w:sz="4" w:space="0" w:color="000000"/>
          </w:tcBorders>
          <w:vAlign w:val="bottom"/>
        </w:tcPr>
        <w:p>
          <w:pPr>
            <w:pStyle w:val="Titulo1"/>
            <w:pBdr>
              <w:bottom w:val="nil"/>
            </w:pBdr>
            <w:spacing w:before="0" w:after="0"/>
            <w:jc w:val="end"/>
            <w:rPr>
              <w:rFonts w:ascii="Tahoma" w:hAnsi="Tahoma" w:cs="Tahoma"/>
              <w:b w:val="false"/>
              <w:bCs/>
              <w:sz w:val="16"/>
              <w:szCs w:val="16"/>
            </w:rPr>
          </w:pPr>
          <w:r>
            <w:rPr>
              <w:rFonts w:cs="Tahoma" w:ascii="Tahoma" w:hAnsi="Tahoma"/>
              <w:sz w:val="16"/>
              <w:szCs w:val="16"/>
            </w:rPr>
            <w:t>LEY GENERAL PARA LA PREVENCIÓN SOCIAL DE LA VIOLENCIA Y LA DELINCUENCIA</w:t>
          </w:r>
        </w:p>
      </w:tc>
    </w:tr>
    <w:tr>
      <w:trPr>
        <w:trHeight w:val="50" w:hRule="atLeast"/>
        <w:cantSplit w:val="true"/>
      </w:trPr>
      <w:tc>
        <w:tcPr>
          <w:tcW w:w="1390" w:type="dxa"/>
          <w:vMerge w:val="continue"/>
          <w:tcBorders/>
          <w:vAlign w:val="center"/>
        </w:tcPr>
        <w:p>
          <w:pPr>
            <w:pStyle w:val="Header"/>
            <w:snapToGrid w:val="false"/>
            <w:rPr>
              <w:rFonts w:ascii="CG Omega;Segoe UI" w:hAnsi="CG Omega;Segoe UI" w:cs="CG Omega;Segoe UI"/>
              <w:b w:val="false"/>
              <w:bCs/>
              <w:sz w:val="16"/>
              <w:szCs w:val="16"/>
            </w:rPr>
          </w:pPr>
          <w:r>
            <w:rPr>
              <w:rFonts w:cs="CG Omega;Segoe UI" w:ascii="CG Omega;Segoe UI" w:hAnsi="CG Omega;Segoe UI"/>
              <w:b w:val="false"/>
              <w:bCs/>
              <w:sz w:val="16"/>
              <w:szCs w:val="16"/>
            </w:rPr>
          </w:r>
        </w:p>
      </w:tc>
      <w:tc>
        <w:tcPr>
          <w:tcW w:w="8154" w:type="dxa"/>
          <w:gridSpan w:val="2"/>
          <w:tcBorders>
            <w:top w:val="double" w:sz="4" w:space="0" w:color="000000"/>
          </w:tcBorders>
        </w:tcPr>
        <w:p>
          <w:pPr>
            <w:pStyle w:val="Header"/>
            <w:snapToGrid w:val="false"/>
            <w:ind w:start="-70" w:end="0"/>
            <w:jc w:val="end"/>
            <w:rPr>
              <w:rFonts w:ascii="Arial Narrow" w:hAnsi="Arial Narrow" w:cs="Arial"/>
              <w:sz w:val="4"/>
            </w:rPr>
          </w:pPr>
          <w:r>
            <w:rPr>
              <w:rFonts w:cs="Arial" w:ascii="Arial Narrow" w:hAnsi="Arial Narrow"/>
              <w:sz w:val="4"/>
            </w:rPr>
          </w:r>
        </w:p>
      </w:tc>
    </w:tr>
    <w:tr>
      <w:trPr>
        <w:trHeight w:val="295" w:hRule="atLeast"/>
        <w:cantSplit w:val="true"/>
      </w:trPr>
      <w:tc>
        <w:tcPr>
          <w:tcW w:w="1390" w:type="dxa"/>
          <w:vMerge w:val="continue"/>
          <w:tcBorders/>
          <w:vAlign w:val="center"/>
        </w:tcPr>
        <w:p>
          <w:pPr>
            <w:pStyle w:val="Header"/>
            <w:snapToGrid w:val="false"/>
            <w:rPr>
              <w:rFonts w:ascii="CG Omega;Segoe UI" w:hAnsi="CG Omega;Segoe UI" w:cs="CG Omega;Segoe UI"/>
              <w:sz w:val="16"/>
            </w:rPr>
          </w:pPr>
          <w:r>
            <w:rPr>
              <w:rFonts w:cs="CG Omega;Segoe UI" w:ascii="CG Omega;Segoe UI" w:hAnsi="CG Omega;Segoe UI"/>
              <w:sz w:val="16"/>
            </w:rPr>
          </w:r>
        </w:p>
      </w:tc>
      <w:tc>
        <w:tcPr>
          <w:tcW w:w="4077" w:type="dxa"/>
          <w:tcBorders/>
        </w:tcPr>
        <w:p>
          <w:pPr>
            <w:pStyle w:val="Header"/>
            <w:ind w:start="-70" w:end="0"/>
            <w:rPr>
              <w:rFonts w:ascii="Arial Narrow" w:hAnsi="Arial Narrow" w:cs="Arial"/>
              <w:b/>
              <w:bCs/>
              <w:smallCaps/>
              <w:sz w:val="14"/>
              <w:szCs w:val="20"/>
            </w:rPr>
          </w:pPr>
          <w:r>
            <w:rPr>
              <w:rFonts w:cs="Arial" w:ascii="Arial Narrow" w:hAnsi="Arial Narrow"/>
              <w:b/>
              <w:bCs/>
              <w:smallCaps/>
              <w:sz w:val="14"/>
            </w:rPr>
            <w:t>Cámara de Diputados del H. Congreso de la Unión</w:t>
          </w:r>
        </w:p>
        <w:p>
          <w:pPr>
            <w:pStyle w:val="Header"/>
            <w:ind w:start="-70" w:end="0"/>
            <w:rPr>
              <w:rFonts w:ascii="Arial Narrow" w:hAnsi="Arial Narrow" w:cs="Arial"/>
              <w:sz w:val="17"/>
            </w:rPr>
          </w:pPr>
          <w:r>
            <w:rPr>
              <w:rFonts w:cs="Arial" w:ascii="Arial Narrow" w:hAnsi="Arial Narrow"/>
              <w:sz w:val="13"/>
            </w:rPr>
            <w:t>Secretaría General</w:t>
          </w:r>
        </w:p>
        <w:p>
          <w:pPr>
            <w:pStyle w:val="Header"/>
            <w:ind w:start="-70" w:end="0"/>
            <w:rPr>
              <w:rFonts w:ascii="Arial Narrow" w:hAnsi="Arial Narrow" w:cs="Arial"/>
              <w:sz w:val="4"/>
            </w:rPr>
          </w:pPr>
          <w:r>
            <w:rPr>
              <w:rFonts w:cs="Arial" w:ascii="Arial Narrow" w:hAnsi="Arial Narrow"/>
              <w:sz w:val="13"/>
            </w:rPr>
            <w:t>Secretaría de Servicios Parlamentarios</w:t>
          </w:r>
        </w:p>
      </w:tc>
      <w:tc>
        <w:tcPr>
          <w:tcW w:w="4077" w:type="dxa"/>
          <w:tcBorders/>
        </w:tcPr>
        <w:p>
          <w:pPr>
            <w:pStyle w:val="Header"/>
            <w:ind w:start="-70" w:end="0"/>
            <w:jc w:val="end"/>
            <w:rPr>
              <w:rFonts w:ascii="Arial" w:hAnsi="Arial" w:cs="Arial"/>
              <w:i/>
              <w:i/>
              <w:iCs/>
              <w:sz w:val="14"/>
            </w:rPr>
          </w:pPr>
          <w:r>
            <w:rPr>
              <w:rFonts w:cs="Arial" w:ascii="Arial" w:hAnsi="Arial"/>
              <w:i/>
              <w:iCs/>
              <w:color w:val="181818"/>
              <w:sz w:val="14"/>
            </w:rPr>
            <w:t>Última Reforma DOF 04-05-2021</w:t>
          </w:r>
        </w:p>
      </w:tc>
    </w:tr>
  </w:tbl>
  <w:p>
    <w:pPr>
      <w:pStyle w:val="Header"/>
      <w:rPr>
        <w:sz w:val="18"/>
      </w:rPr>
    </w:pPr>
    <w:r>
      <w:rPr>
        <w:sz w:val="18"/>
      </w:rPr>
    </w:r>
  </w:p>
  <w:p>
    <w:pPr>
      <w:pStyle w:val="Header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pBdr>
        <w:bottom w:val="single" w:sz="12" w:space="1" w:color="000000"/>
      </w:pBdr>
      <w:spacing w:before="120" w:after="0"/>
      <w:jc w:val="both"/>
      <w:outlineLvl w:val="0"/>
    </w:pPr>
    <w:rPr>
      <w:rFonts w:cs="CG Palacio (WN)"/>
      <w:b/>
      <w:sz w:val="1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top w:val="double" w:sz="6" w:space="1" w:color="000000"/>
      </w:pBdr>
      <w:spacing w:lineRule="atLeast" w:line="216" w:before="0" w:after="101"/>
      <w:jc w:val="both"/>
      <w:outlineLvl w:val="1"/>
    </w:pPr>
    <w:rPr>
      <w:rFonts w:ascii="Arial" w:hAnsi="Arial" w:cs="Helv;Arial"/>
      <w:sz w:val="18"/>
      <w:szCs w:val="20"/>
      <w:lang w:val="es-ES_tradnl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TextoCar">
    <w:name w:val="Texto Car"/>
    <w:qFormat/>
    <w:rPr>
      <w:rFonts w:ascii="Arial" w:hAnsi="Arial" w:cs="Arial"/>
      <w:sz w:val="18"/>
      <w:lang w:val="es-ES" w:bidi="ar-SA"/>
    </w:rPr>
  </w:style>
  <w:style w:type="character" w:styleId="ROMANOSCar">
    <w:name w:val="ROMANOS Car"/>
    <w:qFormat/>
    <w:rPr>
      <w:rFonts w:ascii="Arial" w:hAnsi="Arial" w:cs="Arial"/>
      <w:sz w:val="18"/>
      <w:szCs w:val="18"/>
      <w:lang w:val="es-ES" w:bidi="ar-SA"/>
    </w:rPr>
  </w:style>
  <w:style w:type="character" w:styleId="ANOTACIONCar">
    <w:name w:val="ANOTACION Car"/>
    <w:qFormat/>
    <w:rPr>
      <w:b/>
      <w:sz w:val="18"/>
      <w:lang w:val="es-ES_tradnl" w:bidi="ar-SA"/>
    </w:rPr>
  </w:style>
  <w:style w:type="character" w:styleId="PageNumber">
    <w:name w:val="page number"/>
    <w:basedOn w:val="Fuentedeprrafopredeter"/>
    <w:rPr/>
  </w:style>
  <w:style w:type="character" w:styleId="TextosinformatoCar">
    <w:name w:val="Texto sin formato Car"/>
    <w:basedOn w:val="Fuentedeprrafopredeter"/>
    <w:qFormat/>
    <w:rPr>
      <w:rFonts w:ascii="Courier New" w:hAnsi="Courier New" w:cs="Courier New"/>
      <w:lang w:val="es-ES"/>
    </w:rPr>
  </w:style>
  <w:style w:type="character" w:styleId="EncabezadoCar">
    <w:name w:val="Encabezado Car"/>
    <w:basedOn w:val="Fuentedeprrafopredeter"/>
    <w:qFormat/>
    <w:rPr>
      <w:sz w:val="24"/>
      <w:szCs w:val="24"/>
      <w:lang w:val="es-ES"/>
    </w:rPr>
  </w:style>
  <w:style w:type="character" w:styleId="PiedepginaCar">
    <w:name w:val="Pie de página Car"/>
    <w:basedOn w:val="Fuentedeprrafopredeter"/>
    <w:qFormat/>
    <w:rPr>
      <w:sz w:val="24"/>
      <w:szCs w:val="24"/>
      <w:lang w:val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o">
    <w:name w:val="Texto"/>
    <w:basedOn w:val="Normal"/>
    <w:qFormat/>
    <w:pPr>
      <w:spacing w:lineRule="exact" w:line="216" w:before="0" w:after="101"/>
      <w:ind w:firstLine="288" w:start="0" w:end="0"/>
      <w:jc w:val="both"/>
    </w:pPr>
    <w:rPr>
      <w:rFonts w:ascii="Arial" w:hAnsi="Arial" w:cs="Arial"/>
      <w:sz w:val="18"/>
      <w:szCs w:val="20"/>
    </w:rPr>
  </w:style>
  <w:style w:type="paragraph" w:styleId="CABEZA">
    <w:name w:val="CABEZA"/>
    <w:basedOn w:val="Normal"/>
    <w:qFormat/>
    <w:pPr>
      <w:jc w:val="center"/>
    </w:pPr>
    <w:rPr>
      <w:rFonts w:cs="Arial"/>
      <w:b/>
      <w:sz w:val="28"/>
      <w:szCs w:val="28"/>
      <w:lang w:val="es-ES_tradnl"/>
    </w:rPr>
  </w:style>
  <w:style w:type="paragraph" w:styleId="ROMANOS">
    <w:name w:val="ROMANOS"/>
    <w:basedOn w:val="Normal"/>
    <w:qFormat/>
    <w:pPr>
      <w:tabs>
        <w:tab w:val="clear" w:pos="706"/>
        <w:tab w:val="left" w:pos="720" w:leader="none"/>
      </w:tabs>
      <w:spacing w:lineRule="exact" w:line="216" w:before="0" w:after="101"/>
      <w:ind w:hanging="432" w:start="720" w:end="0"/>
      <w:jc w:val="both"/>
    </w:pPr>
    <w:rPr>
      <w:rFonts w:ascii="Arial" w:hAnsi="Arial" w:cs="Arial"/>
      <w:sz w:val="18"/>
      <w:szCs w:val="18"/>
    </w:rPr>
  </w:style>
  <w:style w:type="paragraph" w:styleId="INCISO">
    <w:name w:val="INCISO"/>
    <w:basedOn w:val="Normal"/>
    <w:qFormat/>
    <w:pPr>
      <w:spacing w:lineRule="exact" w:line="216" w:before="0" w:after="101"/>
      <w:ind w:hanging="360" w:start="1080" w:end="0"/>
      <w:jc w:val="both"/>
    </w:pPr>
    <w:rPr>
      <w:rFonts w:ascii="Arial" w:hAnsi="Arial" w:cs="Arial"/>
      <w:sz w:val="18"/>
      <w:szCs w:val="18"/>
    </w:rPr>
  </w:style>
  <w:style w:type="paragraph" w:styleId="Fechas">
    <w:name w:val="Fechas"/>
    <w:basedOn w:val="Texto"/>
    <w:qFormat/>
    <w:pPr>
      <w:widowControl w:val="false"/>
      <w:pBdr>
        <w:bottom w:val="double" w:sz="6" w:space="1" w:color="000000"/>
      </w:pBdr>
      <w:tabs>
        <w:tab w:val="clear" w:pos="706"/>
        <w:tab w:val="center" w:pos="4464" w:leader="none"/>
        <w:tab w:val="right" w:pos="8582" w:leader="none"/>
      </w:tabs>
      <w:spacing w:lineRule="auto" w:line="240" w:before="0" w:after="0"/>
      <w:ind w:hanging="0" w:start="288" w:end="288"/>
    </w:pPr>
    <w:rPr>
      <w:rFonts w:ascii="Times New Roman" w:hAnsi="Times New Roman" w:cs="Times New Roman"/>
      <w:lang w:val="es-MX"/>
    </w:rPr>
  </w:style>
  <w:style w:type="paragraph" w:styleId="ANOTACION">
    <w:name w:val="ANOTACION"/>
    <w:basedOn w:val="Normal"/>
    <w:qFormat/>
    <w:pPr>
      <w:spacing w:lineRule="atLeast" w:line="216" w:before="101" w:after="101"/>
      <w:jc w:val="center"/>
    </w:pPr>
    <w:rPr>
      <w:b/>
      <w:sz w:val="18"/>
      <w:szCs w:val="20"/>
      <w:lang w:val="es-ES_tradnl"/>
    </w:rPr>
  </w:style>
  <w:style w:type="paragraph" w:styleId="SUBIN">
    <w:name w:val="SUBIN"/>
    <w:basedOn w:val="Texto"/>
    <w:qFormat/>
    <w:pPr>
      <w:ind w:hanging="720" w:start="1987" w:end="0"/>
    </w:pPr>
    <w:rPr>
      <w:lang w:val="es-MX"/>
    </w:rPr>
  </w:style>
  <w:style w:type="paragraph" w:styleId="Titulo1">
    <w:name w:val="Titulo 1"/>
    <w:basedOn w:val="Texto"/>
    <w:qFormat/>
    <w:pPr>
      <w:pBdr>
        <w:bottom w:val="single" w:sz="12" w:space="1" w:color="000000"/>
      </w:pBdr>
      <w:spacing w:lineRule="auto" w:line="240" w:before="120" w:after="0"/>
      <w:ind w:hanging="0" w:start="0" w:end="0"/>
      <w:outlineLvl w:val="0"/>
    </w:pPr>
    <w:rPr>
      <w:rFonts w:ascii="Times New Roman" w:hAnsi="Times New Roman" w:cs="Times New Roman"/>
      <w:b/>
      <w:szCs w:val="18"/>
      <w:lang w:val="es-MX"/>
    </w:rPr>
  </w:style>
  <w:style w:type="paragraph" w:styleId="Titulo2">
    <w:name w:val="Titulo 2"/>
    <w:basedOn w:val="Texto"/>
    <w:qFormat/>
    <w:pPr>
      <w:pBdr>
        <w:top w:val="double" w:sz="6" w:space="1" w:color="000000"/>
      </w:pBdr>
      <w:spacing w:lineRule="auto" w:line="240"/>
      <w:ind w:hanging="0" w:start="0" w:end="0"/>
      <w:outlineLvl w:val="1"/>
    </w:pPr>
    <w:rPr>
      <w:lang w:val="es-MX"/>
    </w:rPr>
  </w:style>
  <w:style w:type="paragraph" w:styleId="tt">
    <w:name w:val="tt"/>
    <w:basedOn w:val="Texto"/>
    <w:qFormat/>
    <w:pPr>
      <w:tabs>
        <w:tab w:val="clear" w:pos="706"/>
        <w:tab w:val="left" w:pos="1320" w:leader="none"/>
        <w:tab w:val="left" w:pos="1629" w:leader="none"/>
      </w:tabs>
      <w:ind w:hanging="1440" w:start="1647" w:end="0"/>
    </w:pPr>
    <w:rPr>
      <w:lang w:val="es-ES_tradnl"/>
    </w:rPr>
  </w:style>
  <w:style w:type="paragraph" w:styleId="sum">
    <w:name w:val="sum"/>
    <w:basedOn w:val="Texto"/>
    <w:qFormat/>
    <w:pPr>
      <w:tabs>
        <w:tab w:val="clear" w:pos="706"/>
        <w:tab w:val="right" w:pos="8100" w:leader="dot"/>
        <w:tab w:val="right" w:pos="8640" w:leader="none"/>
      </w:tabs>
      <w:spacing w:lineRule="exact" w:line="266" w:before="0" w:after="0"/>
      <w:ind w:hanging="0" w:start="274" w:end="749"/>
    </w:pPr>
    <w:rPr>
      <w:rFonts w:ascii="Times New Roman" w:hAnsi="Times New Roman" w:cs="Times New Roman"/>
      <w:b/>
      <w:sz w:val="20"/>
      <w:szCs w:val="20"/>
      <w:u w:val="single"/>
      <w:lang w:val="es-ES_tradnl"/>
    </w:rPr>
  </w:style>
  <w:style w:type="paragraph" w:styleId="HeaderandFooter">
    <w:name w:val="Header and Footer"/>
    <w:basedOn w:val="Normal"/>
    <w:qFormat/>
    <w:pPr>
      <w:suppressLineNumbers/>
      <w:tabs>
        <w:tab w:val="clear" w:pos="706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6"/>
        <w:tab w:val="center" w:pos="4419" w:leader="none"/>
        <w:tab w:val="right" w:pos="8838" w:leader="none"/>
      </w:tabs>
    </w:pPr>
    <w:rPr/>
  </w:style>
  <w:style w:type="paragraph" w:styleId="EstilotextoPrimeralnea0">
    <w:name w:val="Estilo texto + Primera línea:  0&quot;"/>
    <w:basedOn w:val="Normal"/>
    <w:qFormat/>
    <w:pPr>
      <w:spacing w:lineRule="exact" w:line="216" w:before="0" w:after="101"/>
      <w:jc w:val="both"/>
    </w:pPr>
    <w:rPr>
      <w:rFonts w:ascii="Arial" w:hAnsi="Arial" w:cs="Arial"/>
      <w:sz w:val="18"/>
      <w:szCs w:val="20"/>
      <w:lang w:val="es-MX"/>
    </w:rPr>
  </w:style>
  <w:style w:type="paragraph" w:styleId="Footer">
    <w:name w:val="footer"/>
    <w:basedOn w:val="Normal"/>
    <w:pPr>
      <w:tabs>
        <w:tab w:val="clear" w:pos="706"/>
        <w:tab w:val="center" w:pos="4419" w:leader="none"/>
        <w:tab w:val="right" w:pos="8838" w:leader="none"/>
      </w:tabs>
    </w:pPr>
    <w:rPr/>
  </w:style>
  <w:style w:type="paragraph" w:styleId="Textosinformato">
    <w:name w:val="Texto sin formato"/>
    <w:basedOn w:val="Normal"/>
    <w:qFormat/>
    <w:pPr/>
    <w:rPr>
      <w:rFonts w:ascii="Courier New" w:hAnsi="Courier New" w:cs="Courier New"/>
      <w:sz w:val="20"/>
      <w:szCs w:val="20"/>
    </w:rPr>
  </w:style>
  <w:style w:type="paragraph" w:styleId="texto1">
    <w:name w:val="texto1"/>
    <w:basedOn w:val="Normal"/>
    <w:qFormat/>
    <w:pPr>
      <w:spacing w:lineRule="atLeast" w:line="216" w:before="0" w:after="101"/>
      <w:ind w:firstLine="288" w:start="0" w:end="0"/>
      <w:jc w:val="both"/>
    </w:pPr>
    <w:rPr>
      <w:rFonts w:ascii="Arial" w:hAnsi="Arial" w:cs="Arial"/>
      <w:sz w:val="18"/>
      <w:szCs w:val="20"/>
      <w:lang w:val="es-ES_tradn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</Template>
  <TotalTime>0</TotalTime>
  <Application>LibreOffice/25.8.0.4$MacOSX_X86_64 LibreOffice_project/48f00303701489684e67c38c28aff00cd5929e67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2021-05-04T12:22:00Z</dcterms:created>
  <dc:creator>Cámara de Diputados del H. Congreso de la Unión</dc:creator>
  <dc:description/>
  <dc:language>en-US</dc:language>
  <cp:lastModifiedBy>Armando Torres</cp:lastModifiedBy>
  <dcterms:modified xsi:type="dcterms:W3CDTF">2021-05-04T12:22:00Z</dcterms:modified>
  <cp:revision>2</cp:revision>
  <dc:subject/>
  <dc:title>Ley General para la Prevención Social de la Violencia y la Delincuencia</dc:title>
</cp:coreProperties>
</file>