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NACIONAL SOBRE EL USO DE LA FUERZA</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27 de mayo de 2019</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lang w:val="es-MX"/>
        </w:rPr>
      </w:pPr>
      <w:r>
        <w:rPr>
          <w:rFonts w:cs="Tahoma" w:ascii="Tahoma" w:hAnsi="Tahoma"/>
          <w:b/>
          <w:bCs/>
          <w:color w:val="CC3300"/>
          <w:sz w:val="16"/>
        </w:rPr>
        <w:t xml:space="preserve">Última reforma publicada DOF </w:t>
      </w:r>
      <w:r>
        <w:rPr>
          <w:rFonts w:cs="Tahoma" w:ascii="Tahoma" w:hAnsi="Tahoma"/>
          <w:b/>
          <w:bCs/>
          <w:color w:val="CC3300"/>
          <w:sz w:val="16"/>
          <w:lang w:val="es-MX"/>
        </w:rPr>
        <w:t>24-01-2024</w:t>
      </w:r>
    </w:p>
    <w:p>
      <w:pPr>
        <w:pStyle w:val="Titulo1"/>
        <w:pBdr>
          <w:bottom w:val="nil"/>
        </w:pBdr>
        <w:spacing w:before="0" w:after="0"/>
        <w:rPr>
          <w:rFonts w:ascii="Arial" w:hAnsi="Arial" w:cs="Arial"/>
          <w:b w:val="false"/>
          <w:bCs/>
          <w:color w:val="CC3300"/>
          <w:sz w:val="20"/>
          <w:szCs w:val="20"/>
          <w:lang w:val="es-MX"/>
        </w:rPr>
      </w:pPr>
      <w:r>
        <w:rPr>
          <w:rFonts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NACIONAL SOBRE EL USO DE LA FUERZA.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Único. </w:t>
      </w:r>
      <w:r>
        <w:rPr>
          <w:sz w:val="20"/>
          <w:lang w:val="es-ES_tradnl"/>
        </w:rPr>
        <w:t>Se expide la Ley Nacional sobre el Uso de la Fuerza</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NACIONAL SOBRE EL USO DE LA FUERZA</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Las disposiciones de la presente Ley son de orden público, de interés social y de observancia general en todo el territorio nacional; tienen como fin regular el uso de la fuerza que ejercen las instituciones de seguridad pública del Estado, así como de la Fuerza Armada permanente cuando actúe en tareas de seguridad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las autoridades a que se refiere el párrafo anterior realicen tareas de protección civil, y se requiera el uso de la fuerza, lo harán en los términos que dispone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La presente Ley tiene por objeto: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Establecer las normas generales bajo las cuales los integrantes de las instituciones de seguridad pueden ejercer el uso de la fuerza y utilizar el armamento oficial para el desempeño de sus funciones;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Regular el catálogo normativo de funciones, derechos, obligaciones y prohibiciones para los integrantes de las instituciones de seguridad que ejercen el uso de la fuerza;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Establecer las reglas para el control y administración del equipamiento oficial de los integrantes de las instituciones de seguridad;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Normar los esquemas de coordinación operativa para las instituciones de seguridad en el uso de la fuerza y del armamento oficial;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Brindar certeza jurídica y transparencia a la ciudadanía en relación con el uso de la fuerza que realicen las instituciones de seguridad en el ejercicio de sus funciones,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El establecimiento del régimen de responsabilidades por la inobservancia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Para los efectos de la presente Ley, se entenderá por: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Agente: servidor público integrante de las instituciones de seguridad que, con motivo de su empleo, cargo o comisión, hace uso de la fuerza. Se considerará agente al elemento de la Fuerza Armada permanente cuando actúe en tareas de seguridad pública, así como a las personas que presten servicios de seguridad privada en términos de la ley, cuando colaboren en tareas de seguridad 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Armas de fuego: las autorizadas para el uso de los miembros de las instituciones de seguridad, de conformidad con la Ley Federal de Armas de Fuego y Explosivos y su Reglamento;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Armas menos letales: aquellas a través de las cuales se disminuyen las funciones corporales de un individuo, reduciendo al mínimo el riesgo de causarle lesiones que pongan en peligro su vida;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Armas letales: las que por su diseño y mecanismo ocasionan o pueden ocasionar lesiones graves y la muerte;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Control: la acción que ejercen los integrantes de las instituciones de seguridad sobre una o varias personas para su contención;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Detención: la restricción de la libertad de una persona por las instituciones de seguridad, con el fin de ponerla a disposición de la autoridad competente;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Instituciones de Seguridad Pública: las instituciones policiales, de procuración de justicia, del sistema penitenciario y dependencias o entidades encargadas de la seguridad pública de orden federal, local o municipal, las cuales también podrán ser referidas en esta Ley como instituciones de seguridad;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Estructuras corporales: las partes anatómicas del cuerpo, tales como los órganos, las extremidades y sus componentes;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Funciones corporales: las funciones fisiológicas de los sistemas corporales tales como el sistema respiratorio, el sistema cardiovascular, el sistema músculo-esquelético, entre otros;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Lesión: el daño producido por una causa externa que deja huella material en el cuerpo humano;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Lesión grave: el daño producido por una causa externa que ponga en peligro la vida o que disminuya de manera permanente las capacidades físicas de una persona;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Ley: la Ley Nacional sobre el Uso de la Fuerza;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Sujetos Obligados: las instituciones de seguridad pública, las auxiliares, y los agentes de ambas,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XIV.</w:t>
        <w:tab/>
      </w:r>
      <w:r>
        <w:rPr>
          <w:sz w:val="20"/>
        </w:rPr>
        <w:t>Uso de la Fuerza: la inhibición por medios mecánicos o biomecánicos, de forma momentánea o permanente, de una o más funciones corporales que lleva a cabo una persona autorizada por el Estado sobre otra, siguiendo los procedimientos y protocolos que establecen las normas jurídicas aplicables; su finalidad es salvaguardar la vida, las libertades, la integridad y el patrimonio de las personas, así como contribuir a la generación, preservación o restablecimiento del orden público, seguridad y la paz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0" w:end="0"/>
        <w:jc w:val="center"/>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Principios del Uso de la Fuerza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El uso de la fuerza se regirá por los principios de: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Absoluta necesidad: para que el uso de la fuerza sea la última alternativa para tutelar la vida e integridad de las personas o evitar que se vulneren bienes jurídicamente protegidos o con el fin de mantener el orden y la paz pública, al haberse agotado otros medios para el desistimiento de la conducta del agresor;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Legalidad: para que la acción de las instituciones de seguridad se realice con estricto apego a la Constitución, a las leyes y a los Tratados Internacionales de los que el Estado mexicano sea parte;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Prevención: para que los operativos para el cumplimiento de la ley sean planificados y se lleven a cabo, en la medida de lo posible, minimizando el uso de la fuerza y, cuando esto sea inevitable, reduciendo al mínimo los daños que de ello puedan resultar;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IV.</w:t>
        <w:tab/>
      </w:r>
      <w:r>
        <w:rPr>
          <w:sz w:val="20"/>
        </w:rPr>
        <w:t>Proporcionalidad: para que el nivel de fuerza utilizado sea acorde con el nivel de resistencia ofrecido por el agresor y el nivel de riesgo exhibido, de tal forma que los agentes apliquen medios y métodos bajo un criterio de uso diferenciado y progresivo de la fuerza;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 xml:space="preserve">V. </w:t>
        <w:tab/>
      </w:r>
      <w:r>
        <w:rPr>
          <w:sz w:val="20"/>
        </w:rPr>
        <w:t>Rendición de cuentas y vigilancia: para que existan controles que permitan la evaluación de las acciones de uso de la fuerza y sea valorada su eficacia en términos del desempeño de las responsabilidades y funciones previstas por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VI.</w:t>
        <w:tab/>
      </w:r>
      <w:r>
        <w:rPr>
          <w:sz w:val="20"/>
        </w:rPr>
        <w:t>Racionalidad: decisión en la que se valora el objetivo que se persigue, las circunstancias de la agresión, las características personales y las capacidades tanto del sujeto a controlar como del integrante de las fuerzas de seguridad; lo que implica que, dada la existencia del acto o intención hostil, es necesario la aplicación del uso de la fuerza,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 xml:space="preserve">VII. </w:t>
        <w:tab/>
      </w:r>
      <w:r>
        <w:rPr>
          <w:sz w:val="20"/>
        </w:rPr>
        <w:t>Oportunidad: cuando se requiera hacer uso de la fuerza, se debe evitar todo tipo de actuación innecesaria cuando exista evidente peligro o riesgo de la vida de las personas ajenas a los hechos. Esto significa que debe procurarse en el momento y en el lugar en que se reduzcan al máximo los daños y afectaciones tanto a la vida como a la integridad de las personas involucradas y sus bienes y en general, la afectación de los derechos de las personas.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24-01-2024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El uso de la fuerza se hará en todo momento con pleno respeto a los derechos humanos.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El impacto del uso de la fuerza en las personas estará graduado de la siguiente manera: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Persuasión: cese de la resistencia a través del uso de indicaciones verbales o de la simple presencia de la autoridad, para lograr la cooperación de las personas con la autoridad;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Restricción de desplazamiento: determinar un perímetro con la finalidad de controlar la agresión;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Sujeción: utilizar la fuerza física con moderación para lograr el control o aseguramiento de los individuos;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Inmovilización: utilizar la fuerza física con intensidad, pudiendo emplear medios o equipos destinados a restringir la movilidad de las personas para lograr su aseguramiento;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Incapacitación: utilizar la fuerza física con máxima intensidad, permitiendo el empleo de armas menos letales, así como sustancias químicas irritantes que perturben las funciones sensoriales, con la finalidad de neutralizar la resistencia y la violencia, teniendo alta probabilidad de causar lesiones que no pongan en riesgo la vida del agresor;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VI.</w:t>
        <w:tab/>
      </w:r>
      <w:r>
        <w:rPr>
          <w:sz w:val="20"/>
        </w:rPr>
        <w:t>Lesión grave: utilizar la fuerza, permitiendo el uso de armas menos letales o de fuego con la finalidad de neutralizar a los agresores y proteger la integridad de la autoridad o de personas ajenas, con alta probabilidad de dañar gravemente al agresor, y</w:t>
      </w:r>
    </w:p>
    <w:p>
      <w:pPr>
        <w:pStyle w:val="Textosinformato"/>
        <w:ind w:start="706" w:end="0"/>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Fracción declarada parcialmente inválida por sentencia de la SCJN a Acción de Inconstitucionalidad notificada para efectos legales 29-10-2021 y publicada DOF 08-04-2022</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576" w:start="86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576" w:start="864" w:end="0"/>
        <w:rPr/>
      </w:pPr>
      <w:r>
        <w:rPr>
          <w:b/>
          <w:sz w:val="20"/>
          <w:lang w:val="es-ES_tradnl"/>
        </w:rPr>
        <w:t>VII.</w:t>
        <w:tab/>
      </w:r>
      <w:r>
        <w:rPr>
          <w:sz w:val="20"/>
          <w:lang w:val="es-ES_tradnl"/>
        </w:rPr>
        <w:t>Muerte: utilizar la fuerza letal como una acción excepcional, permitiendo el uso de armas menos letales o de fuego con la finalidad de repeler y neutralizar la agresión, no teniendo otra opción para proteger la vida de las personas ajenas o la propia, a sabiendas que existe un alto riesgo de causar la muerte del agresor.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w:t>
      </w:r>
      <w:r>
        <w:rPr>
          <w:sz w:val="20"/>
          <w:lang w:val="es-ES_tradnl"/>
        </w:rPr>
        <w:t xml:space="preserve"> Se consideran amenazas letales inminentes: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La acción de apuntar con el cañón de un arma de fuego o una réplica de la misma en dirección a una persona;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La acción de no soltar un arma de fuego o una réplica de la misma después de advertencia clara;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La acción de poner en riesgo la integridad física de una persona con un arma punzocortante;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 accionar el disparador de un arma de fuego;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La acción de portar o manipular un explosivo real o una réplica del mismo, 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Las acciones tendientes a perturbar objetos o sistemas que puedan tener efectos letales o incapacitantes en una o más personas.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Los protocolos y procedimientos del uso de la fuerza deberán atender a la perspectiva de género, la protección de niñas, niños y adolescentes, así como la atención de situaciones de riesgo en el interior o en las inmediaciones de guarderías, escuelas, hospitales, templos, centros de reclusión y otros lugares en el que se congreguen personas ajenas a los agresores.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Procedimientos del Uso de la Fuerza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Los mecanismos de reacción en el uso de la fuerza son: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Controles cooperativos: indicaciones verbales, advertencias o señalización;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Control mediante contacto: su límite superior es la intervención momentánea en funciones motrices;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Técnicas de sometimiento o control corporal: su límite superior es el impedimento momentáneo de funciones corporales y daños menores en estructuras corporales;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Tácticas defensivas: su límite superior es el daño de estructuras corporales no vitales,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Fuerza Letal: su límite es el cese total de funciones corporales. Se presume el uso de la fuerza letal cuando se emplee arma de fuego contra una persona.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La clasificación de las conductas que ameritan el uso de la fuerza, ordenadas por su intensidad, 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Resistencia pasiva: conducta de acción u omisión que realiza una o varias personas, exenta de violencia, para negarse a obedecer órdenes legítimas comunicadas de manera directa por los sujetos obligados, quienes previamente se han identificado como autoridad. Contra la resistencia pasiva podrán oponerse los mecanismos de reacción a los que se refieren las fracciones I y II del artículo anterior;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Resistencia activa: conducta de acción u omisión que realiza una o varias personas, empleando la violencia, el amago o la amenaza, para negarse a obedecer órdenes legítimas comunicadas de manera directa por los sujetos obligados, quienes previamente se han identificado como autoridad. Contra la resistencia activa podrán oponerse los mecanismos de reacción a los que se refieren las fracciones I, II, III y IV del artículo anterior,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Resistencia de alta peligrosidad: conducta de acción u omisión que realiza una o varias personas, empleando la violencia, el amago o la amenaza con armas o sin ellas para causar a otra u otras o a miembros de las instituciones de seguridad, lesiones graves o la muerte, negándose a obedecer órdenes legítimas comunicadas de manera directa por los sujetos obligados, quienes previamente se han identificado como autoridad. Contra la resistencia de alta peligrosidad podrán oponerse los mecanismos de reacción a los que se refieren las fracciones I, II, III, IV y V del artículo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Los niveles del uso de la fuerza, según el orden en que deben agotarse, son: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Presencia de autoridad: es la primera forma de contacto que tienen los agentes con la ciudadanía en general. Se manifiesta a través de: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El uso adecuado del uniforme;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El uso adecuado de equipo, acorde a las circunstancias,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c)</w:t>
        <w:tab/>
      </w:r>
      <w:r>
        <w:rPr>
          <w:sz w:val="20"/>
          <w:lang w:val="es-ES_tradnl"/>
        </w:rPr>
        <w:t>Una actitud diligente.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Persuasión o disuasión verbal: a través del uso de palabras o gesticulaciones que sean catalogadas como órdenes y que permitan a la persona facilitar a los agentes a cumplir con sus funciones;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Reducción física de movimientos: mediante acciones cuerpo a cuerpo a efecto de que se controle a la persona que se ha resistido y ha obstaculizado que los agentes cumplan con sus funciones;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Utilización de armas incapacitantes menos letales: a fin de someter la resistencia activa de una persona,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Utilización de armas de fuego o de fuerza letal: para repeler las resistencias de alta peligrosidad.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El uso de la fuerza solo se justifica cuando la resistencia o agresión 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Real: si la agresión se materializa en hechos apreciables por los sentidos, sin ser hipotética ni imaginaria;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Actual: si la agresión se presenta en el momento del hecho, no con anterioridad o posterioridad,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Inminente: si la agresión está próxima a ocurrir y, de no realizarse una acción, esta se consumaría.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El uso de la fuerza letal será el último recurso en cualquier operativo. En su caso, los agentes deberán comprobar que la agresión era real, actual o inminente, sin derecho, que ponía o podría poner en peligro la vida o integridad física de personas ajenas o de uno de ellos y que el uso de la fuerza en los niveles referidos en las fracciones I a la IV del artículo 11, eran insuficientes para repeler, contrarrestar o neutralizar los actos de resistencia.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Instrumentos del Uso de la Fuerza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Las instituciones de seguridad asignarán las armas solamente al agente que apruebe la capacitación establecida para su uso y este, a su vez, solo podrá usar las armas que le hayan sido asignadas.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 xml:space="preserve">. </w:t>
      </w:r>
      <w:r>
        <w:rPr>
          <w:sz w:val="20"/>
          <w:lang w:val="es-ES_tradnl"/>
        </w:rPr>
        <w:t>Los agentes podrán tener a su cargo y portar las siguientes armas: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Incapacitantes menos letales: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Bastón PR-24, tolete o su equivalente, de acuerdo con las disposiciones aplicables;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Dispositivos que generan descargas eléctricas;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c)</w:t>
        <w:tab/>
      </w:r>
      <w:r>
        <w:rPr>
          <w:sz w:val="20"/>
          <w:lang w:val="es-ES_tradnl"/>
        </w:rPr>
        <w:t>Esposas o candados de mano;</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d)</w:t>
        <w:tab/>
      </w:r>
      <w:r>
        <w:rPr>
          <w:sz w:val="20"/>
          <w:lang w:val="es-ES_tradnl"/>
        </w:rPr>
        <w:t>Sustancias irritantes en aerosol,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e)</w:t>
        <w:tab/>
      </w:r>
      <w:r>
        <w:rPr>
          <w:sz w:val="20"/>
          <w:lang w:val="es-ES_tradnl"/>
        </w:rPr>
        <w:t>Mangueras de agua a presión.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Letales: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Armas de fuego permitidas,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Explosivos permitidos, en este y en el inciso anterior, en términos de la Ley Federal de Armas de Fuego y Explosivos.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instituciones de seguridad deberán dotar a los agentes con el equipo de protección y vehículos con y sin blindaje, a fin de proteger su integridad y disminuir la necesidad del uso de armas de cualquier tipo.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 xml:space="preserve">En todos los casos, las armas que se autoricen para los cuerpos de policía deberán apegarse a lo establecido en el párrafo tercero del artículo 24 de la Ley </w:t>
      </w:r>
      <w:r>
        <w:rPr>
          <w:sz w:val="20"/>
          <w:lang w:val="es-419"/>
        </w:rPr>
        <w:t xml:space="preserve">Federal </w:t>
      </w:r>
      <w:r>
        <w:rPr>
          <w:sz w:val="20"/>
          <w:lang w:val="es-ES_tradnl"/>
        </w:rPr>
        <w:t>de Armas de Fuego y Explosivos.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Las instituciones de seguridad emitirán los protocolos de actuación con perspectiva de género y para niñas, niños, adolescentes y protección de los derechos humanos, así como los manuales de técnicas para el uso de la fuerza y la descripción de las conductas a realizar por parte de los agentes.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manual correspondiente determinará el contenido de las prácticas que los agentes deberán cumplir para estar capacitados en el uso de la fuerza, así como la periodicidad del entrenamiento para el uso de las armas permitidas y las técnicas de solución pacífica de conflictos, como la negociación y la mediación, así como de control de multitudes y otros medios lícitos que limiten al máximo el uso de la fuerza en los niveles de uso de armas incapacitantes menos letales y de armas de fuego.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entrenamiento para el uso de las armas permitidas comprenderá técnicas de solución pacífica de conflictos, como la negociación y la mediación, así como de control de multitudes y otros medios lícitos que limiten al máximo el uso de la fuerza en los niveles de uso de armas menos letales y uso de arma de fuego.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Agentes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Las instituciones de seguridad deberán contar con una base de datos que contenga el registro detallado de las huellas y las características que impriman los proyectiles u ojivas, las estrías o rayado helicoidal de las armas de fuego bajo su resguardo; así como de las armas y equipo asignado a cada agente.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Las instituciones de seguridad garantizarán que sus integrantes sean seleccionados mediante procedimientos adecuados que permitan establecer que poseen aptitudes éticas, psicológicas y físicas apropiadas para el ejercicio eficaz de sus funciones y que reciban capacitación profesional, continua y completa, incluyendo el uso de la fuerza. Las aptitudes para el ejercicio de esas funciones serán objeto de examen periódico, de conformidad con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anterior, de conformidad con las disposiciones relativas de la Ley General del Sistema Nacional de Seguridad Pública, y demás normatividad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 xml:space="preserve">. </w:t>
      </w:r>
      <w:r>
        <w:rPr>
          <w:sz w:val="20"/>
          <w:lang w:val="es-ES_tradnl"/>
        </w:rPr>
        <w:t>Todo agente tiene derecho a la protección de su vida e integridad física, al respeto a su dignidad como ser humano y a su autoridad por parte de sus superiores y de la ciudadanía.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 obligación de la institución de seguridad a la que pertenezcan, proporcionar a sus agentes la atención médica, psicológica y jurídica que, en su caso, requieran.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Las familias de los agentes contarán con atención médica, psicológica y social en aquellos casos en los que el agente pierda la vida, le sea imputado el uso excesivo de la fuerza o adquiera alguna discapacidad por el ejercicio de sus funciones, dando especial atención a sus familiares.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rFonts w:ascii="Arial" w:hAnsi="Arial" w:cs="Arial"/>
          <w:sz w:val="22"/>
          <w:szCs w:val="22"/>
        </w:rPr>
      </w:pPr>
      <w:r>
        <w:rPr>
          <w:rFonts w:cs="Arial" w:ascii="Arial" w:hAnsi="Arial"/>
          <w:sz w:val="22"/>
          <w:szCs w:val="22"/>
        </w:rPr>
        <w:t>Detenciones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En el uso de la fuerza para la detención de una persona se atenderán los principios y procedimientos establecidos en esta Ley, de acuerdo con las siguientes reglas: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Evaluar la situación para determinar inmediatamente el nivel de fuerza que utilizará;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Comunicar de inmediato a la persona o personas las razones por las cuales serán detenidas;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Comunicar a la persona detenida ante qué autoridad será puesta a disposición y solicitar que la acompañen,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Poner a disposición de forma inmediata ante la autoridad competente a la persona detenida.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agentes, bajo su más estricta responsabilidad, velarán porque durante la custodia del detenido se resguarde su integridad y se impidan actos de tortura, tratos o penas crueles, inhumanos o degradantes, desaparición forzada o cualquier otro hecho que la ley señale como delito, o que impliquen una violación grave a los derechos humanos; así como por el cumplimiento de las disposiciones correspondientes de la Ley Nacional del Registro de Detenciones.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Cuando para la detención de una persona sea necesario hacer uso de la fuerza, el agente deberá: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Procurar no ocasionar daño a la persona susceptible de detención y velar por el respeto a la vida e integridad física de ésta;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Utilizar de forma racional, subsidiaria y proporcional, los distintos niveles de uso de la fuerza, conforme a los niveles contemplados en esta Ley,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No exponer a la persona detenida a tratos denigrantes, abuso de autoridad o tortura.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cualquier caso, será aplicable lo dispuesto por el último párrafo del artículo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Durante una detención, se debe garantizar la seguridad de las personas no involucradas, la de los agentes y la del sujeto de la detención, en ese orden.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 xml:space="preserve">. </w:t>
      </w:r>
      <w:r>
        <w:rPr>
          <w:sz w:val="20"/>
          <w:lang w:val="es-ES_tradnl"/>
        </w:rPr>
        <w:t>Las instituciones de seguridad deberán abstenerse de ejercer el uso de la fuerza en contra de una persona detenida bajo su custodia, salvo que las circunstancias demanden la necesidad de su uso para el mantenimiento del orden y la seguridad o se ponga en riesgo la integridad de las personas.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Las detenciones podrán ser registradas en medios audiovisuales que serán accesibles por los medios que establezcan las disposiciones en materia de acceso a la información pública y protección de datos personales.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 xml:space="preserve">. </w:t>
      </w:r>
      <w:r>
        <w:rPr>
          <w:sz w:val="20"/>
          <w:lang w:val="es-ES_tradnl"/>
        </w:rPr>
        <w:t>De cada detención se llevará a cabo el registro e informe correspondiente, en términos de lo establecido por la ley en la materia.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Actuación de las Policías en Manifestaciones y Reuniones Públicas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 xml:space="preserve">. </w:t>
      </w:r>
      <w:r>
        <w:rPr>
          <w:sz w:val="20"/>
          <w:lang w:val="es-ES_tradnl"/>
        </w:rPr>
        <w:t>Por ningún motivo se podrá hacer uso de armas contra quienes participen en manifestaciones o reuniones públicas pacíficas con objeto lícito.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estos casos, la actuación policial deberá asegurar la protección de los manifestantes y los derechos de terceros, así como garantizar la paz y el orden públicos.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intervención de las fuerzas de seguridad pública deberá hacerse por personas con experiencia y capacitación específicas para dichas situaciones y bajo protocolos de actuación emitidos por el Consejo del Sistema Nacional de Seguridad 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 xml:space="preserve">. </w:t>
      </w:r>
      <w:r>
        <w:rPr>
          <w:sz w:val="20"/>
          <w:lang w:val="es-ES_tradnl"/>
        </w:rPr>
        <w:t>Cuando las manifestaciones o reuniones públicas se tornen violentas, las policías deberán actuar de acuerdo a los distintos niveles de fuerza establecidos en esta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VIII</w:t>
      </w:r>
    </w:p>
    <w:p>
      <w:pPr>
        <w:pStyle w:val="ANOTACION"/>
        <w:spacing w:lineRule="auto" w:line="240" w:before="0" w:after="0"/>
        <w:rPr>
          <w:rFonts w:ascii="Arial" w:hAnsi="Arial" w:cs="Arial"/>
          <w:sz w:val="22"/>
          <w:szCs w:val="22"/>
        </w:rPr>
      </w:pPr>
      <w:r>
        <w:rPr>
          <w:rFonts w:cs="Arial" w:ascii="Arial" w:hAnsi="Arial"/>
          <w:sz w:val="22"/>
          <w:szCs w:val="22"/>
        </w:rPr>
        <w:t>Planeación de Operativos que requieran el Uso de la Fuerza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w:t>
      </w:r>
      <w:r>
        <w:rPr>
          <w:sz w:val="20"/>
          <w:lang w:val="es-ES_tradnl"/>
        </w:rPr>
        <w:t xml:space="preserve"> Los agentes tienen derecho a responder a una agresión usando fuerza letal cuando esté en peligro inminente su integridad física con riesgo de muerte. Para calificar el hecho se deberán tomar en cuenta las circunstancias de modo, tiempo y lugar del operativo, así como la situación del agresor y su capacidad de resistencia.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 xml:space="preserve">. </w:t>
      </w:r>
      <w:r>
        <w:rPr>
          <w:sz w:val="20"/>
          <w:lang w:val="es-ES_tradnl"/>
        </w:rPr>
        <w:t>En el uso de la fuerza y la planeación de operativos siempre se tomará en consideración la salvaguarda de los objetivos y principios que establece esta Ley para garantizar la protección a los derechos humanos de todos los potenciales involucrados. Además, deberán cumplir con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Determinar el agente o agentes al mando del operativo, que serán responsables de su debido cumplimiento;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El mando deberá realizar reuniones para la coordinación con las diferentes autoridades participantes y los agentes que participarán en el operativo, con el objetivo de plantear las estrategias adecuadas y la toma de decisiones para definir el cumplimiento de los objetivos;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Contar con planes operativos y logísticos para hacer frente al evento de que se trate, que contemplen la forma para controlar la eventual resistencia, considerando la capacidad de respuesta del objetivo, las características físicas del lugar, las entradas y salidas para poder considerar la retirada en caso de que el uso de la fuerza resulte inadecuado y la vida de los agentes corra peligro, así como evitar la huida de la o las personas en caso de que se trate de una detención;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Los planes operativos deberán establecer acciones para repeler, contrarrestar y neutralizar cualquier tipo de resistencia;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Contemplar en el desarrollo del operativo el uso progresivo y diferenciado de la fuerza, procurando generar el menor daño posible;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Contar con un plan de desplazamiento de los agentes en la zona del operativo;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Antes del operativo, pasar revista de agentes, equipo, armamento, cartuchos y vehículos, misma que deberá constar por escrito;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Asegurar que el mando operativo mantenga una constante comunicación con sus superiores para la toma de decisiones durante la realización del operativo, incluida la posible negociación con las personas que ejercen la resistencia;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Evaluar los factores de riesgo para planear la estrategia adecuada;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Determinar las rutas para poner a salvo a las personas ajenas,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Es legal grabar o filmar el desarrollo del operativo, desde el inicio hasta la conclusión del mismo.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 xml:space="preserve">. </w:t>
      </w:r>
      <w:r>
        <w:rPr>
          <w:sz w:val="20"/>
          <w:lang w:val="es-ES_tradnl"/>
        </w:rPr>
        <w:t>En el caso de los planes, estrategias y programas para actuar frente a asambleas, manifestaciones o reuniones que se tornen violentas o que atenten contra el orden público, se deberá considerar la presencia de agentes capacitados para llevar a cabo negociaciones y procedimientos de disuasión y persuasión para que los manifestantes abandonen las conductas agresivas, debiendo buscar a los líderes para entablar el diálogo entre éstos y las autoridades.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agente que funja como negociador deberá permanecer en comunicación directa y en coordinación con el mando operativo, quien a su vez tendrá contacto directo con el mando superior.</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IX</w:t>
      </w:r>
    </w:p>
    <w:p>
      <w:pPr>
        <w:pStyle w:val="ANOTACION"/>
        <w:spacing w:lineRule="auto" w:line="240" w:before="0" w:after="0"/>
        <w:rPr>
          <w:rFonts w:ascii="Arial" w:hAnsi="Arial" w:cs="Arial"/>
          <w:sz w:val="22"/>
          <w:szCs w:val="22"/>
        </w:rPr>
      </w:pPr>
      <w:r>
        <w:rPr>
          <w:rFonts w:cs="Arial" w:ascii="Arial" w:hAnsi="Arial"/>
          <w:sz w:val="22"/>
          <w:szCs w:val="22"/>
        </w:rPr>
        <w:t>Informes del Uso de la Fuerza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 xml:space="preserve">. </w:t>
      </w:r>
      <w:r>
        <w:rPr>
          <w:sz w:val="20"/>
          <w:lang w:val="es-ES_tradnl"/>
        </w:rPr>
        <w:t>Siempre que los miembros de las instituciones de seguridad utilicen la fuerza en cumplimiento de sus funciones deberán realizar un reporte pormenorizado a su superior jerárquico inmediato, una copia de este se integrará al expediente del agente al mando del operativo y en lo conducente de cada uno de los participantes.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superiores jerárquicos serán responsables cuando deban tener o tengan conocimiento de que los agentes bajo su mando hayan empleado ilícitamente la fuerza, los instrumentos o armas de fuego a su cargo y no lo impidan o no lo denuncien ante las autoridades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El reporte pormenorizado contendrá: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Nombre, adscripción y datos de identificación del agente;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Nivel de fuerza utilizado;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Circunstancias de modo, tiempo, lugar de los hechos y razones que motivaron la decisión de emplear dicho nivel de fuerza,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En caso de haber utilizado armas letales: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Detallar las razones que se tuvieron para hacer uso del arma de fuego o explosivo;</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Identificar el número de disparos o la cantidad de detonación de explosivos;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c)</w:t>
        <w:tab/>
      </w:r>
      <w:r>
        <w:rPr>
          <w:sz w:val="20"/>
          <w:lang w:val="es-ES_tradnl"/>
        </w:rPr>
        <w:t>Especificar el tipo de lesiones, el número e identidad de las personas lesionadas y los daños materiales causados,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d)</w:t>
        <w:tab/>
      </w:r>
      <w:r>
        <w:rPr>
          <w:sz w:val="20"/>
          <w:lang w:val="es-ES_tradnl"/>
        </w:rPr>
        <w:t>En su caso, especificar el número e identidad de las personas que hayan perdido la vida.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 xml:space="preserve">. </w:t>
      </w:r>
      <w:r>
        <w:rPr>
          <w:sz w:val="20"/>
          <w:lang w:val="es-ES_tradnl"/>
        </w:rPr>
        <w:t>Las instituciones de seguridad establecerán un programa de evaluaciones periódicas de acuerdo con estándares de eficiencia sobre el uso de la fuerza.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4" w:name="Artículo_35"/>
      <w:r>
        <w:rPr>
          <w:b/>
          <w:sz w:val="20"/>
          <w:lang w:val="es-ES_tradnl"/>
        </w:rPr>
        <w:t>Artículo 35</w:t>
      </w:r>
      <w:bookmarkEnd w:id="34"/>
      <w:r>
        <w:rPr>
          <w:b/>
          <w:sz w:val="20"/>
          <w:lang w:val="es-ES_tradnl"/>
        </w:rPr>
        <w:t xml:space="preserve">. </w:t>
      </w:r>
      <w:r>
        <w:rPr>
          <w:sz w:val="20"/>
          <w:lang w:val="es-ES_tradnl"/>
        </w:rPr>
        <w:t>Las instituciones de seguridad deberán presentar informes públicos anuales que permitan conocer el desarrollo de las actividades que involucren el uso de la fuerza.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Estos reportes deberán contener: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Los datos relacionados con las detenciones;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Los resultados de la evaluación corporal que se realice a las personas detenidas;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El número de personas fallecidas por el uso de la fuerza, desagregado por sexo</w:t>
      </w:r>
      <w:r>
        <w:rPr>
          <w:sz w:val="20"/>
          <w:lang w:val="es-419"/>
        </w:rPr>
        <w:t>,</w:t>
      </w:r>
      <w:r>
        <w:rPr>
          <w:sz w:val="20"/>
          <w:lang w:val="es-ES_tradnl"/>
        </w:rPr>
        <w:t xml:space="preserve">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En su caso, recomendaciones que con motivo de estos eventos hayan emitido los organismos públicos de derechos humanos, y la atención que se haya dado a las mismas.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5" w:name="Artículo_36"/>
      <w:r>
        <w:rPr>
          <w:b/>
          <w:sz w:val="20"/>
          <w:lang w:val="es-ES_tradnl"/>
        </w:rPr>
        <w:t>Artículo 36</w:t>
      </w:r>
      <w:bookmarkEnd w:id="35"/>
      <w:r>
        <w:rPr>
          <w:b/>
          <w:sz w:val="20"/>
          <w:lang w:val="es-ES_tradnl"/>
        </w:rPr>
        <w:t xml:space="preserve">. </w:t>
      </w:r>
      <w:r>
        <w:rPr>
          <w:sz w:val="20"/>
          <w:lang w:val="es-ES_tradnl"/>
        </w:rPr>
        <w:t>En aquellos operativos en los que se requiera y autorice desde la planeación el uso de la fuerza letal, se podrán utilizar dispositivos tecnológicos con el fin de registrar audiovisualmente el desarrollo del operativo con fines de verificación.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6" w:name="Artículo_37"/>
      <w:r>
        <w:rPr>
          <w:b/>
          <w:sz w:val="20"/>
          <w:lang w:val="es-ES_tradnl"/>
        </w:rPr>
        <w:t>Artículo 37</w:t>
      </w:r>
      <w:bookmarkEnd w:id="36"/>
      <w:r>
        <w:rPr>
          <w:b/>
          <w:sz w:val="20"/>
          <w:lang w:val="es-ES_tradnl"/>
        </w:rPr>
        <w:t xml:space="preserve">. </w:t>
      </w:r>
      <w:r>
        <w:rPr>
          <w:sz w:val="20"/>
          <w:lang w:val="es-ES_tradnl"/>
        </w:rPr>
        <w:t>Los vehículos que se utilicen en el ejercicio del uso de la fuerza contarán con mecanismos tecnológicos para vigilar la seguridad de los agentes y de las personas alrededor.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7" w:name="Artículo_38"/>
      <w:r>
        <w:rPr>
          <w:b/>
          <w:sz w:val="20"/>
          <w:lang w:val="es-ES_tradnl"/>
        </w:rPr>
        <w:t>Artículo 38</w:t>
      </w:r>
      <w:bookmarkEnd w:id="37"/>
      <w:r>
        <w:rPr>
          <w:b/>
          <w:sz w:val="20"/>
          <w:lang w:val="es-ES_tradnl"/>
        </w:rPr>
        <w:t xml:space="preserve">. </w:t>
      </w:r>
      <w:r>
        <w:rPr>
          <w:sz w:val="20"/>
          <w:lang w:val="es-ES_tradnl"/>
        </w:rPr>
        <w:t>El material audiovisual será accesible para investigaciones y procedimientos judiciales, en términos de la legislación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Artículo_39"/>
      <w:r>
        <w:rPr>
          <w:b/>
          <w:sz w:val="20"/>
          <w:lang w:val="es-ES_tradnl"/>
        </w:rPr>
        <w:t>Artículo 39</w:t>
      </w:r>
      <w:bookmarkEnd w:id="38"/>
      <w:r>
        <w:rPr>
          <w:b/>
          <w:sz w:val="20"/>
          <w:lang w:val="es-ES_tradnl"/>
        </w:rPr>
        <w:t xml:space="preserve">. </w:t>
      </w:r>
      <w:r>
        <w:rPr>
          <w:sz w:val="20"/>
          <w:lang w:val="es-ES_tradnl"/>
        </w:rPr>
        <w:t>Los datos personales de los agentes que hayan utilizado fuerza letal deberán ser tratados en términos de la legislación en la materia.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w:t>
      </w:r>
    </w:p>
    <w:p>
      <w:pPr>
        <w:pStyle w:val="ANOTACION"/>
        <w:spacing w:lineRule="auto" w:line="240" w:before="0" w:after="0"/>
        <w:rPr>
          <w:rFonts w:ascii="Arial" w:hAnsi="Arial" w:cs="Arial"/>
          <w:sz w:val="22"/>
          <w:szCs w:val="22"/>
        </w:rPr>
      </w:pPr>
      <w:r>
        <w:rPr>
          <w:rFonts w:cs="Arial" w:ascii="Arial" w:hAnsi="Arial"/>
          <w:sz w:val="22"/>
          <w:szCs w:val="22"/>
        </w:rPr>
        <w:t>Capacitación y Profesionalización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9" w:name="Artículo_40"/>
      <w:r>
        <w:rPr>
          <w:b/>
          <w:sz w:val="20"/>
          <w:lang w:val="es-ES_tradnl"/>
        </w:rPr>
        <w:t>Artículo 40</w:t>
      </w:r>
      <w:bookmarkEnd w:id="39"/>
      <w:r>
        <w:rPr>
          <w:b/>
          <w:sz w:val="20"/>
          <w:lang w:val="es-ES_tradnl"/>
        </w:rPr>
        <w:t xml:space="preserve">. </w:t>
      </w:r>
      <w:r>
        <w:rPr>
          <w:sz w:val="20"/>
          <w:lang w:val="es-ES_tradnl"/>
        </w:rPr>
        <w:t>La capacitación que reciban los agentes considerará los estándares nacionales e internacionales en la materia y deberá incluir, al menos, los aspectos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Derechos Humanos;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No discriminación;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Perspectiva de género;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Principios para el uso de la fuerza;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Adiestramiento en medios, métodos y técnicas para el control físico;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 xml:space="preserve">Adiestramiento en el empleo de armas </w:t>
      </w:r>
      <w:r>
        <w:rPr>
          <w:sz w:val="20"/>
          <w:lang w:val="es-419"/>
        </w:rPr>
        <w:t>menos</w:t>
      </w:r>
      <w:r>
        <w:rPr>
          <w:sz w:val="20"/>
          <w:lang w:val="es-ES_tradnl"/>
        </w:rPr>
        <w:t xml:space="preserve"> letales;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Código de conducta de los servidores públicos;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Ética y doctrina policial;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Responsabilidades jurídicas derivadas del uso de la fuerza;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Actuaciones previas, durante y posteriores al uso de la fuerza;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Actuación policial, en caso de detenciones;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Primeros auxilios y asistencia médica de emergencia;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Medios y métodos de solución pacífica de conflictos;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Manejo y control de multitudes;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Manejo y traslado de personas detenidas o sujetas a proceso;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Manejo de crisis, estrés y emociones,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w:t>
        <w:tab/>
      </w:r>
      <w:r>
        <w:rPr>
          <w:sz w:val="20"/>
          <w:lang w:val="es-ES_tradnl"/>
        </w:rPr>
        <w:t>Las demás que resulten necesarias.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0" w:name="Artículo_41"/>
      <w:r>
        <w:rPr>
          <w:b/>
          <w:sz w:val="20"/>
          <w:lang w:val="es-ES_tradnl"/>
        </w:rPr>
        <w:t>Artículo 41</w:t>
      </w:r>
      <w:bookmarkEnd w:id="40"/>
      <w:r>
        <w:rPr>
          <w:b/>
          <w:sz w:val="20"/>
          <w:lang w:val="es-ES_tradnl"/>
        </w:rPr>
        <w:t xml:space="preserve">. </w:t>
      </w:r>
      <w:r>
        <w:rPr>
          <w:sz w:val="20"/>
          <w:lang w:val="es-ES_tradnl"/>
        </w:rPr>
        <w:t>La capacitación a que se refiere el artículo anterior deberá considerar el uso diferenciado, escalonado y gradual de la fuerza, tanto de armas letales como menos letales, siempre con el objetivo de evitar daño a la integridad física de las personas.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programas de capacitación se deberán establecer cursos de evaluación sobre el uso de la fuerza.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XI</w:t>
      </w:r>
    </w:p>
    <w:p>
      <w:pPr>
        <w:pStyle w:val="ANOTACION"/>
        <w:spacing w:lineRule="auto" w:line="240" w:before="0" w:after="0"/>
        <w:rPr>
          <w:rFonts w:ascii="Arial" w:hAnsi="Arial" w:cs="Arial"/>
          <w:sz w:val="22"/>
          <w:szCs w:val="22"/>
        </w:rPr>
      </w:pPr>
      <w:r>
        <w:rPr>
          <w:rFonts w:cs="Arial" w:ascii="Arial" w:hAnsi="Arial"/>
          <w:sz w:val="22"/>
          <w:szCs w:val="22"/>
        </w:rPr>
        <w:t>Régimen de Responsabilidades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mandos de las instituciones de seguridad, así como de la Fuerza Armada permanente, cuando actúen en tareas de seguridad pública, deberán verificar que el empleo de la fuerza ejercida por sus subordinados, se efectúe conforme a lo establecido en la presente Ley y demás ordenamientos aplicables.</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Las infracciones a la presente Ley, derivadas de uso indebido de la fuerza, cometidas por integrantes de las instituciones de seguridad pública, así como de la Fuerza Armada permanente, cuando actúen en tareas de seguridad pública, deberán ser sancionadas en términos de las disposiciones legales civiles, penales o administrativas correspondientes.</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Cualquier integrante de las instituciones de seguridad, así como de la Fuerza Armada permanente cuando actúe en tareas de seguridad pública, al tener conocimiento que se usó indebidamente la fuerza, deberá denunciar el hecho ante la autoridad competente.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44" w:name="Transitorios"/>
      <w:r>
        <w:rPr>
          <w:rFonts w:cs="Arial" w:ascii="Arial" w:hAnsi="Arial"/>
          <w:sz w:val="22"/>
          <w:szCs w:val="22"/>
        </w:rPr>
        <w:t>Transitorios</w:t>
      </w:r>
      <w:bookmarkEnd w:id="44"/>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5" w:name="Primero"/>
      <w:r>
        <w:rPr>
          <w:b/>
          <w:sz w:val="20"/>
          <w:lang w:val="es-ES_tradnl"/>
        </w:rPr>
        <w:t>Primero</w:t>
      </w:r>
      <w:bookmarkEnd w:id="45"/>
      <w:r>
        <w:rPr>
          <w:b/>
          <w:sz w:val="20"/>
          <w:lang w:val="es-ES_tradnl"/>
        </w:rPr>
        <w:t xml:space="preserve">. </w:t>
      </w:r>
      <w:r>
        <w:rPr>
          <w:sz w:val="20"/>
          <w:lang w:val="es-ES_tradnl"/>
        </w:rPr>
        <w:t>La presente Ley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6" w:name="Segundo"/>
      <w:r>
        <w:rPr>
          <w:b/>
          <w:sz w:val="20"/>
          <w:lang w:val="es-ES_tradnl"/>
        </w:rPr>
        <w:t>Segundo</w:t>
      </w:r>
      <w:bookmarkEnd w:id="46"/>
      <w:r>
        <w:rPr>
          <w:b/>
          <w:sz w:val="20"/>
          <w:lang w:val="es-ES_tradnl"/>
        </w:rPr>
        <w:t>.</w:t>
      </w:r>
      <w:r>
        <w:rPr>
          <w:sz w:val="20"/>
          <w:lang w:val="es-ES_tradnl"/>
        </w:rPr>
        <w:t xml:space="preserve"> Se derogan las disposiciones sobre uso de la fuerza en materia de seguridad pública, que se opongan a lo dispuesto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7" w:name="Tercero"/>
      <w:r>
        <w:rPr>
          <w:b/>
          <w:sz w:val="20"/>
          <w:lang w:val="es-ES_tradnl"/>
        </w:rPr>
        <w:t>Tercero</w:t>
      </w:r>
      <w:bookmarkEnd w:id="47"/>
      <w:r>
        <w:rPr>
          <w:b/>
          <w:sz w:val="20"/>
          <w:lang w:val="es-ES_tradnl"/>
        </w:rPr>
        <w:t xml:space="preserve">. </w:t>
      </w:r>
      <w:r>
        <w:rPr>
          <w:sz w:val="20"/>
          <w:lang w:val="es-ES_tradnl"/>
        </w:rPr>
        <w:t xml:space="preserve">Para cumplir con </w:t>
      </w:r>
      <w:r>
        <w:rPr>
          <w:sz w:val="20"/>
          <w:lang w:val="es-419"/>
        </w:rPr>
        <w:t xml:space="preserve">la </w:t>
      </w:r>
      <w:r>
        <w:rPr>
          <w:sz w:val="20"/>
          <w:lang w:val="es-ES_tradnl"/>
        </w:rPr>
        <w:t>obligación contenida en el artículo 38, las instituciones de seguridad pública, procurarán, en medida de las disponibilidades presupuestarias, adquirir la tecnología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23 de mayo de 2019.- Sen. </w:t>
      </w:r>
      <w:r>
        <w:rPr>
          <w:b/>
          <w:sz w:val="20"/>
          <w:lang w:val="es-MX"/>
        </w:rPr>
        <w:t>Martí Batres Guadarrama</w:t>
      </w:r>
      <w:r>
        <w:rPr>
          <w:sz w:val="20"/>
          <w:lang w:val="es-MX"/>
        </w:rPr>
        <w:t xml:space="preserve">, Presidente.- Dip. </w:t>
      </w:r>
      <w:r>
        <w:rPr>
          <w:b/>
          <w:sz w:val="20"/>
          <w:lang w:val="es-MX"/>
        </w:rPr>
        <w:t>Porfirio Muñoz Ledo</w:t>
      </w:r>
      <w:r>
        <w:rPr>
          <w:sz w:val="20"/>
          <w:lang w:val="es-MX"/>
        </w:rPr>
        <w:t xml:space="preserve">, Presidente.- Sen. </w:t>
      </w:r>
      <w:r>
        <w:rPr>
          <w:b/>
          <w:sz w:val="20"/>
          <w:lang w:val="es-MX"/>
        </w:rPr>
        <w:t>Nancy de la Sierra Arámburo</w:t>
      </w:r>
      <w:r>
        <w:rPr>
          <w:sz w:val="20"/>
          <w:lang w:val="es-MX"/>
        </w:rPr>
        <w:t xml:space="preserve">, Secretaria.- Dip. </w:t>
      </w:r>
      <w:r>
        <w:rPr>
          <w:b/>
          <w:sz w:val="20"/>
          <w:lang w:val="es-MX"/>
        </w:rPr>
        <w:t>Julieta Macías Rábago</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27 de mayo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jc w:val="center"/>
        <w:rPr>
          <w:rFonts w:ascii="Tahoma" w:hAnsi="Tahoma" w:cs="Tahoma"/>
          <w:b/>
          <w:bCs/>
          <w:color w:val="008000"/>
          <w:sz w:val="22"/>
          <w:szCs w:val="22"/>
        </w:rPr>
      </w:pPr>
      <w:bookmarkStart w:id="48" w:name="TRANSITORIOS_DE_DECRETOS_DE_REFORMA"/>
      <w:r>
        <w:rPr>
          <w:rFonts w:cs="Tahoma" w:ascii="Tahoma" w:hAnsi="Tahoma"/>
          <w:b/>
          <w:bCs/>
          <w:color w:val="008000"/>
          <w:sz w:val="22"/>
          <w:szCs w:val="22"/>
        </w:rPr>
        <w:t>ARTÍCULOS TRANSITORIOS DE DECRETOS DE REFORMA</w:t>
      </w:r>
      <w:bookmarkEnd w:id="48"/>
    </w:p>
    <w:p>
      <w:pPr>
        <w:pStyle w:val="Footer"/>
        <w:tabs>
          <w:tab w:val="clear" w:pos="4419"/>
          <w:tab w:val="clear" w:pos="8838"/>
        </w:tabs>
        <w:jc w:val="center"/>
        <w:rPr>
          <w:rFonts w:ascii="Arial" w:hAnsi="Arial" w:cs="Arial"/>
          <w:b/>
          <w:bCs/>
          <w:color w:val="008000"/>
          <w:sz w:val="20"/>
          <w:szCs w:val="20"/>
        </w:rPr>
      </w:pPr>
      <w:r>
        <w:rPr>
          <w:rFonts w:cs="Arial" w:ascii="Arial" w:hAnsi="Arial"/>
          <w:b/>
          <w:bCs/>
          <w:color w:val="008000"/>
          <w:sz w:val="20"/>
          <w:szCs w:val="20"/>
        </w:rPr>
      </w:r>
    </w:p>
    <w:p>
      <w:pPr>
        <w:pStyle w:val="Normal"/>
        <w:jc w:val="both"/>
        <w:rPr>
          <w:rFonts w:ascii="Arial" w:hAnsi="Arial" w:cs="Arial"/>
          <w:b/>
          <w:bCs/>
          <w:sz w:val="22"/>
          <w:szCs w:val="20"/>
        </w:rPr>
      </w:pPr>
      <w:r>
        <w:rPr>
          <w:rFonts w:cs="Arial" w:ascii="Arial" w:hAnsi="Arial"/>
          <w:b/>
          <w:bCs/>
          <w:sz w:val="22"/>
          <w:szCs w:val="20"/>
        </w:rPr>
        <w:t>PUNTOS RESOLUTIVOS de la sentencia dictada por el Tribunal Pleno de la Suprema Corte de Justicia de la Nación en la Acción de Inconstitucionalidad 64/2019, promovida por la Comisión Nacional de los Derechos Humanos.</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29 de octubre de 2021</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SGA/MOKM/376/2021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veintiséis de octubre de dos mil veintiuno, resolvió la acción de inconstitucionalidad 64/2019, promovida por la Comisión Nacional de los Derechos humanos,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parcialmente fundada la presente acción de inconstitucionalidad.</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declaran infundadas las omisiones legislativas relativas en competencia de ejercicio obligatorio, atinentes al adiestramiento del uso de la fuerza mediante el empleo de armas incapacitantes no letales y letales, la distinción y regulación de dichas armas y la sistematización y archivo de los informes de los servidores públicos que hagan uso de armas de fuego en el desempeño de sus funciones que, como previsiones mínimas, contiene la Ley Nacional sobre el Uso de la Fuerza, expedida mediante el Decreto publicado en el Diario Oficial de la Federación el veintisiete de mayo de dos mil diecinueve, en términos del apartado III, temas 1.3 y 1.4,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reconoce la validez de los artículos 27, párrafo primero, 28 y 36, en su porción normativa ‘desde la planeación’, de la Ley Nacional sobre el Uso de la Fuerza, expedida mediante el Decreto publicado en el Diario Oficial de la Federación el veintisiete de mayo de dos mil diecinueve, de conformidad con el apartado III, temas 2.2 y 2.3, de esta determinación.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CUARTO. Se declara la invalidez del artículo 6, fracción VI, en su porción normativa ‘epiletal’, de la Ley Nacional sobre el Uso de la Fuerza, expedida mediante el Decreto publicado en el Diario Oficial de la Federación el veintisiete de mayo de dos mil diecinueve, por las razones del apartado III, tema 2.1, de esta ejecutoria, la cual surtirá sus efectos a partir de la notificación de estos puntos resolutivos al Congreso de la Unión, como se indica en el apartado IV de esta resolución.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QUINTO. Se declaran fundadas las omisiones legislativas relativas en competencia de ejercicio obligatorio, atinentes a la finalidad del uso de la fuerza, así como la sujeción del uso de la fuerza a los principios de racionalidad y oportunidad que, como previsiones mínimas, debe contener la Ley Nacional sobre el Uso de la Fuerza, expedida mediante el Decreto publicado en el Diario Oficial de la Federación el veintisiete de mayo de dos mil diecinueve, por los argumentos expuestos en el apartado III, temas 1.1 y 1.2, de esta sentencia.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SEXTO. Se condena al Congreso de la Unión para que, en el siguiente período ordinario de sesiones que inicia en febrero de dos mil veintidós, legisle para establecer en la Ley Nacional sobre el Uso de la Fuerza la finalidad del uso de la fuerza y la sujeción del uso de la fuerza a los principios de racionalidad y oportunidad que, como previsiones mínimas, dicha ley debe contener, con fundamento en el artículo transitorio cuarto, fracción III, numerales 1 y 3, del decreto de reforma constitucional publicado en el Diario Oficial de la Federación el veintiséis de marzo de dos mil diecinueve, en los términos precisados en el apartado IV de este fallo.</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SÉPTIMO.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26 de octubre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29 de octubre de 2021 a las 12:00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64/2019, así como los Votos Particulares de los señores Ministros Juan Luis González Alcántara Carrancá y Luis María Aguilar Morales y de Minoría de la señora Ministra Norma Lucía Piña Hernández y de los señores Ministros Alfredo Gutiérrez Ortiz Mena y Juan Luis González Alcántara Carrancá</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Publicada en el Diario Oficial de la Federación el 8 de abril de 2022</w:t>
      </w:r>
    </w:p>
    <w:p>
      <w:pPr>
        <w:pStyle w:val="Normal"/>
        <w:rPr>
          <w:rFonts w:ascii="Arial" w:hAnsi="Arial" w:cs="Arial"/>
          <w:b/>
          <w:bCs/>
          <w:sz w:val="20"/>
          <w:szCs w:val="20"/>
        </w:rPr>
      </w:pPr>
      <w:r>
        <w:rPr>
          <w:rFonts w:cs="Arial" w:ascii="Arial" w:hAnsi="Arial"/>
          <w:b/>
          <w:bCs/>
          <w:sz w:val="20"/>
          <w:szCs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5227" w:end="0"/>
        <w:rPr>
          <w:b/>
          <w:sz w:val="20"/>
        </w:rPr>
      </w:pPr>
      <w:r>
        <w:rPr>
          <w:b/>
          <w:sz w:val="20"/>
        </w:rPr>
        <w:t>ACCIÓN DE INCONSTITUCIONALIDAD 64/2019</w:t>
      </w:r>
    </w:p>
    <w:p>
      <w:pPr>
        <w:pStyle w:val="Texto"/>
        <w:spacing w:lineRule="auto" w:line="240" w:before="0" w:after="0"/>
        <w:ind w:hanging="0" w:start="5220" w:end="0"/>
        <w:rPr>
          <w:b/>
          <w:sz w:val="20"/>
        </w:rPr>
      </w:pPr>
      <w:r>
        <w:rPr>
          <w:b/>
          <w:sz w:val="20"/>
        </w:rPr>
        <w:t>PROMOVENTE: COMISIÓN NACIONAL DE LOS DERECHOS HUMANOS</w:t>
      </w:r>
    </w:p>
    <w:p>
      <w:pPr>
        <w:pStyle w:val="Texto"/>
        <w:spacing w:lineRule="auto" w:line="240" w:before="0" w:after="0"/>
        <w:ind w:hanging="0" w:start="5220" w:end="0"/>
        <w:rPr>
          <w:b/>
          <w:sz w:val="20"/>
        </w:rPr>
      </w:pPr>
      <w:r>
        <w:rPr>
          <w:b/>
          <w:sz w:val="20"/>
        </w:rPr>
      </w:r>
    </w:p>
    <w:p>
      <w:pPr>
        <w:pStyle w:val="Texto"/>
        <w:spacing w:lineRule="auto" w:line="240" w:before="0" w:after="0"/>
        <w:ind w:hanging="0" w:end="0"/>
        <w:rPr>
          <w:b/>
          <w:sz w:val="20"/>
        </w:rPr>
      </w:pPr>
      <w:r>
        <w:rPr>
          <w:b/>
          <w:sz w:val="20"/>
        </w:rPr>
        <w:t>PONENTE: MINISTRA NORMA LUCÍA PIÑA HERNÁNDEZ.</w:t>
      </w:r>
    </w:p>
    <w:p>
      <w:pPr>
        <w:pStyle w:val="Texto"/>
        <w:spacing w:lineRule="auto" w:line="240" w:before="0" w:after="0"/>
        <w:ind w:hanging="0" w:end="0"/>
        <w:rPr>
          <w:b/>
          <w:sz w:val="20"/>
        </w:rPr>
      </w:pPr>
      <w:r>
        <w:rPr>
          <w:b/>
          <w:sz w:val="20"/>
        </w:rPr>
        <w:t>SECRETARIO: RICARDO MONTERROSAS CASTORENA.</w:t>
      </w:r>
    </w:p>
    <w:p>
      <w:pPr>
        <w:pStyle w:val="Texto"/>
        <w:spacing w:lineRule="auto" w:line="240" w:before="0" w:after="0"/>
        <w:ind w:hanging="0" w:end="0"/>
        <w:rPr>
          <w:b/>
          <w:sz w:val="20"/>
        </w:rPr>
      </w:pPr>
      <w:r>
        <w:rPr>
          <w:b/>
          <w:sz w:val="20"/>
        </w:rPr>
      </w:r>
    </w:p>
    <w:p>
      <w:pPr>
        <w:pStyle w:val="Texto"/>
        <w:spacing w:lineRule="auto" w:line="240" w:before="0" w:after="0"/>
        <w:ind w:hanging="0" w:end="0"/>
        <w:rPr>
          <w:sz w:val="20"/>
        </w:rPr>
      </w:pPr>
      <w:r>
        <w:rPr>
          <w:sz w:val="20"/>
        </w:rPr>
        <w:t xml:space="preserve">Ciudad de México. El Tribunal Pleno de la Suprema Corte de Justicia de la Nación, en sesión correspondiente al día </w:t>
      </w:r>
      <w:r>
        <w:rPr>
          <w:b/>
          <w:sz w:val="20"/>
        </w:rPr>
        <w:t>veintiséis de octubre de dos mil veintiuno</w:t>
      </w:r>
      <w:r>
        <w:rPr>
          <w:sz w:val="20"/>
        </w:rPr>
        <w:t>, emite la siguiente:</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firstLine="289" w:end="0"/>
        <w:rPr>
          <w:sz w:val="20"/>
          <w:lang w:val="es-ES_tradnl"/>
        </w:rPr>
      </w:pPr>
      <w:r>
        <w:rPr>
          <w:sz w:val="20"/>
          <w:lang w:val="es-ES_tradnl"/>
        </w:rPr>
        <w:t xml:space="preserve">Mediante la que se resuelve la acción de inconstitucionalidad 64/2019 promovida por la </w:t>
      </w:r>
      <w:r>
        <w:rPr>
          <w:sz w:val="20"/>
        </w:rPr>
        <w:t>Comisión Nacional de los Derechos Humanos</w:t>
      </w:r>
      <w:r>
        <w:rPr>
          <w:sz w:val="20"/>
          <w:lang w:val="es-ES_tradnl"/>
        </w:rPr>
        <w:t xml:space="preserve">, en la que solicita la invalidez de la Ley Nacional sobre el Uso de la Fuerza en su integridad, con motivo de diversas omisiones legislativas relativas en competencia de ejercicio obligatorio, así como la invalidez, en particular, de los artículos </w:t>
      </w:r>
      <w:r>
        <w:rPr>
          <w:sz w:val="20"/>
        </w:rPr>
        <w:t>6, fracción VI, en la porción normativa “</w:t>
      </w:r>
      <w:r>
        <w:rPr>
          <w:i/>
          <w:sz w:val="20"/>
        </w:rPr>
        <w:t>fuerza epiletal</w:t>
      </w:r>
      <w:r>
        <w:rPr>
          <w:sz w:val="20"/>
        </w:rPr>
        <w:t>”, 27, primer párrafo, 28 y 36, en la porción normativa “</w:t>
      </w:r>
      <w:r>
        <w:rPr>
          <w:i/>
          <w:sz w:val="20"/>
        </w:rPr>
        <w:t>desde la planeación</w:t>
      </w:r>
      <w:r>
        <w:rPr>
          <w:sz w:val="20"/>
        </w:rPr>
        <w:t>”, de la Ley Nacional Sobre Uso de la Fuerza, expedida por Decreto publicado en el Diario Oficial de la Federación el veintisiete de mayo de dos mil diecinueve</w:t>
      </w:r>
      <w:r>
        <w:rPr>
          <w:sz w:val="20"/>
          <w:lang w:val="es-ES_tradnl"/>
        </w:rPr>
        <w:t>.</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firstLine="289" w:end="0"/>
        <w:rPr>
          <w:sz w:val="20"/>
          <w:lang w:val="es-ES_tradnl"/>
        </w:rPr>
      </w:pPr>
      <w:r>
        <w:rPr>
          <w:sz w:val="20"/>
          <w:lang w:val="es-ES_tradnl"/>
        </w:rPr>
        <w:t>………</w:t>
      </w:r>
    </w:p>
    <w:p>
      <w:pPr>
        <w:pStyle w:val="Texto"/>
        <w:spacing w:lineRule="auto" w:line="240" w:before="0" w:after="0"/>
        <w:ind w:firstLine="289" w:end="0"/>
        <w:rPr>
          <w:sz w:val="20"/>
          <w:lang w:val="es-ES_tradnl"/>
        </w:rPr>
      </w:pPr>
      <w:r>
        <w:rPr>
          <w:sz w:val="20"/>
          <w:lang w:val="es-ES_tradnl"/>
        </w:rPr>
      </w:r>
    </w:p>
    <w:p>
      <w:pPr>
        <w:pStyle w:val="Texto"/>
        <w:spacing w:lineRule="auto" w:line="240" w:before="0" w:after="0"/>
        <w:ind w:hanging="504" w:start="504" w:end="0"/>
        <w:rPr/>
      </w:pPr>
      <w:r>
        <w:rPr>
          <w:b/>
          <w:sz w:val="20"/>
        </w:rPr>
        <w:t>227.</w:t>
        <w:tab/>
      </w:r>
      <w:r>
        <w:rPr>
          <w:sz w:val="20"/>
        </w:rPr>
        <w:t>En términos de lo expuesto, este Tribunal Pleno de la Suprema Corte de Justicia de la Nación,</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Resuelve:</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 xml:space="preserve">PRIMERO. </w:t>
      </w:r>
      <w:r>
        <w:rPr>
          <w:sz w:val="20"/>
        </w:rPr>
        <w:t>Es procedente y parcialmente fundada la presente acción de inconstitucionalidad.</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SEGUNDO. </w:t>
      </w:r>
      <w:r>
        <w:rPr>
          <w:sz w:val="20"/>
        </w:rPr>
        <w:t>Se declaran infundadas las omisiones legislativas relativas en competencia de ejercicio obligatorio, atinentes al adiestramiento del uso de la fuerza mediante el empleo de armas incapacitantes no letales y letales, la distinción y regulación de dichas armas y la sistematización y archivo de los informes de los servidores públicos que hagan uso de armas de fuego en el desempeño de sus funciones que, como previsiones mínimas, contiene la Ley Nacional sobre el Uso de la Fuerza, expedida mediante el Decreto publicado en el Diario Oficial de la Federación el veintisiete de mayo de dos mil diecinueve, en términos del apartado III, temas 1.3 y 1.4, de esta decisión.</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TERCERO. </w:t>
      </w:r>
      <w:r>
        <w:rPr>
          <w:sz w:val="20"/>
        </w:rPr>
        <w:t xml:space="preserve">Se reconoce la validez de los artículos 27, párrafo primero, 28 y 36, en su porción normativa </w:t>
      </w:r>
      <w:r>
        <w:rPr>
          <w:i/>
          <w:sz w:val="20"/>
        </w:rPr>
        <w:t>‘desde la planeación’,</w:t>
      </w:r>
      <w:r>
        <w:rPr>
          <w:sz w:val="20"/>
        </w:rPr>
        <w:t xml:space="preserve"> de la Ley Nacional sobre el Uso de la Fuerza, expedida mediante el Decreto publicado en el Diario Oficial de la Federación el veintisiete de mayo de dos mil diecinueve, de conformidad con el apartado III, temas 2.2 y 2.3, de esta determinación.</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CUARTO. </w:t>
      </w:r>
      <w:r>
        <w:rPr>
          <w:sz w:val="20"/>
        </w:rPr>
        <w:t>Se declara la invalidez del artículo 6, fracción VI, en su porción normativa ‘</w:t>
      </w:r>
      <w:r>
        <w:rPr>
          <w:i/>
          <w:sz w:val="20"/>
        </w:rPr>
        <w:t>epiletal’</w:t>
      </w:r>
      <w:r>
        <w:rPr>
          <w:sz w:val="20"/>
        </w:rPr>
        <w:t>, de la Ley Nacional sobre el Uso de la Fuerza, expedida mediante el Decreto publicado en el Diario Oficial de la Federación el veintisiete de mayo de dos mil diecinueve, por las razones del apartado III, tema 2.1, de esta ejecutoria, la cual surtirá sus efectos a partir de la notificación de estos puntos resolutivos al Congreso de la Unión, como se indica en el apartado IV de esta resolución.</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QUINTO. </w:t>
      </w:r>
      <w:r>
        <w:rPr>
          <w:sz w:val="20"/>
        </w:rPr>
        <w:t>Se declaran fundadas las omisiones legislativas relativas en competencia de ejercicio obligatorio, atinentes a la finalidad del uso de la fuerza, así como la sujeción del uso de la fuerza a los principios de racionalidad y oportunidad que, como previsiones mínimas, debe contener la Ley Nacional sobre el Uso de la Fuerza, expedida mediante el Decreto publicado en el Diario Oficial de la Federación el veintisiete de mayo de dos mil diecinueve, por los argumentos expuestos en el apartado III, temas 1.1 y 1.2, de esta sentencia.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SEXTO. </w:t>
      </w:r>
      <w:r>
        <w:rPr>
          <w:sz w:val="20"/>
        </w:rPr>
        <w:t>Se condena al Congreso de la Unión para que, en el siguiente período ordinario de sesiones que inicia en febrero de dos mil veintidós, legisle para establecer en la Ley Nacional sobre el Uso de la Fuerza la finalidad del uso de la fuerza y la sujeción del uso de la fuerza a los principios de racionalidad y oportunidad que, como previsiones mínimas, dicha ley debe contener, con fundamento en el artículo transitorio cuarto, fracción III, numerales 1 y 3, del decreto de reforma constitucional publicado en el Diario Oficial de la Federación el veintiséis de marzo de dos mil diecinueve, en los términos precisados en el apartado IV de este fallo.</w:t>
      </w:r>
    </w:p>
    <w:p>
      <w:pPr>
        <w:pStyle w:val="Texto"/>
        <w:spacing w:lineRule="auto" w:line="240" w:before="0" w:after="0"/>
        <w:rPr>
          <w:b/>
          <w:sz w:val="20"/>
        </w:rPr>
      </w:pPr>
      <w:r>
        <w:rPr>
          <w:b/>
          <w:sz w:val="20"/>
        </w:rPr>
      </w:r>
    </w:p>
    <w:p>
      <w:pPr>
        <w:pStyle w:val="Texto"/>
        <w:spacing w:lineRule="auto" w:line="240" w:before="0" w:after="0"/>
        <w:rPr/>
      </w:pPr>
      <w:r>
        <w:rPr>
          <w:b/>
          <w:sz w:val="20"/>
        </w:rPr>
        <w:t xml:space="preserve">SÉPTIMO. </w:t>
      </w:r>
      <w:r>
        <w:rPr>
          <w:sz w:val="20"/>
        </w:rPr>
        <w:t>Publíquese esta resolución en el Diario Oficial de la Federación, así como en el Semanario Judicial de la Federación y su Gaceta.</w:t>
      </w:r>
    </w:p>
    <w:p>
      <w:pPr>
        <w:pStyle w:val="Texto"/>
        <w:spacing w:lineRule="auto" w:line="240" w:before="0" w:after="0"/>
        <w:rPr>
          <w:b/>
          <w:sz w:val="20"/>
        </w:rPr>
      </w:pPr>
      <w:r>
        <w:rPr>
          <w:b/>
          <w:sz w:val="20"/>
        </w:rPr>
      </w:r>
    </w:p>
    <w:p>
      <w:pPr>
        <w:pStyle w:val="Texto"/>
        <w:spacing w:lineRule="auto" w:line="240" w:before="0" w:after="0"/>
        <w:rPr/>
      </w:pPr>
      <w:r>
        <w:rPr>
          <w:b/>
          <w:sz w:val="20"/>
        </w:rPr>
        <w:t>Notifíquese;</w:t>
      </w:r>
      <w:r>
        <w:rPr>
          <w:sz w:val="20"/>
        </w:rPr>
        <w:t xml:space="preserve"> haciéndolo por medio de oficio a las partes y, en su oportunidad, archívese el expediente como asunto concluido.</w:t>
      </w:r>
    </w:p>
    <w:p>
      <w:pPr>
        <w:pStyle w:val="Texto"/>
        <w:spacing w:lineRule="auto" w:line="240" w:before="0" w:after="0"/>
        <w:rPr>
          <w:sz w:val="20"/>
        </w:rPr>
      </w:pPr>
      <w:r>
        <w:rPr>
          <w:sz w:val="20"/>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Presidente Zaldívar Lelo de Larrea declaró que el asunto se resolvió en los términos precisados.</w:t>
      </w:r>
    </w:p>
    <w:p>
      <w:pPr>
        <w:pStyle w:val="Texto"/>
        <w:spacing w:lineRule="auto" w:line="240" w:before="0" w:after="0"/>
        <w:rPr>
          <w:sz w:val="20"/>
        </w:rPr>
      </w:pPr>
      <w:r>
        <w:rPr>
          <w:sz w:val="20"/>
        </w:rPr>
      </w:r>
    </w:p>
    <w:p>
      <w:pPr>
        <w:pStyle w:val="Texto"/>
        <w:spacing w:lineRule="auto" w:line="240" w:before="0" w:after="0"/>
        <w:rPr>
          <w:sz w:val="20"/>
        </w:rPr>
      </w:pPr>
      <w:r>
        <w:rPr>
          <w:sz w:val="20"/>
        </w:rPr>
        <w:t>Firman el señor Ministro Presidente y la señora Ministra Ponente con el Secretario General de Acuerdos quien da fe.</w:t>
      </w:r>
    </w:p>
    <w:p>
      <w:pPr>
        <w:pStyle w:val="Texto"/>
        <w:spacing w:lineRule="auto" w:line="240" w:before="0" w:after="0"/>
        <w:rPr>
          <w:sz w:val="20"/>
        </w:rPr>
      </w:pPr>
      <w:r>
        <w:rPr>
          <w:sz w:val="20"/>
        </w:rPr>
      </w:r>
    </w:p>
    <w:p>
      <w:pPr>
        <w:pStyle w:val="Texto"/>
        <w:spacing w:lineRule="auto" w:line="240" w:before="0" w:after="0"/>
        <w:rPr>
          <w:sz w:val="20"/>
        </w:rPr>
      </w:pPr>
      <w:r>
        <w:rPr>
          <w:sz w:val="20"/>
        </w:rPr>
        <w:t>Presidente, Ministro</w:t>
      </w:r>
      <w:r>
        <w:rPr>
          <w:b/>
          <w:sz w:val="20"/>
        </w:rPr>
        <w:t xml:space="preserve"> Arturo Zaldívar Lelo de Larrea</w:t>
      </w:r>
      <w:r>
        <w:rPr>
          <w:sz w:val="20"/>
        </w:rPr>
        <w:t>.- Firmado electrónicamente.- Ponente, Ministra</w:t>
      </w:r>
      <w:r>
        <w:rPr>
          <w:b/>
          <w:sz w:val="20"/>
        </w:rPr>
        <w:t xml:space="preserve"> Norma Lucía Piña Hernández</w:t>
      </w:r>
      <w:r>
        <w:rPr>
          <w:sz w:val="20"/>
        </w:rPr>
        <w:t>.- Firmado electrónicamente.- Secretario General de Acuerdos, Lic.</w:t>
      </w:r>
      <w:r>
        <w:rPr>
          <w:b/>
          <w:sz w:val="20"/>
        </w:rPr>
        <w:t xml:space="preserve"> Rafael Coello Cetina</w:t>
      </w:r>
      <w:r>
        <w:rPr>
          <w:sz w:val="20"/>
        </w:rPr>
        <w:t>.- Firmado electrónicamente.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LICENCIADO </w:t>
      </w:r>
      <w:r>
        <w:rPr>
          <w:b/>
          <w:sz w:val="20"/>
        </w:rPr>
        <w:t>RAFAEL COELLO CETINA</w:t>
      </w:r>
      <w:r>
        <w:rPr>
          <w:sz w:val="20"/>
        </w:rPr>
        <w:t>, SECRETARIO GENERAL DE ACUERDOS DE LA SUPREMA CORTE DE JUSTICIA DE LA NACIÓN: CERTIFICA: Que la presente copia fotostática constante de ochenta y un fojas útiles, concuerda fiel y exactamente con el original firmado electrónicamente de la sentencia emitida en la acción de inconstitucionalidad 64/2019, promovida por la Comisión Nacional de los Derechos Humanos, dictada por el Pleno de la Suprema Corte de Justicia de la Nación en su sesión del veintiséis de octubre de dos mil veintiuno. Se certifica con la finalidad de que se publique en el Diario Oficial de la Federación.- Ciudad de México, a primero de marzo de dos mil veintidós.- Rúbrica.</w:t>
      </w:r>
      <w:r>
        <w:br w:type="page"/>
      </w:r>
    </w:p>
    <w:p>
      <w:pPr>
        <w:pStyle w:val="Texto"/>
        <w:spacing w:lineRule="auto" w:line="240" w:before="0" w:after="0"/>
        <w:ind w:hanging="0" w:end="0"/>
        <w:rPr>
          <w:b/>
          <w:bCs/>
          <w:sz w:val="22"/>
          <w:szCs w:val="22"/>
        </w:rPr>
      </w:pPr>
      <w:r>
        <w:rPr>
          <w:b/>
          <w:sz w:val="22"/>
          <w:szCs w:val="22"/>
        </w:rPr>
        <w:t>DECRETO por el que se reforman y adicionan los artículos 3, 4 y 6 de la Ley Nacional Sobre el Uso de la Fuerza</w:t>
      </w:r>
      <w:r>
        <w:rPr>
          <w:rFonts w:cs="Times New Roman"/>
          <w:b/>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24 de enero de 2024</w:t>
      </w:r>
    </w:p>
    <w:p>
      <w:pPr>
        <w:pStyle w:val="Normal"/>
        <w:jc w:val="both"/>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sz w:val="20"/>
        </w:rPr>
      </w:pPr>
      <w:r>
        <w:rPr>
          <w:b/>
          <w:sz w:val="20"/>
        </w:rPr>
        <w:t xml:space="preserve">Artículo Único.- </w:t>
      </w:r>
      <w:r>
        <w:rPr>
          <w:sz w:val="20"/>
        </w:rPr>
        <w:t>Se reforman la fracción XIV del artículo 3; y la fracción VI del artículo 6, y se adicionan las fracciones VI y VII al artículo 4, de la Ley Nacional sobre el Uso de la Fuerza,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Las instituciones de seguridad revisarán y, en su caso, actualizarán los protocolos de actuación, los manuales de técnicas para el uso de la fuerza, la descripción de las conductas a realizar por parte de los agentes y los cursos de capacitación para el efecto de incorporar la finalidad del uso de la fuerza y los principios de oportunidad y racionalidad, en sus contenidos, para lo que tendrán un plazo de 60 días hábiles contados a partir del día siguiente a la entrada en vigor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Ciudad de México, a 13 de diciembre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Diana Estefanía Gutiérrez Valtierra</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sz w:val="20"/>
        </w:rPr>
        <w:t xml:space="preserve">.- </w:t>
      </w:r>
      <w:r>
        <w:rPr>
          <w:b/>
          <w:sz w:val="20"/>
          <w:lang w:eastAsia="es-MX"/>
        </w:rPr>
        <w:t>Andrés Manuel López Obrador</w:t>
      </w:r>
      <w:r>
        <w:rPr>
          <w:sz w:val="20"/>
          <w:lang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6029634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NACIONAL SOBRE EL USO DE LA FUERZA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eastAsia="Calibri"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notapieCar">
    <w:name w:val="Texto nota pie Car"/>
    <w:qFormat/>
    <w:rPr>
      <w:rFonts w:ascii="CaAibri" w:hAnsi="CaAibri" w:cs="CaAibri"/>
      <w:sz w:val="24"/>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20" w:end="0"/>
    </w:pPr>
    <w:rPr>
      <w:rFonts w:ascii="Arial" w:hAnsi="Arial" w:eastAsia="Calibri" w:cs="Arial"/>
      <w:color w:val="000000"/>
      <w:lang w:val="es-MX"/>
    </w:rPr>
  </w:style>
  <w:style w:type="paragraph" w:styleId="FootnoteText">
    <w:name w:val="footnote text"/>
    <w:basedOn w:val="Normal"/>
    <w:pPr/>
    <w:rPr>
      <w:rFonts w:ascii="CaAibri" w:hAnsi="CaAibri" w:cs="CaAibri"/>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66">
    <w:name w:val="CM166"/>
    <w:basedOn w:val="Default"/>
    <w:next w:val="Default"/>
    <w:qFormat/>
    <w:pPr/>
    <w:rPr>
      <w:rFonts w:ascii="TiAes" w:hAnsi="TiAes" w:cs="TiAes"/>
      <w:color w:val="000000"/>
    </w:rPr>
  </w:style>
  <w:style w:type="paragraph" w:styleId="CM177">
    <w:name w:val="CM177"/>
    <w:basedOn w:val="Default"/>
    <w:next w:val="Default"/>
    <w:qFormat/>
    <w:pPr/>
    <w:rPr>
      <w:rFonts w:ascii="TiAes" w:hAnsi="TiAes" w:cs="TiAes"/>
      <w:color w:val="000000"/>
    </w:rPr>
  </w:style>
  <w:style w:type="paragraph" w:styleId="CM167">
    <w:name w:val="CM167"/>
    <w:basedOn w:val="Default"/>
    <w:next w:val="Default"/>
    <w:qFormat/>
    <w:pPr/>
    <w:rPr>
      <w:rFonts w:ascii="TiAes" w:hAnsi="TiAes" w:cs="TiAes"/>
      <w:color w:val="000000"/>
    </w:rPr>
  </w:style>
  <w:style w:type="paragraph" w:styleId="CM168">
    <w:name w:val="CM168"/>
    <w:basedOn w:val="Default"/>
    <w:next w:val="Default"/>
    <w:qFormat/>
    <w:pPr/>
    <w:rPr>
      <w:rFonts w:ascii="TiAes" w:hAnsi="TiAes" w:cs="TiAes"/>
      <w:color w:val="000000"/>
    </w:rPr>
  </w:style>
  <w:style w:type="paragraph" w:styleId="CM171">
    <w:name w:val="CM171"/>
    <w:basedOn w:val="Default"/>
    <w:next w:val="Default"/>
    <w:qFormat/>
    <w:pPr/>
    <w:rPr>
      <w:rFonts w:ascii="TiAes" w:hAnsi="TiAes" w:cs="TiAes"/>
      <w:color w:val="000000"/>
    </w:rPr>
  </w:style>
  <w:style w:type="paragraph" w:styleId="CM182">
    <w:name w:val="CM182"/>
    <w:basedOn w:val="Default"/>
    <w:next w:val="Default"/>
    <w:qFormat/>
    <w:pPr/>
    <w:rPr>
      <w:rFonts w:ascii="TiAes" w:hAnsi="TiAes" w:cs="TiAes"/>
      <w:color w:val="000000"/>
    </w:rPr>
  </w:style>
  <w:style w:type="paragraph" w:styleId="CM198">
    <w:name w:val="CM198"/>
    <w:basedOn w:val="Default"/>
    <w:next w:val="Default"/>
    <w:qFormat/>
    <w:pPr/>
    <w:rPr>
      <w:rFonts w:ascii="TiAes" w:hAnsi="TiAes" w:cs="TiAes"/>
      <w:color w:val="000000"/>
    </w:rPr>
  </w:style>
  <w:style w:type="paragraph" w:styleId="CM183">
    <w:name w:val="CM183"/>
    <w:basedOn w:val="Default"/>
    <w:next w:val="Default"/>
    <w:qFormat/>
    <w:pPr/>
    <w:rPr>
      <w:rFonts w:ascii="TiAes" w:hAnsi="TiAes" w:cs="TiAes"/>
      <w:color w:val="000000"/>
    </w:rPr>
  </w:style>
  <w:style w:type="paragraph" w:styleId="CM207">
    <w:name w:val="CM207"/>
    <w:basedOn w:val="Default"/>
    <w:next w:val="Default"/>
    <w:qFormat/>
    <w:pPr/>
    <w:rPr>
      <w:rFonts w:ascii="TiAes" w:hAnsi="TiAes" w:cs="TiAes"/>
      <w:color w:val="000000"/>
    </w:rPr>
  </w:style>
  <w:style w:type="paragraph" w:styleId="CM175">
    <w:name w:val="CM175"/>
    <w:basedOn w:val="Default"/>
    <w:next w:val="Default"/>
    <w:qFormat/>
    <w:pPr/>
    <w:rPr>
      <w:rFonts w:ascii="TiAes" w:hAnsi="TiAes" w:cs="TiAes"/>
      <w:color w:val="000000"/>
    </w:rPr>
  </w:style>
  <w:style w:type="paragraph" w:styleId="CM9">
    <w:name w:val="CM9"/>
    <w:basedOn w:val="Default"/>
    <w:next w:val="Default"/>
    <w:qFormat/>
    <w:pPr/>
    <w:rPr>
      <w:rFonts w:ascii="TiAes" w:hAnsi="TiAes" w:cs="TiAes"/>
      <w:color w:val="000000"/>
    </w:rPr>
  </w:style>
  <w:style w:type="paragraph" w:styleId="CM174">
    <w:name w:val="CM174"/>
    <w:basedOn w:val="Default"/>
    <w:next w:val="Default"/>
    <w:qFormat/>
    <w:pPr/>
    <w:rPr>
      <w:rFonts w:ascii="TiAes" w:hAnsi="TiAes" w:cs="TiAes"/>
      <w:color w:val="000000"/>
    </w:rPr>
  </w:style>
  <w:style w:type="paragraph" w:styleId="CM185">
    <w:name w:val="CM185"/>
    <w:basedOn w:val="Default"/>
    <w:next w:val="Default"/>
    <w:qFormat/>
    <w:pPr/>
    <w:rPr>
      <w:rFonts w:ascii="TiAes" w:hAnsi="TiAes" w:cs="TiAes"/>
      <w:color w:val="000000"/>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2024-01-25T08:10:00Z</dcterms:created>
  <dc:creator>Cámara de Diputados del H. Congreso de la Unión</dc:creator>
  <dc:description/>
  <cp:keywords/>
  <dc:language>en-US</dc:language>
  <cp:lastModifiedBy>Armando Torres</cp:lastModifiedBy>
  <cp:lastPrinted>2024-01-25T11:10:00Z</cp:lastPrinted>
  <dcterms:modified xsi:type="dcterms:W3CDTF">2024-01-25T08:10:00Z</dcterms:modified>
  <cp:revision>3</cp:revision>
  <dc:subject/>
  <dc:title>Ley Nacional sobre el Uso de la Fuerza</dc:title>
</cp:coreProperties>
</file>