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PARA LA COMPROBACIÓN, AJUSTE Y CÓMPUTO DE SERVICIOS DE LA ARMADA DE MÉXICO</w:t>
      </w:r>
    </w:p>
    <w:p>
      <w:pPr>
        <w:pStyle w:val="Titulo1"/>
        <w:pBdr>
          <w:bottom w:val="nil"/>
        </w:pBdr>
        <w:jc w:val="center"/>
        <w:rPr>
          <w:rFonts w:ascii="Tahoma" w:hAnsi="Tahoma" w:cs="Tahoma"/>
          <w:color w:val="008000"/>
          <w:sz w:val="20"/>
          <w:szCs w:val="22"/>
        </w:rPr>
      </w:pPr>
      <w:r>
        <w:rPr>
          <w:rFonts w:cs="Tahoma" w:ascii="Tahoma" w:hAnsi="Tahoma"/>
          <w:color w:val="008000"/>
          <w:sz w:val="20"/>
          <w:szCs w:val="22"/>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14 de junio de 2004</w:t>
      </w:r>
    </w:p>
    <w:p>
      <w:pPr>
        <w:pStyle w:val="texto1"/>
        <w:spacing w:lineRule="auto" w:line="240" w:before="0" w:after="0"/>
        <w:ind w:hanging="0" w:end="0"/>
        <w:jc w:val="center"/>
        <w:rPr>
          <w:rFonts w:ascii="Tahoma" w:hAnsi="Tahoma" w:cs="Tahoma"/>
          <w:b/>
          <w:sz w:val="16"/>
          <w:szCs w:val="16"/>
        </w:rPr>
      </w:pPr>
      <w:r>
        <w:rPr>
          <w:rFonts w:cs="Tahoma" w:ascii="Tahoma" w:hAnsi="Tahoma"/>
          <w:b/>
          <w:sz w:val="16"/>
          <w:szCs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12-06-2009</w:t>
      </w:r>
    </w:p>
    <w:p>
      <w:pPr>
        <w:pStyle w:val="Titulo1"/>
        <w:pBdr>
          <w:bottom w:val="nil"/>
        </w:pBdr>
        <w:rPr>
          <w:rFonts w:ascii="Arial" w:hAnsi="Arial" w:cs="Arial"/>
          <w:b w:val="false"/>
          <w:color w:val="CC3300"/>
          <w:sz w:val="20"/>
          <w:lang w:val="es-ES_tradnl"/>
        </w:rPr>
      </w:pPr>
      <w:r>
        <w:rPr>
          <w:rFonts w:cs="Arial" w:ascii="Arial" w:hAnsi="Arial"/>
          <w:b w:val="false"/>
          <w:color w:val="CC3300"/>
          <w:sz w:val="20"/>
          <w:lang w:val="es-ES_tradnl"/>
        </w:rPr>
      </w:r>
    </w:p>
    <w:p>
      <w:pPr>
        <w:pStyle w:val="Titulo1"/>
        <w:pBdr>
          <w:bottom w:val="nil"/>
        </w:pBdr>
        <w:rPr>
          <w:rFonts w:ascii="Arial" w:hAnsi="Arial" w:cs="Arial"/>
          <w:sz w:val="20"/>
          <w:lang w:val="es-ES_tradnl"/>
        </w:rPr>
      </w:pPr>
      <w:r>
        <w:rPr>
          <w:rFonts w:cs="Arial" w:ascii="Arial" w:hAnsi="Arial"/>
          <w:sz w:val="20"/>
          <w:lang w:val="es-ES_tradnl"/>
        </w:rPr>
      </w:r>
    </w:p>
    <w:p>
      <w:pPr>
        <w:pStyle w:val="Titulo1"/>
        <w:pBdr>
          <w:bottom w:val="nil"/>
        </w:pBdr>
        <w:rPr>
          <w:rFonts w:ascii="Arial" w:hAnsi="Arial" w:cs="Arial"/>
          <w:sz w:val="20"/>
        </w:rPr>
      </w:pPr>
      <w:r>
        <w:rPr>
          <w:rFonts w:cs="Arial" w:ascii="Arial" w:hAnsi="Arial"/>
          <w:sz w:val="20"/>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rFonts w:ascii="Arial" w:hAnsi="Arial" w:cs="Arial"/>
          <w:sz w:val="20"/>
          <w:lang w:val="es-ES_tradnl"/>
        </w:rPr>
      </w:pPr>
      <w:r>
        <w:rPr>
          <w:rFonts w:cs="Arial" w:ascii="Arial" w:hAnsi="Arial"/>
          <w:sz w:val="20"/>
          <w:lang w:val="es-ES_tradnl"/>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DE LOS ESTADOS UNIDOS MEXICANOS, DECRETA:</w:t>
      </w:r>
    </w:p>
    <w:p>
      <w:pPr>
        <w:pStyle w:val="Texto"/>
        <w:spacing w:lineRule="auto" w:line="240" w:before="0" w:after="0"/>
        <w:rPr>
          <w:sz w:val="20"/>
          <w:szCs w:val="16"/>
        </w:rPr>
      </w:pPr>
      <w:r>
        <w:rPr>
          <w:sz w:val="20"/>
          <w:szCs w:val="16"/>
        </w:rPr>
      </w:r>
    </w:p>
    <w:p>
      <w:pPr>
        <w:pStyle w:val="Anotacion"/>
        <w:spacing w:before="0" w:after="0"/>
        <w:rPr>
          <w:rFonts w:ascii="Arial" w:hAnsi="Arial" w:cs="Arial"/>
          <w:sz w:val="22"/>
        </w:rPr>
      </w:pPr>
      <w:r>
        <w:rPr>
          <w:rFonts w:cs="Arial" w:ascii="Arial" w:hAnsi="Arial"/>
          <w:sz w:val="22"/>
        </w:rPr>
        <w:t>LEY PARA LA COMPROBACIÓN, AJUSTE Y CÓMPUTO DE SERVICIOS DE LA ARMADA DE MÉXICO</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b/>
          <w:bCs/>
          <w:sz w:val="22"/>
        </w:rPr>
      </w:pPr>
      <w:r>
        <w:rPr>
          <w:b/>
          <w:bCs/>
          <w:sz w:val="22"/>
        </w:rPr>
        <w:t>Capítulo I</w:t>
      </w:r>
    </w:p>
    <w:p>
      <w:pPr>
        <w:pStyle w:val="Texto"/>
        <w:spacing w:lineRule="auto" w:line="240" w:before="0" w:after="0"/>
        <w:ind w:hanging="0" w:end="0"/>
        <w:jc w:val="center"/>
        <w:rPr>
          <w:b/>
          <w:bCs/>
          <w:sz w:val="22"/>
        </w:rPr>
      </w:pPr>
      <w:r>
        <w:rPr>
          <w:b/>
          <w:bCs/>
          <w:sz w:val="22"/>
        </w:rPr>
        <w:t>Generalidades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0" w:name="Artículo_1"/>
      <w:r>
        <w:rPr>
          <w:b/>
          <w:bCs/>
          <w:sz w:val="20"/>
        </w:rPr>
        <w:t>ARTÍCULO 1</w:t>
      </w:r>
      <w:bookmarkEnd w:id="0"/>
      <w:r>
        <w:rPr>
          <w:b/>
          <w:bCs/>
          <w:sz w:val="20"/>
        </w:rPr>
        <w:t>.</w:t>
      </w:r>
      <w:r>
        <w:rPr>
          <w:sz w:val="20"/>
        </w:rPr>
        <w:t>- Para los efectos de la presente Ley se entenderá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Tiempo de servicio efectivo, aquel que se le contará al personal a partir del día de su ingreso a la Armada de México hasta su separación definitiva de la misma, haciéndole las deducciones establecidas en esta Ley,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Tiempo de servicios, aquel que comprende el tiempo del servicio efectivo del personal más los abonos de tiempo establecidos en esta Ley.</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Los servicios prestados por el personal de la Armada de México serán comprobados, ajustados y computados de conformidad con la documentación que obre en los expedientes respectivos, formados en el Archivo General de la Armada, y a falta de éstos, con los documentos certificados que aporten los interesados.</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Los servicios prestados por el personal de la Armada de México se anotarán en un documento denominado hoja de servicios, que será formulada por la Oficialía Mayor, a través de la unidad administrativa correspondiente, conforme a la reglamentación respectiva.</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La actuación del personal de la Armada de México durante su permanencia en unidades o establecimientos navales, se asentará en los documentos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Hoja de actuación, es el documento en el cual se conceptúa la actuación de los Almirantes, Capitanes y Oficiales, durante determinado periodo de su vida dentro de la Armada,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Memorial de servicios, es el documento en el cual se conceptúa la actuación del personal de clases y marinería, durante determinado periodo de su vida dentro de la Armada.</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Los extractos de antecedentes son los documentos que contienen los cambios de situación del personal naval dentro de la Armada de México y serán formulados por la unidad administrativa correspondiente, conforme a lo ordenado en la Ley del Instituto de Seguridad Social para las Fuerzas Armadas Mexicanas.</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La unidad administrativa correspondiente se encargará de: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Formular los extractos de antecedente del personal naval, conforme a lo ordenado en el artículo 180 de la Ley del Instituto de Seguridad Social para las Fuerzas Armadas Mexicanas, y</w:t>
      </w:r>
    </w:p>
    <w:p>
      <w:pPr>
        <w:pStyle w:val="Texto"/>
        <w:spacing w:lineRule="auto" w:line="240" w:before="0" w:after="0"/>
        <w:rPr>
          <w:sz w:val="20"/>
        </w:rPr>
      </w:pPr>
      <w:r>
        <w:rPr>
          <w:sz w:val="20"/>
        </w:rPr>
      </w:r>
    </w:p>
    <w:p>
      <w:pPr>
        <w:pStyle w:val="Texto"/>
        <w:spacing w:lineRule="auto" w:line="240" w:before="0" w:after="0"/>
        <w:rPr/>
      </w:pPr>
      <w:r>
        <w:rPr>
          <w:b/>
          <w:sz w:val="20"/>
        </w:rPr>
        <w:t xml:space="preserve">II.- </w:t>
      </w:r>
      <w:r>
        <w:rPr>
          <w:sz w:val="20"/>
        </w:rPr>
        <w:t>Formular las hojas de servicios, así como el cómputo y ajuste de tiempo de servicios correspondientes, en los siguientes casos: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En los señalados en la Ley del Instituto de Seguridad Social para las Fuerzas Armadas Mexicanas;</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Cuando lo ordene el Alto Mando o lo requiera una autoridad competente;</w:t>
      </w:r>
    </w:p>
    <w:p>
      <w:pPr>
        <w:pStyle w:val="Texto"/>
        <w:spacing w:lineRule="auto" w:line="240" w:before="0" w:after="0"/>
        <w:rPr>
          <w:sz w:val="20"/>
        </w:rPr>
      </w:pPr>
      <w:r>
        <w:rPr>
          <w:sz w:val="20"/>
        </w:rPr>
      </w:r>
    </w:p>
    <w:p>
      <w:pPr>
        <w:pStyle w:val="Texto"/>
        <w:spacing w:lineRule="auto" w:line="240" w:before="0" w:after="0"/>
        <w:rPr/>
      </w:pPr>
      <w:r>
        <w:rPr>
          <w:b/>
          <w:sz w:val="20"/>
        </w:rPr>
        <w:t xml:space="preserve">c) </w:t>
      </w:r>
      <w:r>
        <w:rPr>
          <w:sz w:val="20"/>
        </w:rPr>
        <w:t>Para su remisión al Senado de la República, en los casos en que deba intervenir para la ratificación de jerarquías militares, y</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Cuando lo solicite el interesado.</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 xml:space="preserve">.- </w:t>
      </w:r>
      <w:r>
        <w:rPr>
          <w:sz w:val="20"/>
        </w:rPr>
        <w:t>Cuando el personal naval desee conocer o consultar los datos y constancias relacionados con su actuación militar, la unidad administrativa correspondiente dará las facilidades necesarias para ello, permitiéndoles que hagan las observaciones que juzguen pertinentes.</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Al personal de la Armada de México se le harán los abonos y deducciones de tiempo conforme a lo dispuesto en los artículos 21 y 22 de la presente Ley, respectivamente.</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Capítulo II</w:t>
      </w:r>
    </w:p>
    <w:p>
      <w:pPr>
        <w:pStyle w:val="Texto"/>
        <w:spacing w:lineRule="auto" w:line="240" w:before="0" w:after="0"/>
        <w:ind w:hanging="0" w:end="0"/>
        <w:jc w:val="center"/>
        <w:rPr>
          <w:b/>
          <w:bCs/>
          <w:sz w:val="22"/>
        </w:rPr>
      </w:pPr>
      <w:r>
        <w:rPr>
          <w:b/>
          <w:bCs/>
          <w:sz w:val="22"/>
        </w:rPr>
        <w:t>Comprobación y Ajuste de Servicios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En la hoja de servicios se anotará: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Síntesis biográfica;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Jerarquías y fechas en que las obtuvo;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Unidades o establecimientos en que ha servido;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Conocimientos que posea con anotación de constancias, títulos, diplomas y calificaciones obtenidas;</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Participación en campañas y acciones de guerra;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Cargos y comisiones desempeñados;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Hechos meritorios realizados;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Premios y recompensas;</w:t>
      </w:r>
    </w:p>
    <w:p>
      <w:pPr>
        <w:pStyle w:val="Texto"/>
        <w:spacing w:lineRule="auto" w:line="240" w:before="0" w:after="0"/>
        <w:rPr>
          <w:sz w:val="20"/>
        </w:rPr>
      </w:pPr>
      <w:r>
        <w:rPr>
          <w:sz w:val="20"/>
        </w:rPr>
      </w:r>
    </w:p>
    <w:p>
      <w:pPr>
        <w:pStyle w:val="Texto"/>
        <w:spacing w:lineRule="auto" w:line="240" w:before="0" w:after="0"/>
        <w:rPr/>
      </w:pPr>
      <w:r>
        <w:rPr>
          <w:b/>
          <w:sz w:val="20"/>
        </w:rPr>
        <w:t xml:space="preserve">IX.- </w:t>
      </w:r>
      <w:r>
        <w:rPr>
          <w:sz w:val="20"/>
        </w:rPr>
        <w:t>Castigos sufridos;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Licencias que ha disfrutado, y</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Conceptos militares conforme a sus hojas de actuación o memoriales de Servicio.</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 xml:space="preserve">.- </w:t>
      </w:r>
      <w:r>
        <w:rPr>
          <w:sz w:val="20"/>
        </w:rPr>
        <w:t>La antigüedad en el empleo para los miembros de la Armada de México se contará a partir de la fecha que se fije en el nombramiento o despacho respectivos, teniéndose en cuenta las deducciones que procedan, de acuerdo con lo dispuesto en la presente Ley y ordenamientos aplicables. El personal que pase a diferente escalafón, entrará al nuevo con la fecha del cambio, a menos que éste, sea ordenado por el Alto Mando, en cuyo caso mantendrá la antigüedad del escalafón que abandona.</w:t>
      </w:r>
    </w:p>
    <w:p>
      <w:pPr>
        <w:pStyle w:val="Texto"/>
        <w:spacing w:lineRule="auto" w:line="240" w:before="0" w:after="0"/>
        <w:rPr>
          <w:sz w:val="20"/>
        </w:rPr>
      </w:pPr>
      <w:r>
        <w:rPr>
          <w:sz w:val="20"/>
        </w:rPr>
      </w:r>
    </w:p>
    <w:p>
      <w:pPr>
        <w:pStyle w:val="Texto"/>
        <w:spacing w:lineRule="auto" w:line="240" w:before="0" w:after="0"/>
        <w:rPr>
          <w:sz w:val="20"/>
        </w:rPr>
      </w:pPr>
      <w:r>
        <w:rPr>
          <w:sz w:val="20"/>
        </w:rPr>
        <w:t>La antigüedad en el grado, para efectos de ascenso, se computará de acuerdo a lo establecido en la Legislación correspondiente.</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Los certificados que comprueben servicios, estancia en campaña, hechos de armas, cargos, comisiones u otros que guarden relación con la historia militar de los interesados, serán expedidos por los Almirantes, Capitanes y Oficiales bajo cuyas órdenes se encontraban al verificarse los hechos, siempre que les consten personalmente, o por oficiales de cualquier graduación a quienes consten los servicios que tratan de comprobarse; cuando en la época a que hagan referencia hayan sido de igual o superior jerarquía al del que pida el certificado.</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Cuando los documentos existentes en el expediente de un miembro de la Armada no justifiquen su tiempo de servicios, se le concederá un plazo que no será menor de dos meses ni mayor de cuatro, contados a partir de la fecha en que oficialmente se le haga la comunicación respectiva, para que aporte las pruebas necesarias. Si en el plazo concedido no aportare las pruebas requeridas sólo se le reconocerá el tiempo de servicios del que haya elementos justificados legalmente.</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En el caso de que, en los expedientes específicos no exista comprobación alguna o se presuman datos falsos, se recurrirá a la documentación existente en los archivos; cuando la comprobación de estancias en campaña, no esté debidamente aclarada se recurrirá al historial de la unidad o establecimiento a que el interesado perteneció.</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Al cerrarse las hojas de servicios, la unidad administrativa correspondiente las certificará, expresando el motivo que originó el trámite.</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El personal de la Armada de México comprobará su edad:</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 copia certificada del acta del Registro Civil que consigne su nacimiento;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 falta del documento anterior, con copia certificada de la fe de bautismo del interesado, cotejada por Notario Público o por autoridad que legalmente los sustituya,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 falta de los anteriores, con prueba documental consistente en la constancia que obre en el expediente oficial, relacionada con la edad que manifestó el interesado al ingresar a la Armada de México, aunada en caso necesario a la pericial que permita determinar su edad clínica.</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A todo individuo de la Armada al causar alta en alguna unidad o establecimiento, deberá abrírsele una hoja de actuación o memorial de servicios, según corresponda, que fundamentalmente contendrán los siguientes datos: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Generales del militar;</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Ascensos obtenidos;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Premios y recompensas;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Campañas y acciones de guerra;</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Castigos que ha sufrido;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Faltas temporales y sus causas;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Conocimientos especiales;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Cargos y comisiones desempeñados;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Conceptos del organismo disciplinario;</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Cómputo total de servicios;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Cómputo anual de servicios, y</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Conceptos particulares del Comandante, Director o del Superior que corresponda.</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Al cerrarse las hojas de actuación y memoriales de servicio, el Jefe del Detall de la unidad o establecimiento que corresponda certificará los datos asentados.</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Los procedimientos para formular, calificar y tramitar las hojas de actuación y memoriales de servicios se especificarán en el reglamento correspondiente.</w:t>
      </w:r>
    </w:p>
    <w:p>
      <w:pPr>
        <w:pStyle w:val="Texto"/>
        <w:spacing w:lineRule="auto" w:line="240" w:before="0" w:after="0"/>
        <w:rPr>
          <w:sz w:val="20"/>
        </w:rPr>
      </w:pPr>
      <w:r>
        <w:rPr>
          <w:sz w:val="20"/>
        </w:rPr>
      </w:r>
    </w:p>
    <w:p>
      <w:pPr>
        <w:pStyle w:val="Texto"/>
        <w:spacing w:lineRule="auto" w:line="240" w:before="0" w:after="0"/>
        <w:ind w:hanging="0" w:end="0"/>
        <w:jc w:val="center"/>
        <w:rPr>
          <w:b/>
          <w:bCs/>
          <w:sz w:val="22"/>
        </w:rPr>
      </w:pPr>
      <w:r>
        <w:rPr>
          <w:b/>
          <w:bCs/>
          <w:sz w:val="22"/>
        </w:rPr>
        <w:t>Capítulo III</w:t>
      </w:r>
    </w:p>
    <w:p>
      <w:pPr>
        <w:pStyle w:val="Texto"/>
        <w:spacing w:lineRule="auto" w:line="240" w:before="0" w:after="0"/>
        <w:ind w:hanging="0" w:end="0"/>
        <w:jc w:val="center"/>
        <w:rPr>
          <w:b/>
          <w:bCs/>
          <w:sz w:val="22"/>
        </w:rPr>
      </w:pPr>
      <w:r>
        <w:rPr>
          <w:b/>
          <w:bCs/>
          <w:sz w:val="22"/>
        </w:rPr>
        <w:t>Cómputo de Servicios</w:t>
      </w:r>
    </w:p>
    <w:p>
      <w:pPr>
        <w:pStyle w:val="Texto"/>
        <w:spacing w:lineRule="auto" w:line="240" w:before="0" w:after="0"/>
        <w:ind w:hanging="0" w:end="0"/>
        <w:jc w:val="center"/>
        <w:rPr>
          <w:b/>
          <w:bCs/>
          <w:sz w:val="20"/>
        </w:rPr>
      </w:pPr>
      <w:r>
        <w:rPr>
          <w:b/>
          <w:bCs/>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Los abonos y las deducciones de tiempo a que se refiere esta Ley, se anotarán en las hojas de servicios y extractos de antecedentes al cerrarse estos documentos.</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De acuerdo a lo dispuesto en este Capítulo, el tiempo de servicios puede estar sujeto a deducciones o abonos; la antigüedad en la jerarquía sólo lo será en deducciones.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tiempo de servicios prestado por un elemento de la Armada de México, se abonará de la forma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computará tiempo doble, la duración de: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Campañas u operaciones de guerra;</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Singladuras;</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Horas de servicios en áreas de radiología o nucleares;</w:t>
      </w:r>
    </w:p>
    <w:p>
      <w:pPr>
        <w:pStyle w:val="Texto"/>
        <w:spacing w:lineRule="auto" w:line="240" w:before="0" w:after="0"/>
        <w:rPr>
          <w:sz w:val="20"/>
        </w:rPr>
      </w:pPr>
      <w:r>
        <w:rPr>
          <w:sz w:val="20"/>
        </w:rPr>
      </w:r>
    </w:p>
    <w:p>
      <w:pPr>
        <w:pStyle w:val="Texto"/>
        <w:spacing w:lineRule="auto" w:line="240" w:before="0" w:after="0"/>
        <w:rPr/>
      </w:pPr>
      <w:r>
        <w:rPr>
          <w:b/>
          <w:sz w:val="20"/>
        </w:rPr>
        <w:t xml:space="preserve">d) </w:t>
      </w:r>
      <w:r>
        <w:rPr>
          <w:sz w:val="20"/>
        </w:rPr>
        <w:t>Vigilancia y protección de instalaciones núcleo-eléctricas, y</w:t>
      </w:r>
    </w:p>
    <w:p>
      <w:pPr>
        <w:pStyle w:val="Texto"/>
        <w:spacing w:lineRule="auto" w:line="240" w:before="0" w:after="0"/>
        <w:rPr>
          <w:sz w:val="20"/>
        </w:rPr>
      </w:pPr>
      <w:r>
        <w:rPr>
          <w:sz w:val="20"/>
        </w:rPr>
      </w:r>
    </w:p>
    <w:p>
      <w:pPr>
        <w:pStyle w:val="Texto"/>
        <w:spacing w:lineRule="auto" w:line="240" w:before="0" w:after="0"/>
        <w:rPr/>
      </w:pPr>
      <w:r>
        <w:rPr>
          <w:b/>
          <w:sz w:val="20"/>
        </w:rPr>
        <w:t xml:space="preserve">e) </w:t>
      </w:r>
      <w:r>
        <w:rPr>
          <w:sz w:val="20"/>
        </w:rPr>
        <w:t>Horas de servicios en atención a enfermos infectocontagiosos.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Con tiempo extra de un día por cuatro horas en: </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Vuelo, e</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Inmersión.</w:t>
      </w:r>
    </w:p>
    <w:p>
      <w:pPr>
        <w:pStyle w:val="Texto"/>
        <w:spacing w:lineRule="auto" w:line="240" w:before="0" w:after="0"/>
        <w:rPr>
          <w:sz w:val="20"/>
        </w:rPr>
      </w:pPr>
      <w:r>
        <w:rPr>
          <w:sz w:val="20"/>
        </w:rPr>
      </w:r>
    </w:p>
    <w:p>
      <w:pPr>
        <w:pStyle w:val="Texto"/>
        <w:spacing w:lineRule="auto" w:line="240" w:before="0" w:after="0"/>
        <w:rPr>
          <w:sz w:val="20"/>
        </w:rPr>
      </w:pPr>
      <w:r>
        <w:rPr>
          <w:sz w:val="20"/>
        </w:rPr>
        <w:t>El control del cómputo de doble tiempo, se realizará sujetándose a los manuales de procedimientos específicos.</w:t>
      </w:r>
    </w:p>
    <w:p>
      <w:pPr>
        <w:pStyle w:val="Texto"/>
        <w:spacing w:lineRule="auto" w:line="240" w:before="0" w:after="0"/>
        <w:rPr>
          <w:sz w:val="20"/>
        </w:rPr>
      </w:pPr>
      <w:r>
        <w:rPr>
          <w:sz w:val="20"/>
        </w:rPr>
      </w:r>
    </w:p>
    <w:p>
      <w:pPr>
        <w:pStyle w:val="Texto"/>
        <w:spacing w:lineRule="auto" w:line="240" w:before="0" w:after="0"/>
        <w:rPr>
          <w:sz w:val="20"/>
        </w:rPr>
      </w:pPr>
      <w:r>
        <w:rPr>
          <w:sz w:val="20"/>
        </w:rPr>
        <w:t>Las horas de servicios a que se refieren las fracciones I y II de este artículo, se refieren al tiempo en que el personal durante una jornada se encuentra expuesto a riesgos.</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A los miembros de la Armada de México, que se hayan encontrado en cualquiera de las situaciones siguientes se les harán las deducciones en el tiempo de servicios y de la antigüedad en la jerarquía, de acuerdo 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 los que hubieren estado separados del servicio activo por licencia ilimitada, así como por haber permanecido sustraídos del servicio por cualquier causa no imputable a la Armada de México, el tiempo que dure la licencia o substracción;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 los que hayan sido sentenciados con pena privativa de la libertad, se les deducirá:</w:t>
      </w:r>
    </w:p>
    <w:p>
      <w:pPr>
        <w:pStyle w:val="Texto"/>
        <w:spacing w:lineRule="auto" w:line="240" w:before="0" w:after="0"/>
        <w:rPr>
          <w:sz w:val="20"/>
        </w:rPr>
      </w:pPr>
      <w:r>
        <w:rPr>
          <w:sz w:val="20"/>
        </w:rPr>
      </w:r>
    </w:p>
    <w:p>
      <w:pPr>
        <w:pStyle w:val="Texto"/>
        <w:spacing w:lineRule="auto" w:line="240" w:before="0" w:after="0"/>
        <w:rPr/>
      </w:pPr>
      <w:r>
        <w:rPr>
          <w:b/>
          <w:sz w:val="20"/>
        </w:rPr>
        <w:t xml:space="preserve">a) </w:t>
      </w:r>
      <w:r>
        <w:rPr>
          <w:sz w:val="20"/>
        </w:rPr>
        <w:t>Del tiempo de servicios, todo el de la sentencia, con excepción del que hayan prestado en el servicio activo, ya sea porque hayan obtenido su libertad preparatoria o se les haya sustituido la pena por amonestación, y</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De la antigüedad, todo el tiempo de la sentencia, excepto cuando se les sustituya la pena por amonestación.</w:t>
      </w:r>
    </w:p>
    <w:p>
      <w:pPr>
        <w:pStyle w:val="Texto"/>
        <w:spacing w:lineRule="auto" w:line="240" w:before="0" w:after="0"/>
        <w:rPr>
          <w:sz w:val="20"/>
        </w:rPr>
      </w:pPr>
      <w:r>
        <w:rPr>
          <w:sz w:val="20"/>
        </w:rPr>
      </w:r>
    </w:p>
    <w:p>
      <w:pPr>
        <w:pStyle w:val="Texto"/>
        <w:spacing w:lineRule="auto" w:line="240" w:before="0" w:after="0"/>
        <w:rPr/>
      </w:pPr>
      <w:r>
        <w:rPr>
          <w:b/>
          <w:sz w:val="20"/>
        </w:rPr>
        <w:t xml:space="preserve">c) </w:t>
      </w:r>
      <w:r>
        <w:rPr>
          <w:sz w:val="20"/>
        </w:rPr>
        <w:t>En caso de inhabilitación, se deducirá de uno y de otra todo el tiempo de ésta, así como el de la duración en caso de suspensión.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 los que hayan disfrutado de retiro, se les descontará de la antigüedad y tiempo de servicios todo el que duró esta situación;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 los que hayan hecho uso de licencia con motivo de enfermedad contraída por el alcoholismo o por el uso de estupefacientes se les deducirá de la antigüedad y tiempo de servicios, todo el que dure la licencia;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 los que hayan estado sujetos a proceso en el que se dicte resolución de sobreseimiento, por retiro de acción penal, se le deducirá en el tiempo de sus servicios y antigüedad todo el de la duración del procedimiento;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A los que hayan estado sujetos a proceso, en el que se pronuncie sentencia que declare extinguida la acción penal por prescripción o extinguida la pena por el mismo motivo, se les deducirá en la antigüedad y tiempo de servicios; en el primer caso, el tiempo marcado para la prescripción del delito; y en el segundo, todo el tiempo requerido para realizar esa prescripción, más el que transcurra en presentarse, y</w:t>
      </w:r>
    </w:p>
    <w:p>
      <w:pPr>
        <w:pStyle w:val="Texto"/>
        <w:spacing w:lineRule="auto" w:line="240" w:before="0" w:after="0"/>
        <w:rPr>
          <w:sz w:val="20"/>
        </w:rPr>
      </w:pPr>
      <w:r>
        <w:rPr>
          <w:sz w:val="20"/>
        </w:rPr>
      </w:r>
    </w:p>
    <w:p>
      <w:pPr>
        <w:pStyle w:val="Texto"/>
        <w:spacing w:lineRule="auto" w:line="240" w:before="0" w:after="0"/>
        <w:rPr/>
      </w:pPr>
      <w:r>
        <w:rPr>
          <w:b/>
          <w:sz w:val="20"/>
        </w:rPr>
        <w:t xml:space="preserve">VII.- </w:t>
      </w:r>
      <w:r>
        <w:rPr>
          <w:sz w:val="20"/>
        </w:rPr>
        <w:t>A los que hubieren disfrutado de licencia extraordinaria para asuntos particulares.</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No se deducirán del tiempo de servicios, ni de la antigüedad en la jerarquía, el de la duración de un proceso cuando haya recaído sentencia absolutoria.</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A quien se le hubiere concedido licencia extraordinaria para el desempeño de algún cargo de elección popular, licencia por edad límite o pasare a situación de depósito, no se le deducirá del tiempo de servicios ni de la antigüedad en la jerarquía.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12-06-2009</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El tiempo de servicios se perderá totalmente: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Por sentencia del juez competente que imponga como pena la destitución de empleo e inhabilitación para volver al servicio,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Por baja que haya sido motivada por resolución de organismo disciplinario.</w:t>
      </w:r>
    </w:p>
    <w:p>
      <w:pPr>
        <w:pStyle w:val="Texto"/>
        <w:spacing w:lineRule="auto" w:line="240" w:before="0" w:after="0"/>
        <w:rPr>
          <w:sz w:val="20"/>
        </w:rPr>
      </w:pPr>
      <w:r>
        <w:rPr>
          <w:sz w:val="20"/>
        </w:rPr>
      </w:r>
    </w:p>
    <w:p>
      <w:pPr>
        <w:pStyle w:val="Anotacion"/>
        <w:spacing w:before="0" w:after="0"/>
        <w:rPr>
          <w:rFonts w:ascii="Arial" w:hAnsi="Arial" w:cs="Arial"/>
          <w:sz w:val="22"/>
        </w:rPr>
      </w:pPr>
      <w:bookmarkStart w:id="25" w:name="TRANSITORIO"/>
      <w:r>
        <w:rPr>
          <w:rFonts w:cs="Arial" w:ascii="Arial" w:hAnsi="Arial"/>
          <w:sz w:val="22"/>
        </w:rPr>
        <w:t>TRANSITORIO</w:t>
      </w:r>
      <w:bookmarkEnd w:id="25"/>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26" w:name="Único"/>
      <w:r>
        <w:rPr>
          <w:b/>
          <w:bCs/>
          <w:sz w:val="20"/>
        </w:rPr>
        <w:t>ÚNICO</w:t>
      </w:r>
      <w:bookmarkEnd w:id="26"/>
      <w:r>
        <w:rPr>
          <w:b/>
          <w:bCs/>
          <w:sz w:val="20"/>
        </w:rPr>
        <w:t xml:space="preserve">.- </w:t>
      </w:r>
      <w:r>
        <w:rPr>
          <w:sz w:val="20"/>
        </w:rPr>
        <w:t xml:space="preserve">La presente Ley entrará en vigor al día siguiente de su publicación en el </w:t>
      </w:r>
      <w:r>
        <w:rPr>
          <w:b/>
          <w:sz w:val="20"/>
        </w:rPr>
        <w:t>Diario Oficial de la Federación</w:t>
      </w:r>
      <w:r>
        <w:rPr>
          <w:sz w:val="20"/>
        </w:rPr>
        <w:t xml:space="preserve"> y abroga la Ley para la Comprobación, Ajuste y Cómputo de Servicios de la Armada de México publicada el 24 de diciembre de 1984 y sus reformas del 26 de diciembre de 1997.</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abril de 2004.-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Lydia Madero García</w:t>
      </w:r>
      <w:r>
        <w:rPr>
          <w:sz w:val="20"/>
        </w:rPr>
        <w:t>, Secretaria.- Rúbricas.</w:t>
      </w:r>
      <w:r>
        <w:rPr>
          <w:b/>
          <w:sz w:val="20"/>
        </w:rPr>
        <w:t>"</w:t>
      </w:r>
    </w:p>
    <w:p>
      <w:pPr>
        <w:pStyle w:val="Texto"/>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27" w:name="TRANSITORIOS_DE_DECRETOS_DE_REFORMA"/>
      <w:r>
        <w:rPr>
          <w:rFonts w:cs="Tahoma" w:ascii="Tahoma" w:hAnsi="Tahoma"/>
          <w:b/>
          <w:bCs/>
          <w:color w:val="008000"/>
          <w:sz w:val="22"/>
          <w:szCs w:val="22"/>
        </w:rPr>
        <w:t>ARTÍCULOS TRANSITORIOS DE DECRETOS DE REFORMA</w:t>
      </w:r>
      <w:bookmarkEnd w:id="27"/>
    </w:p>
    <w:p>
      <w:pPr>
        <w:pStyle w:val="Normal"/>
        <w:jc w:val="both"/>
        <w:rPr>
          <w:rFonts w:ascii="Arial" w:hAnsi="Arial" w:cs="Arial"/>
          <w:b/>
          <w:bCs/>
          <w:color w:val="008000"/>
          <w:sz w:val="20"/>
          <w:szCs w:val="20"/>
          <w:lang w:val="es-MX"/>
        </w:rPr>
      </w:pPr>
      <w:r>
        <w:rPr>
          <w:rFonts w:cs="Arial" w:ascii="Arial" w:hAnsi="Arial"/>
          <w:b/>
          <w:bCs/>
          <w:color w:val="008000"/>
          <w:sz w:val="20"/>
          <w:szCs w:val="20"/>
          <w:lang w:val="es-MX"/>
        </w:rPr>
      </w:r>
    </w:p>
    <w:p>
      <w:pPr>
        <w:pStyle w:val="Textoindependiente2"/>
        <w:spacing w:lineRule="auto" w:line="240" w:before="0" w:after="0"/>
        <w:jc w:val="both"/>
        <w:rPr/>
      </w:pPr>
      <w:r>
        <w:rPr>
          <w:rFonts w:cs="Arial" w:ascii="Arial" w:hAnsi="Arial"/>
          <w:b/>
          <w:sz w:val="22"/>
          <w:szCs w:val="22"/>
        </w:rPr>
        <w:t>DECRETO por el que se reforman y adicionan diversas disposiciones de las Leyes Orgánica del Ejército y Fuerza Aérea Mexicanos; de Ascensos y Recompensas del Ejército y Fuerza Aérea Mexicanos; para la Comprobación, Ajuste y Cómputo de Servicios en el Ejército y Fuerza Aérea Mexicanos; Orgánica de la Armada de México; de Ascensos de la Armada de México; y para la Comprobación, Ajuste y Cómputo de Servicios de la Armada de México</w:t>
      </w:r>
      <w:r>
        <w:rPr>
          <w:rFonts w:cs="Arial" w:ascii="Arial" w:hAnsi="Arial"/>
          <w:b/>
          <w:bCs/>
          <w:sz w:val="22"/>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rFonts w:cs="Arial"/>
          <w:sz w:val="16"/>
          <w:szCs w:val="16"/>
        </w:rPr>
      </w:pPr>
      <w:r>
        <w:rPr>
          <w:rFonts w:cs="Arial"/>
          <w:sz w:val="16"/>
          <w:szCs w:val="16"/>
        </w:rPr>
        <w:t>Publicado en el Diario Oficial de la Federación el 12 de junio de 2009</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pPr>
      <w:r>
        <w:rPr>
          <w:b/>
          <w:sz w:val="20"/>
        </w:rPr>
        <w:t>Artículo Sexto.-</w:t>
      </w:r>
      <w:r>
        <w:rPr>
          <w:sz w:val="20"/>
        </w:rPr>
        <w:t xml:space="preserve"> Se reforma el artículo 24, de la Ley para la Comprobación, Ajuste y Cómputo de Servicios de la Armada de México,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r>
        <w:rPr>
          <w:b/>
          <w:sz w:val="20"/>
          <w:szCs w:val="20"/>
        </w:rPr>
        <w:t>Artículo 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Segundo.-</w:t>
      </w:r>
      <w:r>
        <w:rPr>
          <w:sz w:val="20"/>
          <w:szCs w:val="20"/>
        </w:rPr>
        <w:t xml:space="preserve"> Se derogan todas las disposiciones legales, reglamentarias y administrativas que se opongan a este Decreto.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21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Margarita Arenas Guzman</w:t>
      </w:r>
      <w:r>
        <w:rPr>
          <w:sz w:val="20"/>
          <w:szCs w:val="20"/>
        </w:rPr>
        <w:t xml:space="preserve">, Secretaria.- Sen. </w:t>
      </w:r>
      <w:r>
        <w:rPr>
          <w:b/>
          <w:sz w:val="20"/>
          <w:szCs w:val="20"/>
        </w:rPr>
        <w:t>Gabino Cué Monteagudo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junio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Tahoma">
    <w:charset w:val="00" w:characterSet="windows-1252"/>
    <w:family w:val="swiss"/>
    <w:pitch w:val="variable"/>
  </w:font>
  <w:font w:name="Liberation Sans">
    <w:altName w:val="Arial"/>
    <w:charset w:val="01" w:characterSet="utf-8"/>
    <w:family w:val="swiss"/>
    <w:pitch w:val="variable"/>
  </w:font>
  <w:font w:name="CG Palacio (WN)">
    <w:charset w:val="00" w:characterSet="windows-1252"/>
    <w:family w:val="roman"/>
    <w:pitch w:val="default"/>
  </w:font>
  <w:font w:name="Courier New">
    <w:charset w:val="00" w:characterSet="windows-1252"/>
    <w:family w:val="modern"/>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4609863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PARA LA COMPROBACIÓN, AJUSTE Y CÓMPUTO DE SERVICIOS DE LA ARMADA DE MÉXICO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12-06-2009</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tabs>
        <w:tab w:val="clear" w:pos="706"/>
        <w:tab w:val="left" w:pos="720" w:leader="none"/>
      </w:tabs>
      <w:overflowPunct w:val="false"/>
      <w:autoSpaceDE w:val="false"/>
      <w:spacing w:lineRule="exact" w:line="240"/>
      <w:jc w:val="center"/>
      <w:outlineLvl w:val="0"/>
    </w:pPr>
    <w:rPr>
      <w:rFonts w:ascii="Courier;Courier New" w:hAnsi="Courier;Courier New" w:cs="Courier;Courier New"/>
      <w:b/>
      <w:szCs w:val="20"/>
      <w:lang w:val="es-ES_tradnl"/>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b/>
    </w:rPr>
  </w:style>
  <w:style w:type="character" w:styleId="WW8Num2z0">
    <w:name w:val="WW8Num2z0"/>
    <w:qFormat/>
    <w:rPr>
      <w:b/>
    </w:rPr>
  </w:style>
  <w:style w:type="character" w:styleId="WW8Num3z0">
    <w:name w:val="WW8Num3z0"/>
    <w:qFormat/>
    <w:rPr>
      <w:b/>
    </w:rPr>
  </w:style>
  <w:style w:type="character" w:styleId="Fuentedeprrafopredeter">
    <w:name w:val="Fuente de párrafo predeter."/>
    <w:qFormat/>
    <w:rPr/>
  </w:style>
  <w:style w:type="character" w:styleId="INCISOCar">
    <w:name w:val="INCISO Car"/>
    <w:basedOn w:val="Fuentedeprrafopredeter"/>
    <w:qFormat/>
    <w:rPr>
      <w:rFonts w:ascii="Arial" w:hAnsi="Arial" w:cs="Arial"/>
      <w:sz w:val="18"/>
      <w:szCs w:val="18"/>
      <w:lang w:val="es-ES" w:bidi="ar-SA"/>
    </w:rPr>
  </w:style>
  <w:style w:type="character" w:styleId="TextoCar">
    <w:name w:val="Texto Car"/>
    <w:basedOn w:val="Fuentedeprrafopredeter"/>
    <w:qFormat/>
    <w:rPr>
      <w:rFonts w:ascii="Arial" w:hAnsi="Arial" w:cs="Arial"/>
      <w:sz w:val="18"/>
      <w:szCs w:val="18"/>
      <w:lang w:val="es-ES" w:bidi="ar-SA"/>
    </w:rPr>
  </w:style>
  <w:style w:type="character" w:styleId="PageNumber">
    <w:name w:val="page number"/>
    <w:basedOn w:val="Fuentedeprrafopredeter"/>
    <w:rPr/>
  </w:style>
  <w:style w:type="character" w:styleId="AnotacionCar">
    <w:name w:val="Anotacion Car"/>
    <w:basedOn w:val="Fuentedeprrafopredeter"/>
    <w:qFormat/>
    <w:rPr>
      <w:rFonts w:cs="Arial"/>
      <w:b/>
      <w:sz w:val="18"/>
      <w:szCs w:val="18"/>
      <w:lang w:val="es-ES" w:bidi="ar-SA"/>
    </w:rPr>
  </w:style>
  <w:style w:type="character" w:styleId="EncabezadoCar">
    <w:name w:val="Encabezado Car"/>
    <w:basedOn w:val="Fuentedeprrafopredeter"/>
    <w:qFormat/>
    <w:rPr>
      <w:sz w:val="24"/>
      <w:szCs w:val="24"/>
      <w:lang w:val="es-ES"/>
    </w:rPr>
  </w:style>
  <w:style w:type="character" w:styleId="PiedepginaCar">
    <w:name w:val="Pie de página Car"/>
    <w:basedOn w:val="Fuentedeprrafopredeter"/>
    <w:qFormat/>
    <w:rPr>
      <w:sz w:val="24"/>
      <w:szCs w:val="24"/>
      <w:lang w:val="es-ES"/>
    </w:rPr>
  </w:style>
  <w:style w:type="character" w:styleId="MapadeldocumentoCar">
    <w:name w:val="Mapa del documento Car"/>
    <w:basedOn w:val="Fuentedeprrafopredeter"/>
    <w:qFormat/>
    <w:rPr>
      <w:rFonts w:ascii="Tahoma" w:hAnsi="Tahoma" w:cs="Tahoma"/>
      <w:sz w:val="16"/>
      <w:szCs w:val="16"/>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tabs>
        <w:tab w:val="clear" w:pos="706"/>
        <w:tab w:val="left" w:pos="720" w:leader="none"/>
      </w:tabs>
      <w:overflowPunct w:val="false"/>
      <w:autoSpaceDE w:val="false"/>
      <w:spacing w:lineRule="exact" w:line="240"/>
      <w:jc w:val="both"/>
      <w:textAlignment w:val="baseline"/>
    </w:pPr>
    <w:rPr>
      <w:rFonts w:ascii="Courier;Courier New" w:hAnsi="Courier;Courier New" w:cs="Courier;Courier New"/>
      <w:szCs w:val="20"/>
      <w:lang w:val="es-ES_tradn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Texto">
    <w:name w:val="Texto"/>
    <w:basedOn w:val="ROMANOS"/>
    <w:qFormat/>
    <w:pPr>
      <w:tabs>
        <w:tab w:val="clear" w:pos="720"/>
      </w:tabs>
      <w:ind w:firstLine="288" w:start="0" w:end="0"/>
    </w:pPr>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
    <w:qFormat/>
    <w:pPr>
      <w:pBdr>
        <w:bottom w:val="double" w:sz="4" w:space="1" w:color="000000"/>
      </w:pBdr>
      <w:tabs>
        <w:tab w:val="center" w:pos="4464" w:leader="none"/>
        <w:tab w:val="right" w:pos="8582" w:leader="none"/>
      </w:tabs>
      <w:spacing w:lineRule="auto" w:line="240"/>
      <w:ind w:hanging="0" w:start="288" w:end="288"/>
    </w:pPr>
    <w:rPr>
      <w:rFonts w:ascii="Times New Roman" w:hAnsi="Times New Roman" w:cs="Times New Roman"/>
    </w:rPr>
  </w:style>
  <w:style w:type="paragraph" w:styleId="Footer">
    <w:name w:val="footer"/>
    <w:basedOn w:val="Normal"/>
    <w:pPr>
      <w:tabs>
        <w:tab w:val="clear" w:pos="706"/>
        <w:tab w:val="center" w:pos="4252" w:leader="none"/>
        <w:tab w:val="right" w:pos="8504" w:leader="none"/>
      </w:tabs>
    </w:pPr>
    <w:rPr/>
  </w:style>
  <w:style w:type="paragraph" w:styleId="Estilo1">
    <w:name w:val="Estilo1"/>
    <w:basedOn w:val="Normal"/>
    <w:qFormat/>
    <w:pPr>
      <w:spacing w:lineRule="exact" w:line="220"/>
      <w:ind w:firstLine="144" w:start="0" w:end="0"/>
    </w:pPr>
    <w:rPr>
      <w:rFonts w:ascii="Arial" w:hAnsi="Arial" w:cs="Arial"/>
      <w:b/>
      <w:sz w:val="16"/>
      <w:szCs w:val="16"/>
    </w:rPr>
  </w:style>
  <w:style w:type="paragraph" w:styleId="w">
    <w:name w:val="w"/>
    <w:qFormat/>
    <w:pPr>
      <w:widowControl w:val="false"/>
      <w:tabs>
        <w:tab w:val="clear" w:pos="706"/>
        <w:tab w:val="right" w:pos="3876" w:leader="dot"/>
      </w:tabs>
      <w:bidi w:val="0"/>
      <w:spacing w:lineRule="exact" w:line="216" w:before="0" w:after="80"/>
      <w:ind w:hanging="346" w:start="562" w:end="0"/>
      <w:jc w:val="both"/>
    </w:pPr>
    <w:rPr>
      <w:rFonts w:ascii="Arial" w:hAnsi="Arial" w:cs="Arial" w:eastAsia="Songti SC"/>
      <w:color w:val="auto"/>
      <w:sz w:val="18"/>
      <w:szCs w:val="18"/>
      <w:lang w:val="en-US" w:eastAsia="zh-CN" w:bidi="hi-IN"/>
    </w:rPr>
  </w:style>
  <w:style w:type="paragraph" w:styleId="tt">
    <w:name w:val="tt"/>
    <w:basedOn w:val="Texto"/>
    <w:qFormat/>
    <w:pPr>
      <w:tabs>
        <w:tab w:val="right" w:pos="8827" w:leader="dot"/>
      </w:tabs>
      <w:ind w:hanging="912" w:start="1200" w:end="0"/>
    </w:pPr>
    <w:rPr/>
  </w:style>
  <w:style w:type="paragraph" w:styleId="ES">
    <w:name w:val="ES"/>
    <w:basedOn w:val="Texto"/>
    <w:qFormat/>
    <w:pPr>
      <w:pBdr>
        <w:bottom w:val="single" w:sz="4" w:space="1" w:color="000000"/>
      </w:pBdr>
      <w:ind w:hanging="0" w:start="288" w:end="0"/>
      <w:jc w:val="center"/>
    </w:pPr>
    <w:rPr>
      <w:b/>
      <w:lang w:val="es-MX"/>
    </w:rPr>
  </w:style>
  <w:style w:type="paragraph" w:styleId="SHC">
    <w:name w:val="SHC"/>
    <w:basedOn w:val="Texto"/>
    <w:qFormat/>
    <w:pPr>
      <w:tabs>
        <w:tab w:val="left" w:pos="3360" w:leader="none"/>
        <w:tab w:val="center" w:pos="7085" w:leader="none"/>
        <w:tab w:val="right" w:pos="8755" w:leader="none"/>
      </w:tabs>
      <w:ind w:hanging="0" w:start="120" w:end="0"/>
      <w:jc w:val="start"/>
    </w:pPr>
    <w:rPr>
      <w:color w:val="000000"/>
      <w:sz w:val="15"/>
      <w:szCs w:val="15"/>
      <w:lang w:val="es-MX"/>
    </w:rPr>
  </w:style>
  <w:style w:type="paragraph" w:styleId="sumindi">
    <w:name w:val="sumindi"/>
    <w:basedOn w:val="Normal"/>
    <w:qFormat/>
    <w:pPr>
      <w:tabs>
        <w:tab w:val="clear" w:pos="706"/>
        <w:tab w:val="right" w:pos="4230" w:leader="none"/>
      </w:tabs>
      <w:spacing w:lineRule="exact" w:line="216" w:before="0" w:after="101"/>
      <w:ind w:firstLine="288" w:start="0" w:end="0"/>
      <w:jc w:val="both"/>
    </w:pPr>
    <w:rPr>
      <w:rFonts w:ascii="Arial" w:hAnsi="Arial" w:cs="Arial"/>
      <w:sz w:val="18"/>
      <w:szCs w:val="18"/>
      <w:lang w:val="es-MX"/>
    </w:rPr>
  </w:style>
  <w:style w:type="paragraph" w:styleId="Z">
    <w:name w:val="Z"/>
    <w:qFormat/>
    <w:pPr>
      <w:widowControl w:val="false"/>
      <w:bidi w:val="0"/>
      <w:spacing w:lineRule="exact" w:line="216" w:before="0" w:after="80"/>
      <w:ind w:hanging="504" w:start="1152" w:end="0"/>
      <w:jc w:val="both"/>
    </w:pPr>
    <w:rPr>
      <w:rFonts w:ascii="Arial" w:hAnsi="Arial" w:cs="Arial" w:eastAsia="Songti SC"/>
      <w:color w:val="auto"/>
      <w:sz w:val="18"/>
      <w:szCs w:val="18"/>
      <w:lang w:val="en-US" w:eastAsia="zh-CN" w:bidi="hi-IN"/>
    </w:rPr>
  </w:style>
  <w:style w:type="paragraph" w:styleId="subin">
    <w:name w:val="subin"/>
    <w:basedOn w:val="Texto"/>
    <w:qFormat/>
    <w:pPr>
      <w:ind w:hanging="360" w:start="1440" w:end="0"/>
    </w:pPr>
    <w:rPr/>
  </w:style>
  <w:style w:type="paragraph" w:styleId="x">
    <w:name w:val="x"/>
    <w:basedOn w:val="Texto"/>
    <w:qFormat/>
    <w:pPr>
      <w:tabs>
        <w:tab w:val="right" w:pos="5040" w:leader="dot"/>
        <w:tab w:val="center" w:pos="7440" w:leader="none"/>
      </w:tabs>
      <w:ind w:hanging="216" w:start="504" w:end="3802"/>
    </w:pPr>
    <w:rPr>
      <w:szCs w:val="20"/>
    </w:rPr>
  </w:style>
  <w:style w:type="paragraph" w:styleId="q">
    <w:name w:val="q"/>
    <w:qFormat/>
    <w:pPr>
      <w:widowControl w:val="false"/>
      <w:tabs>
        <w:tab w:val="clear" w:pos="706"/>
        <w:tab w:val="center" w:pos="1080" w:leader="none"/>
      </w:tabs>
      <w:bidi w:val="0"/>
      <w:spacing w:lineRule="exact" w:line="216" w:before="0" w:after="101"/>
      <w:ind w:hanging="720" w:start="1440" w:end="0"/>
      <w:jc w:val="both"/>
    </w:pPr>
    <w:rPr>
      <w:rFonts w:ascii="Arial" w:hAnsi="Arial" w:cs="Arial" w:eastAsia="Songti SC"/>
      <w:color w:val="auto"/>
      <w:sz w:val="18"/>
      <w:szCs w:val="18"/>
      <w:lang w:val="en-US" w:eastAsia="zh-CN" w:bidi="hi-IN"/>
    </w:rPr>
  </w:style>
  <w:style w:type="paragraph" w:styleId="es1">
    <w:name w:val="es1"/>
    <w:qFormat/>
    <w:pPr>
      <w:widowControl w:val="false"/>
      <w:pBdr>
        <w:bottom w:val="single" w:sz="4" w:space="1" w:color="000000"/>
      </w:pBdr>
      <w:bidi w:val="0"/>
      <w:spacing w:lineRule="exact" w:line="216" w:before="0" w:after="101"/>
      <w:ind w:hanging="0" w:start="288" w:end="0"/>
      <w:jc w:val="center"/>
    </w:pPr>
    <w:rPr>
      <w:rFonts w:ascii="Arial" w:hAnsi="Arial" w:cs="Arial" w:eastAsia="Songti SC"/>
      <w:b/>
      <w:color w:val="auto"/>
      <w:sz w:val="18"/>
      <w:szCs w:val="18"/>
      <w:lang w:val="es-MX" w:eastAsia="zh-CN" w:bidi="hi-IN"/>
    </w:rPr>
  </w:style>
  <w:style w:type="paragraph" w:styleId="z1">
    <w:name w:val="z1"/>
    <w:basedOn w:val="Texto"/>
    <w:qFormat/>
    <w:pPr>
      <w:tabs>
        <w:tab w:val="right" w:pos="8827" w:leader="dot"/>
      </w:tabs>
      <w:ind w:hanging="1037" w:start="1325" w:end="0"/>
    </w:pPr>
    <w:rPr>
      <w:b/>
      <w:lang w:val="es-MX"/>
    </w:rPr>
  </w:style>
  <w:style w:type="paragraph" w:styleId="d">
    <w:name w:val="d"/>
    <w:basedOn w:val="Texto"/>
    <w:qFormat/>
    <w:pPr>
      <w:spacing w:lineRule="auto" w:line="240" w:before="0" w:after="100"/>
      <w:ind w:hanging="0" w:start="0" w:end="0"/>
      <w:jc w:val="center"/>
    </w:pPr>
    <w:rPr>
      <w:b/>
      <w:lang w:val="es-MX"/>
    </w:rPr>
  </w:style>
  <w:style w:type="paragraph" w:styleId="zz">
    <w:name w:val="zz"/>
    <w:basedOn w:val="z1"/>
    <w:qFormat/>
    <w:pPr>
      <w:tabs>
        <w:tab w:val="left" w:pos="2880" w:leader="none"/>
        <w:tab w:val="left" w:pos="5160" w:leader="none"/>
        <w:tab w:val="left" w:pos="6240" w:leader="none"/>
        <w:tab w:val="center" w:pos="8280" w:leader="none"/>
        <w:tab w:val="right" w:pos="8827" w:leader="dot"/>
      </w:tabs>
    </w:pPr>
    <w:rPr/>
  </w:style>
  <w:style w:type="paragraph" w:styleId="s">
    <w:name w:val="s"/>
    <w:basedOn w:val="Texto"/>
    <w:qFormat/>
    <w:pPr>
      <w:tabs>
        <w:tab w:val="right" w:pos="8827" w:leader="dot"/>
      </w:tabs>
      <w:ind w:hanging="475" w:start="1800" w:end="0"/>
    </w:pPr>
    <w:rPr>
      <w:b/>
      <w:lang w:val="en-US"/>
    </w:rPr>
  </w:style>
  <w:style w:type="paragraph" w:styleId="ver">
    <w:name w:val="ver"/>
    <w:basedOn w:val="Texto"/>
    <w:qFormat/>
    <w:pPr>
      <w:tabs>
        <w:tab w:val="left" w:pos="3000" w:leader="none"/>
        <w:tab w:val="left" w:pos="3960" w:leader="none"/>
      </w:tabs>
      <w:ind w:hanging="4152" w:start="4440" w:end="0"/>
      <w:jc w:val="start"/>
    </w:pPr>
    <w:rPr>
      <w:lang w:val="es-ES_tradnl"/>
    </w:rPr>
  </w:style>
  <w:style w:type="paragraph" w:styleId="cl">
    <w:name w:val="cl"/>
    <w:basedOn w:val="Texto"/>
    <w:qFormat/>
    <w:pPr>
      <w:tabs>
        <w:tab w:val="left" w:pos="1800" w:leader="none"/>
        <w:tab w:val="left" w:pos="3120" w:leader="none"/>
        <w:tab w:val="left" w:pos="3960" w:leader="none"/>
      </w:tabs>
      <w:ind w:hanging="3715" w:start="4003" w:end="0"/>
      <w:jc w:val="start"/>
    </w:pPr>
    <w:rPr>
      <w:b/>
    </w:rPr>
  </w:style>
  <w:style w:type="paragraph" w:styleId="est">
    <w:name w:val="est"/>
    <w:basedOn w:val="Texto"/>
    <w:qFormat/>
    <w:pPr>
      <w:pBdr>
        <w:bottom w:val="single" w:sz="4" w:space="1" w:color="000000"/>
      </w:pBdr>
      <w:ind w:hanging="0" w:start="288" w:end="0"/>
      <w:jc w:val="center"/>
    </w:pPr>
    <w:rPr>
      <w:b/>
    </w:rPr>
  </w:style>
  <w:style w:type="paragraph" w:styleId="ROMANOSCar">
    <w:name w:val="ROMANOS Car"/>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m">
    <w:name w:val="m"/>
    <w:qFormat/>
    <w:pPr>
      <w:widowControl w:val="false"/>
      <w:pBdr>
        <w:top w:val="single" w:sz="6" w:space="1" w:color="000000"/>
        <w:bottom w:val="single" w:sz="6" w:space="1" w:color="000000"/>
      </w:pBdr>
      <w:tabs>
        <w:tab w:val="clear" w:pos="706"/>
        <w:tab w:val="right" w:pos="8827" w:leader="dot"/>
      </w:tabs>
      <w:bidi w:val="0"/>
      <w:spacing w:lineRule="exact" w:line="216" w:before="0" w:after="101"/>
      <w:ind w:hanging="0" w:start="288" w:end="0"/>
      <w:jc w:val="both"/>
    </w:pPr>
    <w:rPr>
      <w:rFonts w:ascii="Arial" w:hAnsi="Arial" w:cs="Arial" w:eastAsia="Songti SC"/>
      <w:b/>
      <w:color w:val="auto"/>
      <w:sz w:val="18"/>
      <w:szCs w:val="18"/>
      <w:lang w:val="en-US" w:eastAsia="zh-CN" w:bidi="hi-IN"/>
    </w:rPr>
  </w:style>
  <w:style w:type="paragraph" w:styleId="3">
    <w:name w:val="3"/>
    <w:qFormat/>
    <w:pPr>
      <w:widowControl w:val="false"/>
      <w:bidi w:val="0"/>
      <w:spacing w:lineRule="exact" w:line="216" w:before="0" w:after="101"/>
      <w:ind w:hanging="480" w:start="2040" w:end="0"/>
      <w:jc w:val="both"/>
    </w:pPr>
    <w:rPr>
      <w:rFonts w:ascii="Arial" w:hAnsi="Arial" w:cs="Arial" w:eastAsia="Songti SC"/>
      <w:b/>
      <w:color w:val="auto"/>
      <w:sz w:val="18"/>
      <w:szCs w:val="18"/>
      <w:lang w:val="en-US" w:eastAsia="zh-CN" w:bidi="hi-IN"/>
    </w:rPr>
  </w:style>
  <w:style w:type="paragraph" w:styleId="sal">
    <w:name w:val="sal"/>
    <w:basedOn w:val="Texto"/>
    <w:qFormat/>
    <w:pPr>
      <w:tabs>
        <w:tab w:val="center" w:pos="7440" w:leader="none"/>
      </w:tabs>
      <w:ind w:hanging="0" w:start="360" w:end="3802"/>
    </w:pPr>
    <w:rPr>
      <w:b/>
      <w:bCs/>
      <w:szCs w:val="20"/>
    </w:rPr>
  </w:style>
  <w:style w:type="paragraph" w:styleId="tari">
    <w:name w:val="tari"/>
    <w:basedOn w:val="Texto"/>
    <w:qFormat/>
    <w:pPr>
      <w:ind w:hanging="0" w:start="0" w:end="3802"/>
      <w:jc w:val="center"/>
    </w:pPr>
    <w:rPr>
      <w:b/>
      <w:bCs/>
      <w:szCs w:val="20"/>
    </w:rPr>
  </w:style>
  <w:style w:type="paragraph" w:styleId="NormalWeb">
    <w:name w:val="Normal (Web)"/>
    <w:basedOn w:val="Normal"/>
    <w:qFormat/>
    <w:pPr>
      <w:spacing w:before="280" w:after="280"/>
    </w:pPr>
    <w:rPr>
      <w:color w:val="000000"/>
    </w:rPr>
  </w:style>
  <w:style w:type="paragraph" w:styleId="Decreto">
    <w:name w:val="Decreto"/>
    <w:basedOn w:val="Normal"/>
    <w:qFormat/>
    <w:pPr>
      <w:jc w:val="both"/>
    </w:pPr>
    <w:rPr>
      <w:rFonts w:ascii="Courier;Courier New" w:hAnsi="Courier;Courier New" w:cs="Courier New"/>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Heading1"/>
    <w:qFormat/>
    <w:pPr>
      <w:keepNext w:val="false"/>
      <w:numPr>
        <w:ilvl w:val="0"/>
        <w:numId w:val="0"/>
      </w:numPr>
      <w:tabs>
        <w:tab w:val="clear" w:pos="720"/>
      </w:tabs>
      <w:overflowPunct w:val="true"/>
      <w:autoSpaceDE w:val="true"/>
      <w:spacing w:lineRule="atLeast" w:line="216"/>
      <w:outlineLvl w:val="9"/>
    </w:pPr>
    <w:rPr>
      <w:rFonts w:ascii="CG Palacio (WN)" w:hAnsi="CG Palacio (WN)" w:cs="CG Palacio (WN)"/>
      <w:sz w:val="28"/>
    </w:rPr>
  </w:style>
  <w:style w:type="paragraph" w:styleId="Textodeglobo">
    <w:name w:val="Texto de globo"/>
    <w:basedOn w:val="Normal"/>
    <w:qFormat/>
    <w:pPr/>
    <w:rPr>
      <w:rFonts w:ascii="Tahoma" w:hAnsi="Tahoma" w:cs="Tahoma"/>
      <w:sz w:val="16"/>
      <w:szCs w:val="16"/>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extoindependiente2">
    <w:name w:val="Texto independiente 2"/>
    <w:basedOn w:val="Normal"/>
    <w:qFormat/>
    <w:pPr>
      <w:spacing w:lineRule="auto" w:line="480" w:before="0" w:after="120"/>
    </w:pPr>
    <w:rPr/>
  </w:style>
  <w:style w:type="paragraph" w:styleId="ANOTACION1">
    <w:name w:val="ANOTACION1"/>
    <w:basedOn w:val="Normal"/>
    <w:qFormat/>
    <w:pPr>
      <w:spacing w:lineRule="atLeast" w:line="216" w:before="101" w:after="101"/>
      <w:jc w:val="center"/>
    </w:pPr>
    <w:rPr>
      <w:b/>
      <w:sz w:val="18"/>
      <w:szCs w:val="20"/>
      <w:lang w:val="es-ES_tradnl"/>
    </w:rPr>
  </w:style>
  <w:style w:type="paragraph" w:styleId="Textosinformato">
    <w:name w:val="Texto sin formato"/>
    <w:basedOn w:val="Normal"/>
    <w:qFormat/>
    <w:pPr/>
    <w:rPr>
      <w:rFonts w:ascii="Courier New" w:hAnsi="Courier New" w:cs="Courier New"/>
      <w:sz w:val="20"/>
      <w:szCs w:val="20"/>
    </w:rPr>
  </w:style>
  <w:style w:type="paragraph" w:styleId="Mapadeldocumento">
    <w:name w:val="Mapa del documento"/>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2009-07-07T12:05:00Z</dcterms:created>
  <dc:creator>Cámara de Diputados del H. Congreso de la Unión</dc:creator>
  <dc:description/>
  <cp:keywords/>
  <dc:language>en-US</dc:language>
  <cp:lastModifiedBy>Armando Torres</cp:lastModifiedBy>
  <cp:lastPrinted>2004-06-11T13:23:00Z</cp:lastPrinted>
  <dcterms:modified xsi:type="dcterms:W3CDTF">2018-09-20T12:06:00Z</dcterms:modified>
  <cp:revision>6</cp:revision>
  <dc:subject/>
  <dc:title>Ley para la Comprobación, Ajuste y Cómputo de Servicios de la Armada de México</dc:title>
</cp:coreProperties>
</file>