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LA TRANSPARENCIA, PREVENCIÓN Y COMBATE DE PRÁCTICAS INDEBIDAS EN MATERIA DE CONTRATACIÓN DE PUBLICIDAD</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3 de junio de 2021</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itulo1"/>
        <w:pBdr>
          <w:bottom w:val="nil"/>
        </w:pBdr>
        <w:spacing w:before="0" w:after="0"/>
        <w:jc w:val="center"/>
        <w:rPr>
          <w:rFonts w:ascii="Tahoma" w:hAnsi="Tahoma" w:eastAsia="MS Mincho;Yu Gothic UI" w:cs="Tahoma"/>
          <w:bCs/>
          <w:color w:val="CC3300"/>
          <w:sz w:val="16"/>
          <w:szCs w:val="16"/>
          <w:lang w:val="es-ES" w:eastAsia="es-ES"/>
        </w:rPr>
      </w:pPr>
      <w:r>
        <w:rPr>
          <w:rFonts w:eastAsia="MS Mincho;Yu Gothic UI" w:cs="Tahoma" w:ascii="Tahoma" w:hAnsi="Tahoma"/>
          <w:bCs/>
          <w:color w:val="CC3300"/>
          <w:sz w:val="16"/>
          <w:szCs w:val="16"/>
          <w:lang w:val="es-ES" w:eastAsia="es-ES"/>
        </w:rPr>
        <w:t>Declaratoria de invalidez del Decreto DOF 03-06-2021 que expidió esta Ley, por Sentencia de la SCJN notificada el 12-06-2023 y publicada en el Diario Oficial de la Federación el 22 de diciembre de 2023</w:t>
      </w:r>
    </w:p>
    <w:p>
      <w:pPr>
        <w:pStyle w:val="Titulo1"/>
        <w:pBdr>
          <w:bottom w:val="nil"/>
        </w:pBdr>
        <w:spacing w:before="0" w:after="0"/>
        <w:rPr>
          <w:rFonts w:ascii="Arial" w:hAnsi="Arial" w:eastAsia="MS Mincho;Yu Gothic UI" w:cs="Arial"/>
          <w:b w:val="false"/>
          <w:bCs/>
          <w:color w:val="CC3300"/>
          <w:sz w:val="20"/>
          <w:szCs w:val="20"/>
          <w:lang w:val="es-ES" w:eastAsia="es-ES"/>
        </w:rPr>
      </w:pPr>
      <w:r>
        <w:rPr>
          <w:rFonts w:eastAsia="MS Mincho;Yu Gothic UI" w:cs="Arial" w:ascii="Arial" w:hAnsi="Arial"/>
          <w:b w:val="false"/>
          <w:bCs/>
          <w:color w:val="CC3300"/>
          <w:sz w:val="20"/>
          <w:szCs w:val="20"/>
          <w:lang w:val="es-ES" w:eastAsia="es-ES"/>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color w:val="CC3300"/>
          <w:sz w:val="20"/>
        </w:rPr>
        <w:t>[</w:t>
      </w: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PARA LA TRANSPARENCIA, PREVENCIÓN Y COMBATE DE PRÁCTICAS INDEBIDAS EN MATERIA DE CONTRATACIÓN DE PUBLICIDAD.</w:t>
      </w:r>
    </w:p>
    <w:p>
      <w:pPr>
        <w:pStyle w:val="Normal"/>
        <w:jc w:val="end"/>
        <w:rPr>
          <w:rFonts w:eastAsia="MS Mincho;Yu Gothic UI"/>
          <w:i/>
          <w:i/>
          <w:iCs/>
          <w:color w:val="FF0000"/>
          <w:sz w:val="16"/>
          <w:szCs w:val="16"/>
          <w:lang w:val="es-MX" w:eastAsia="es-ES"/>
        </w:rPr>
      </w:pPr>
      <w:r>
        <w:rPr>
          <w:rFonts w:eastAsia="MS Mincho;Yu Gothic UI"/>
          <w:i/>
          <w:iCs/>
          <w:color w:val="FF0000"/>
          <w:sz w:val="16"/>
          <w:szCs w:val="16"/>
          <w:lang w:val="es-MX" w:eastAsia="es-ES"/>
        </w:rPr>
        <w:t xml:space="preserve">Decreto que expide la Ley para la Transparencia, Prevención y Combate de Prácticas Indebidas en Materia de Contratación de Publicidad, declarado inválido por sentencia de la SCJN a Controversia Constitucional notificada para efectos legales el 12-06-2023 y publicada </w:t>
        <w:br/>
        <w:t>DOF 22-12-2023</w:t>
      </w:r>
    </w:p>
    <w:p>
      <w:pPr>
        <w:pStyle w:val="Texto"/>
        <w:spacing w:lineRule="auto" w:line="240" w:before="0" w:after="0"/>
        <w:rPr>
          <w:rFonts w:eastAsia="MS Mincho;Yu Gothic UI"/>
          <w:i/>
          <w:i/>
          <w:iCs/>
          <w:color w:val="FF0000"/>
          <w:sz w:val="20"/>
          <w:szCs w:val="16"/>
          <w:lang w:val="es-ES_tradnl" w:eastAsia="es-ES"/>
        </w:rPr>
      </w:pPr>
      <w:r>
        <w:rPr>
          <w:rFonts w:eastAsia="MS Mincho;Yu Gothic UI"/>
          <w:i/>
          <w:iCs/>
          <w:color w:val="FF0000"/>
          <w:sz w:val="20"/>
          <w:szCs w:val="16"/>
          <w:lang w:val="es-ES_tradnl" w:eastAsia="es-ES"/>
        </w:rPr>
      </w:r>
    </w:p>
    <w:p>
      <w:pPr>
        <w:pStyle w:val="Texto"/>
        <w:spacing w:lineRule="auto" w:line="240" w:before="0" w:after="0"/>
        <w:rPr/>
      </w:pPr>
      <w:r>
        <w:rPr>
          <w:b/>
          <w:sz w:val="20"/>
          <w:lang w:val="es-ES_tradnl"/>
        </w:rPr>
        <w:t xml:space="preserve">Artículo Único.- </w:t>
      </w:r>
      <w:r>
        <w:rPr>
          <w:sz w:val="20"/>
          <w:lang w:val="es-ES_tradnl"/>
        </w:rPr>
        <w:t>Se expide la Ley para la Transparencia, Prevención y Combate de Prácticas Indebidas en Materia de Contratación de Publicidad.</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PARA LA TRANSPARENCIA, PREVENCIÓN Y COMBATE DE PRÁCTICAS INDEBIDAS EN MATERIA DE CONTRATACIÓN DE PUBLICIDAD</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presente Ley es de orden público, interés general y de aplicación en todo el territorio nacional. En atención a los objetivos establecidos en el artículo 28 de la Constitución Política de los Estados Unidos Mexicanos, tiene por objeto promover la transparencia en el mercado de la publicidad, así como la prevención y el combate a prácticas comerciales que constituyen una ventaja indebida a favor de personas determinadas en perjuicio de los anunciantes y, en última instancia, de los consumidores.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La presente Ley será aplicable a los actos, contratos, convenios, acuerdos o procedimientos, cualquiera que sea el nombre o denominación que se les dé, que celebren entre sí, dos o más de los agentes económicos a los que se refieren las fracciones I, II y VII del artículo 3 de este ordenamiento.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 xml:space="preserve">. </w:t>
      </w:r>
      <w:r>
        <w:rPr>
          <w:sz w:val="20"/>
          <w:lang w:val="es-ES_tradnl"/>
        </w:rPr>
        <w:t>Para los efectos de esta Ley se entenderá por: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t>Agencia de Medios o Agencia:</w:t>
      </w:r>
      <w:r>
        <w:rPr>
          <w:sz w:val="20"/>
          <w:lang w:val="es-ES_tradnl"/>
        </w:rPr>
        <w:t xml:space="preserve"> Persona física o moral cuya actividad principal es la creación, diseño, planificación y ejecución de campañas publicitarias, así como la contratación de espacios publicitarios por cuenta y orden de anunciantes;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t>Anunciante:</w:t>
      </w:r>
      <w:r>
        <w:rPr>
          <w:sz w:val="20"/>
          <w:lang w:val="es-ES_tradnl"/>
        </w:rPr>
        <w:t xml:space="preserve"> Persona física o moral en cuyo interés se realiza la publicidad para dar a conocer las características o beneficios de sus productos y/o servicios;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III.</w:t>
        <w:tab/>
        <w:t>Contrato de publicidad:</w:t>
      </w:r>
      <w:r>
        <w:rPr>
          <w:sz w:val="20"/>
          <w:lang w:val="es-ES_tradnl"/>
        </w:rPr>
        <w:t xml:space="preserve"> Acuerdo por el que un Anunciante encomienda a una Agencia, mediante una contraprestación, la creación, planificación, ejecución y difusión de contenidos publicitarios;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IV.</w:t>
        <w:tab/>
        <w:t>Contrato de difusión publicitaria:</w:t>
      </w:r>
      <w:r>
        <w:rPr>
          <w:sz w:val="20"/>
          <w:lang w:val="es-ES_tradnl"/>
        </w:rPr>
        <w:t xml:space="preserve"> Acuerdo por el que, a cambio de una contraprestación, un Medio se obliga en favor de un Anunciante a permitir la utilización de Espacios Publicitarios;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V.</w:t>
        <w:tab/>
        <w:t>Espacio Publicitario:</w:t>
      </w:r>
      <w:r>
        <w:rPr>
          <w:sz w:val="20"/>
          <w:lang w:val="es-ES_tradnl"/>
        </w:rPr>
        <w:t xml:space="preserve"> Lugar o tiempo en los Medios de Comunicación en los que se inserta Publicidad, con el propósito de dar a conocer la existencia o características de un producto o servicio para inducir su comercialización a través de cualquier Medio;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VI.</w:t>
        <w:tab/>
        <w:t xml:space="preserve">Ley: </w:t>
      </w:r>
      <w:r>
        <w:rPr>
          <w:sz w:val="20"/>
          <w:lang w:val="es-ES_tradnl"/>
        </w:rPr>
        <w:t>La Ley para la Transparencia, Prevención y Combate de Prácticas Indebidas en Materia de Contratación de Publicidad;</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VII.</w:t>
        <w:tab/>
        <w:t xml:space="preserve">Medio de Comunicación o Medio: </w:t>
      </w:r>
      <w:r>
        <w:rPr>
          <w:sz w:val="20"/>
          <w:lang w:val="es-ES_tradnl"/>
        </w:rPr>
        <w:t>Persona física o moral que, por medio de ejemplares impresos, las telecomunicaciones, la radiodifusión, las señales satelitales, el Internet, la fibra óptica, el cable o cualquier otro medio de transmisión, difunda espacios publicitarios;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VIII.</w:t>
        <w:tab/>
        <w:t xml:space="preserve">Publicidad: </w:t>
      </w:r>
      <w:r>
        <w:rPr>
          <w:sz w:val="20"/>
          <w:lang w:val="es-ES_tradnl"/>
        </w:rPr>
        <w:t>Actividad que comprende todo proceso de creación, planificación, ejecución y difusión de contenido en espacios publicitarios, por cualquiera de los medios de comunicación señalados en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IX.</w:t>
        <w:tab/>
        <w:t xml:space="preserve">Publicidad Digital: </w:t>
      </w:r>
      <w:r>
        <w:rPr>
          <w:sz w:val="20"/>
          <w:lang w:val="es-ES_tradnl"/>
        </w:rPr>
        <w:t>Lugar que las plataformas digitales conectadas a Internet, como páginas web y aplicaciones móviles, destinan para insertar anuncios publicitarios en línea,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X.</w:t>
        <w:tab/>
        <w:t>Publicidad Digital Programática</w:t>
      </w:r>
      <w:r>
        <w:rPr>
          <w:sz w:val="20"/>
          <w:lang w:val="es-ES_tradnl"/>
        </w:rPr>
        <w:t>: Publicidad Digital vendida a través de mecanismos automatizados, en particular a través de subastas en tiempo real, que establecen como criterio principal de venta el acceso a audiencias con perfiles segmentados.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 xml:space="preserve">. </w:t>
      </w:r>
      <w:r>
        <w:rPr>
          <w:sz w:val="20"/>
          <w:lang w:val="es-ES_tradnl"/>
        </w:rPr>
        <w:t>Una Agencia sólo puede adquirir Espacios Publicitarios por cuenta y orden de un Anunciante y en el marco de un contrato de mandato celebrado por escrito entre el Anunciante y la Agencia. Una Agencia no puede adquirir Espacios Publicitarios por cuenta propia para su posterior reventa a un Anunciante.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El contrato de mandato celebrado entre la Agencia y el Anunciante debe establecer las condiciones de remuneración de la Agencia. La Agencia sólo puede recibir, como remuneración por los servicios prestados al Anunciante, la contraprestación establecida en el contrato de mandato.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Cualquier descuento otorgado por el Medio a la Agencia debe ser transferido integralmente al Anunciante. El Anunciante tiene derecho a controlar la ejecución de la campaña de publicidad.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Ni la Agencia ni terceros utilizados por la Agencia para la prestación de servicios al Anunciante pueden recibir remuneración, comisión o beneficio en especie por parte de un Medio.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Una Agencia que presta servicios a los Anunciantes no puede simultáneamente prestar servicios a los Medios. En todo caso, los servicios prestados a los Medios deben realizarse por una persona que pertenece al mismo grupo económico que la Agencia, pero distinta a esta última.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El Medio deberá enviar la factura por concepto de la venta de los Espacios Publicitarios directamente al Anunciante, aun cuando la Agencia realice el pago en su nombre, conforme a la normatividad en materia fiscal aplicable. Además de la factura, el Medio deberá entregar directamente al Anunciante la información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r>
      <w:r>
        <w:rPr>
          <w:sz w:val="20"/>
          <w:lang w:val="es-ES_tradnl"/>
        </w:rPr>
        <w:t>Las fechas y los lugares de difusión;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r>
      <w:r>
        <w:rPr>
          <w:sz w:val="20"/>
          <w:lang w:val="es-ES_tradnl"/>
        </w:rPr>
        <w:t>Los Espacios Publicitarios difundidos y los formatos utilizados,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III.</w:t>
        <w:tab/>
      </w:r>
      <w:r>
        <w:rPr>
          <w:sz w:val="20"/>
          <w:lang w:val="es-ES_tradnl"/>
        </w:rPr>
        <w:t>Los precios unitarios de los Espacios Publicitarios, incluyendo, en su caso, los montos de cualquier descuento otorgado por el Medio.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proceda, la Agencia deberá oportunamente conciliar la información anterior con el Medio antes de que el Medio envíe al Anunciante la factura y la información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La Agencia que adquiera Publicidad Digital Programática por cuenta y orden de un Anunciante deberá comunicar a la mayor brevedad posible al Medio vendedor de los Espacios Publicitarios la identidad de dicho Anunciante y entregarle, durante el mes siguiente a la difusión de los Espacios Publicitarios considerados, la información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r>
      <w:r>
        <w:rPr>
          <w:sz w:val="20"/>
          <w:lang w:val="es-ES_tradnl"/>
        </w:rPr>
        <w:t>Los resultados de los servicios prestados en términos de los indicadores cuantitativos de desempeño acordados entre el Anunciante y la Agencia antes del lanzamiento de una campaña publicitaria, tales como número de impresiones, visibilidad y duración de las mismas, parámetros de alcance y frecuencia, número de interacciones, clicks y</w:t>
      </w:r>
      <w:r>
        <w:rPr>
          <w:i/>
          <w:sz w:val="20"/>
          <w:lang w:val="es-ES_tradnl"/>
        </w:rPr>
        <w:t xml:space="preserve"> </w:t>
      </w:r>
      <w:r>
        <w:rPr>
          <w:sz w:val="20"/>
          <w:lang w:val="es-ES_tradnl"/>
        </w:rPr>
        <w:t>acciones;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r>
      <w:r>
        <w:rPr>
          <w:sz w:val="20"/>
          <w:lang w:val="es-ES_tradnl"/>
        </w:rPr>
        <w:t>Los resultados de los servicios prestados en términos de los criterios acordados entre el Anunciante y la Agencia antes del lanzamiento de una campaña publicitaria, en materias tales como objetivos generales, segmentación de la audiencia, métodos de optimización, eficacia de los medios utilizados, relación costo/beneficio;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III.</w:t>
        <w:tab/>
      </w:r>
      <w:r>
        <w:rPr>
          <w:sz w:val="20"/>
          <w:lang w:val="es-ES_tradnl"/>
        </w:rPr>
        <w:t>Los instrumentos tecnológicos propios y los servicios de terceros utilizados en la prestación de los servicios, precisando su identidad y experiencia; el Anunciante podrá tener acceso a los instrumentos de evaluación a disposición de la Agencia,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IV.</w:t>
        <w:tab/>
      </w:r>
      <w:r>
        <w:rPr>
          <w:sz w:val="20"/>
          <w:lang w:val="es-ES_tradnl"/>
        </w:rPr>
        <w:t>Los medios utilizados para evitar la difusión de los Espacios Publicitarios en plataformas o entornos señalados por el Anunciante como perjudiciales a su imagen.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w:t>
      </w:r>
      <w:r>
        <w:rPr>
          <w:sz w:val="20"/>
          <w:lang w:val="es-ES_tradnl"/>
        </w:rPr>
        <w:t xml:space="preserve"> La Agencia debe informar por escrito al Anunciante de las relaciones financieras que la Agencia, o el grupo económico al que pertenece, tiene con el o los Medios que pretende contratar.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En caso de que la contratación se lleve a cabo por un ente público, sin perjuicio de las disposiciones de esta Ley, se deberá atender a los criterios, principios y disposiciones previstas en la Ley General de Comunicación Social y demás ordenamientos aplicables en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Por infracciones a la presente Ley, se podrán aplicar las siguientes sanciones: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r>
      <w:r>
        <w:rPr>
          <w:sz w:val="20"/>
          <w:lang w:val="es-ES_tradnl"/>
        </w:rPr>
        <w:tab/>
        <w:t>Multa hasta por el equivalente de dos por ciento de sus ingresos a:</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a)</w:t>
        <w:tab/>
      </w:r>
      <w:r>
        <w:rPr>
          <w:sz w:val="20"/>
          <w:lang w:val="es-ES_tradnl"/>
        </w:rPr>
        <w:t>El Anunciante o la Agencia que no celebre un contrato en los términos del artículo 4 de esta Ley;</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b)</w:t>
        <w:tab/>
      </w:r>
      <w:r>
        <w:rPr>
          <w:sz w:val="20"/>
          <w:lang w:val="es-ES_tradnl"/>
        </w:rPr>
        <w:t>El Medio que no entregue directamente al Anunciante la factura y la información asociada en los términos del artículo 6 de la presente Ley, y</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c)</w:t>
        <w:tab/>
      </w:r>
      <w:r>
        <w:rPr>
          <w:sz w:val="20"/>
          <w:lang w:val="es-ES_tradnl"/>
        </w:rPr>
        <w:t>La Agencia que no entregue la información establecida en el artículo 7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r>
      <w:r>
        <w:rPr>
          <w:sz w:val="20"/>
          <w:lang w:val="es-ES_tradnl"/>
        </w:rPr>
        <w:t>Multa hasta por el equivalente de cuatro por ciento de sus ingresos a:</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a)</w:t>
        <w:tab/>
      </w:r>
      <w:r>
        <w:rPr>
          <w:sz w:val="20"/>
          <w:lang w:val="es-ES_tradnl"/>
        </w:rPr>
        <w:t>La Agencia que adquiera Espacios Publicitarios por cuenta propia para su posterior reventa a un Anunciante;</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b)</w:t>
        <w:tab/>
      </w:r>
      <w:r>
        <w:rPr>
          <w:sz w:val="20"/>
          <w:lang w:val="es-ES_tradnl"/>
        </w:rPr>
        <w:t>La Agencia que recomiende a un Anunciante, o contrate por cuenta y orden de éste, un Medio con el que tiene relaciones financieras, si deliberadamente comunica al Anunciante información falsa o distorsionada sobre las características del Medio referido o de los Medios que le pueden ser sustitutos;</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c)</w:t>
        <w:tab/>
      </w:r>
      <w:r>
        <w:rPr>
          <w:sz w:val="20"/>
          <w:lang w:val="es-ES_tradnl"/>
        </w:rPr>
        <w:t>La Agencia que, actuando por cuenta y orden de un Anunciante, reciba remuneración, comisión o beneficio en especie alguno de cualquier persona distinta de dicho Anunciante;</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d)</w:t>
        <w:tab/>
      </w:r>
      <w:r>
        <w:rPr>
          <w:sz w:val="20"/>
          <w:lang w:val="es-ES_tradnl"/>
        </w:rPr>
        <w:t>El Medio que entregue remuneración, comisión o beneficio en especie alguno a una Agencia que actúa por cuenta y orden de un Anunciante o a terceros utilizados por la Agencia para la prestación de los servicios al Anunciante, y</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e)</w:t>
        <w:tab/>
      </w:r>
      <w:r>
        <w:rPr>
          <w:sz w:val="20"/>
          <w:lang w:val="es-ES_tradnl"/>
        </w:rPr>
        <w:t>La Agencia que preste directamente servicios a un Medio en términos contrarios a lo señalado en el artículo 5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reincidencia, se podrá imponer una multa hasta por el doble de los montos señalados en el presente artículo.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 xml:space="preserve">. </w:t>
      </w:r>
      <w:r>
        <w:rPr>
          <w:sz w:val="20"/>
          <w:lang w:val="es-ES_tradnl"/>
        </w:rPr>
        <w:t>Las denuncias derivadas de las disposiciones de la presente Ley se sustanciarán y procesarán por la Comisión Federal de Competencia Económica de conformidad con los procedimientos previstos por la Ley Federal de Competencia Económica.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Las sanciones administrativas a que se refiere la presente Ley serán sin perjuicio de las responsabilidades civiles y penales que procedan.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 xml:space="preserve">. </w:t>
      </w:r>
      <w:r>
        <w:rPr>
          <w:sz w:val="20"/>
          <w:lang w:val="es-ES_tradnl"/>
        </w:rPr>
        <w:t>Las disposiciones establecidas en la presente Ley son aplicables con independencia del lugar de establecimiento de la Agencia, si el Anunciante tiene residencia en México y el anuncio es difundido en el territorio nacional.</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13" w:name="TRANSITORIO"/>
      <w:r>
        <w:rPr>
          <w:rFonts w:cs="Arial" w:ascii="Arial" w:hAnsi="Arial"/>
          <w:sz w:val="22"/>
          <w:szCs w:val="22"/>
        </w:rPr>
        <w:t>Transitorio</w:t>
      </w:r>
      <w:bookmarkEnd w:id="13"/>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4" w:name="Único"/>
      <w:r>
        <w:rPr>
          <w:b/>
          <w:sz w:val="20"/>
          <w:lang w:val="es-ES_tradnl"/>
        </w:rPr>
        <w:t>Único</w:t>
      </w:r>
      <w:bookmarkEnd w:id="14"/>
      <w:r>
        <w:rPr>
          <w:b/>
          <w:sz w:val="20"/>
          <w:lang w:val="es-ES_tradnl"/>
        </w:rPr>
        <w:t xml:space="preserve">. </w:t>
      </w:r>
      <w:r>
        <w:rPr>
          <w:sz w:val="20"/>
          <w:lang w:val="es-ES_tradnl"/>
        </w:rPr>
        <w:t>La presente Ley entrará en vigor a los 90 días siguientes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30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Lilia Margarita Valdez Martínez</w:t>
      </w:r>
      <w:r>
        <w:rPr>
          <w:sz w:val="20"/>
          <w:lang w:val="es-MX"/>
        </w:rPr>
        <w:t xml:space="preserve">, Secretaria.- Dip. </w:t>
      </w:r>
      <w:r>
        <w:rPr>
          <w:b/>
          <w:sz w:val="20"/>
          <w:lang w:val="es-MX"/>
        </w:rPr>
        <w:t>Martha Hortencia Garay Cadena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color w:val="CC3300"/>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rPr>
          <w:bCs/>
          <w:color w:val="CC3300"/>
          <w:sz w:val="20"/>
          <w:lang w:val="es-MX" w:eastAsia="es-MX"/>
        </w:rPr>
        <w:t>]</w:t>
      </w:r>
      <w:r>
        <w:br w:type="page"/>
      </w:r>
    </w:p>
    <w:p>
      <w:pPr>
        <w:pStyle w:val="Textosinformato"/>
        <w:jc w:val="center"/>
        <w:rPr>
          <w:rFonts w:ascii="Tahoma" w:hAnsi="Tahoma" w:eastAsia="MS Mincho;Yu Gothic UI" w:cs="Tahoma"/>
          <w:b/>
          <w:bCs/>
          <w:color w:val="008000"/>
          <w:sz w:val="22"/>
          <w:szCs w:val="22"/>
        </w:rPr>
      </w:pPr>
      <w:bookmarkStart w:id="15" w:name="RESOLUTIVOS_DE_SENTENCIA_SCJN"/>
      <w:r>
        <w:rPr>
          <w:rFonts w:eastAsia="MS Mincho;Yu Gothic UI" w:cs="Tahoma" w:ascii="Tahoma" w:hAnsi="Tahoma"/>
          <w:b/>
          <w:bCs/>
          <w:color w:val="008000"/>
          <w:sz w:val="22"/>
          <w:szCs w:val="22"/>
        </w:rPr>
        <w:t>RESOLUTIVOS DE SENTENCIA EN CONTROVERSIA CONSTITUCIONAL</w:t>
      </w:r>
      <w:bookmarkEnd w:id="15"/>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Footer"/>
        <w:tabs>
          <w:tab w:val="clear" w:pos="4419"/>
          <w:tab w:val="clear" w:pos="8838"/>
        </w:tabs>
        <w:jc w:val="both"/>
        <w:rPr/>
      </w:pPr>
      <w:r>
        <w:rPr>
          <w:rFonts w:cs="Arial" w:ascii="Arial" w:hAnsi="Arial"/>
          <w:b/>
          <w:bCs/>
          <w:sz w:val="22"/>
          <w:szCs w:val="20"/>
        </w:rPr>
        <w:t>PUNTOS RESOLUTIVOS de la sentencia dictada por el Tribunal Pleno de la Suprema Corte de Justicia de la Nación en la Controversia Constitucional 94/2021, promovida por la Comisión Federal de Competencia Económica.</w:t>
      </w:r>
    </w:p>
    <w:p>
      <w:pPr>
        <w:pStyle w:val="Normal"/>
        <w:rPr>
          <w:rFonts w:ascii="Arial" w:hAnsi="Arial" w:cs="Arial"/>
          <w:b/>
          <w:bCs/>
          <w:sz w:val="20"/>
          <w:szCs w:val="20"/>
          <w:highlight w:val="yellow"/>
        </w:rPr>
      </w:pPr>
      <w:r>
        <w:rPr>
          <w:rFonts w:cs="Arial" w:ascii="Arial" w:hAnsi="Arial"/>
          <w:b/>
          <w:bCs/>
          <w:sz w:val="20"/>
          <w:szCs w:val="20"/>
          <w:highlight w:val="yellow"/>
        </w:rPr>
      </w:r>
    </w:p>
    <w:p>
      <w:pPr>
        <w:pStyle w:val="Normal"/>
        <w:jc w:val="center"/>
        <w:rPr/>
      </w:pPr>
      <w:r>
        <w:rPr>
          <w:rFonts w:cs="Arial" w:ascii="Arial" w:hAnsi="Arial"/>
          <w:sz w:val="16"/>
          <w:szCs w:val="20"/>
        </w:rPr>
        <w:t>Notificados al Congreso de la Unión para efectos legales el 12 de junio de 2023</w:t>
      </w:r>
    </w:p>
    <w:p>
      <w:pPr>
        <w:pStyle w:val="Normal"/>
        <w:rPr>
          <w:rFonts w:ascii="Arial" w:hAnsi="Arial" w:cs="Arial"/>
          <w:sz w:val="20"/>
          <w:szCs w:val="20"/>
          <w:highlight w:val="yellow"/>
        </w:rPr>
      </w:pPr>
      <w:r>
        <w:rPr>
          <w:rFonts w:cs="Arial" w:ascii="Arial" w:hAnsi="Arial"/>
          <w:sz w:val="20"/>
          <w:szCs w:val="20"/>
          <w:highlight w:val="yellow"/>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SGA/MOKM/222/2023</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ocho de junio de dos mil veintitrés, resolvió la controversia constitucional 94/2021, promovida por la Comisión Federal de Competencia Económica,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controversia constitucional.</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DECRETO por el que se expide la Ley para la Transparencia, Prevención y Combate de Prácticas Indebidas en Materia de Contratación de Publicidad, publicado en el Diario Oficial de la Federación el tres de junio de dos mil veintiuno, la cual surtirá sus efectos a partir de la notificación de estos puntos resolutivos al Congreso de la Unión, de conformidad con los apartados IX y XI de esta determinación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8 de junio de 2023</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lunes 12 de junio de 2023 a las 11:04 hrs.- Dirección General de Asuntos Jurídicos.- Sello de Recibido.</w:t>
      </w:r>
      <w:r>
        <w:br w:type="page"/>
      </w:r>
    </w:p>
    <w:p>
      <w:pPr>
        <w:pStyle w:val="Footer"/>
        <w:tabs>
          <w:tab w:val="clear" w:pos="4419"/>
          <w:tab w:val="clear" w:pos="8838"/>
        </w:tabs>
        <w:jc w:val="both"/>
        <w:rPr/>
      </w:pPr>
      <w:r>
        <w:rPr>
          <w:rFonts w:cs="Arial" w:ascii="Arial" w:hAnsi="Arial"/>
          <w:b/>
          <w:sz w:val="22"/>
          <w:szCs w:val="22"/>
          <w:lang w:val="es-ES_tradnl"/>
        </w:rPr>
        <w:t xml:space="preserve">SENTENCIA dictada por el </w:t>
      </w:r>
      <w:r>
        <w:rPr>
          <w:rFonts w:cs="Arial" w:ascii="Arial" w:hAnsi="Arial"/>
          <w:b/>
          <w:sz w:val="22"/>
          <w:szCs w:val="22"/>
        </w:rPr>
        <w:t>Tribunal Pleno de la Suprema Corte de Justicia de la Nación en la Controversia Constitucional 94/2021, así como los Votos Particulares de la señora Ministra Loretta Ortiz Ahlf y del señor Ministro Arturo Zaldívar Lelo de Larrea, y Concurrentes de la señora Ministra Ana Margarita Ríos Farjat y del señor Ministro Alberto Pérez Dayán</w:t>
      </w:r>
      <w:r>
        <w:rPr>
          <w:rFonts w:cs="Arial" w:ascii="Arial" w:hAnsi="Arial"/>
          <w:b/>
          <w:bCs/>
          <w:sz w:val="22"/>
          <w:szCs w:val="22"/>
        </w:rPr>
        <w:t>.</w:t>
      </w:r>
    </w:p>
    <w:p>
      <w:pPr>
        <w:pStyle w:val="Normal"/>
        <w:rPr>
          <w:rFonts w:ascii="Arial" w:hAnsi="Arial" w:cs="Arial"/>
          <w:b/>
          <w:bCs/>
          <w:sz w:val="20"/>
          <w:szCs w:val="20"/>
          <w:highlight w:val="yellow"/>
        </w:rPr>
      </w:pPr>
      <w:r>
        <w:rPr>
          <w:rFonts w:cs="Arial" w:ascii="Arial" w:hAnsi="Arial"/>
          <w:b/>
          <w:bCs/>
          <w:sz w:val="20"/>
          <w:szCs w:val="20"/>
          <w:highlight w:val="yellow"/>
        </w:rPr>
      </w:r>
    </w:p>
    <w:p>
      <w:pPr>
        <w:pStyle w:val="Normal"/>
        <w:jc w:val="center"/>
        <w:rPr/>
      </w:pPr>
      <w:r>
        <w:rPr>
          <w:rFonts w:cs="Arial" w:ascii="Arial" w:hAnsi="Arial"/>
          <w:sz w:val="16"/>
          <w:szCs w:val="20"/>
        </w:rPr>
        <w:t>Publicada en el Diario Oficial de la Federación el 22 de diciembre de 2023</w:t>
      </w:r>
    </w:p>
    <w:p>
      <w:pPr>
        <w:pStyle w:val="Normal"/>
        <w:rPr>
          <w:rFonts w:ascii="Arial" w:hAnsi="Arial" w:cs="Arial"/>
          <w:sz w:val="20"/>
          <w:szCs w:val="20"/>
          <w:highlight w:val="yellow"/>
        </w:rPr>
      </w:pPr>
      <w:r>
        <w:rPr>
          <w:rFonts w:cs="Arial" w:ascii="Arial" w:hAnsi="Arial"/>
          <w:sz w:val="20"/>
          <w:szCs w:val="20"/>
          <w:highlight w:val="yellow"/>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5400" w:end="0"/>
        <w:rPr>
          <w:b/>
          <w:sz w:val="20"/>
        </w:rPr>
      </w:pPr>
      <w:r>
        <w:rPr>
          <w:b/>
          <w:sz w:val="20"/>
        </w:rPr>
        <w:t>CONTROVERSIA CONSTITUCIONAL 94/2021</w:t>
      </w:r>
    </w:p>
    <w:p>
      <w:pPr>
        <w:pStyle w:val="Texto"/>
        <w:spacing w:lineRule="auto" w:line="240" w:before="0" w:after="0"/>
        <w:ind w:hanging="0" w:start="5400" w:end="0"/>
        <w:rPr>
          <w:b/>
          <w:sz w:val="20"/>
        </w:rPr>
      </w:pPr>
      <w:r>
        <w:rPr>
          <w:b/>
          <w:sz w:val="20"/>
        </w:rPr>
      </w:r>
    </w:p>
    <w:p>
      <w:pPr>
        <w:pStyle w:val="Texto"/>
        <w:spacing w:lineRule="auto" w:line="240" w:before="0" w:after="0"/>
        <w:ind w:hanging="0" w:start="5400" w:end="0"/>
        <w:rPr>
          <w:b/>
          <w:sz w:val="20"/>
        </w:rPr>
      </w:pPr>
      <w:r>
        <w:rPr>
          <w:b/>
          <w:sz w:val="20"/>
        </w:rPr>
        <w:t>ACTOR: COMISIÓN FEDERAL DE COMPETENCIA ECONÓMICA</w:t>
      </w:r>
    </w:p>
    <w:p>
      <w:pPr>
        <w:pStyle w:val="Texto"/>
        <w:spacing w:lineRule="auto" w:line="240" w:before="0" w:after="0"/>
        <w:ind w:hanging="0" w:start="5400" w:end="0"/>
        <w:rPr>
          <w:b/>
          <w:sz w:val="20"/>
        </w:rPr>
      </w:pPr>
      <w:r>
        <w:rPr>
          <w:b/>
          <w:sz w:val="20"/>
        </w:rPr>
      </w:r>
    </w:p>
    <w:p>
      <w:pPr>
        <w:pStyle w:val="Texto"/>
        <w:spacing w:lineRule="auto" w:line="240" w:before="0" w:after="0"/>
        <w:ind w:hanging="0" w:start="576" w:end="0"/>
        <w:rPr>
          <w:sz w:val="20"/>
        </w:rPr>
      </w:pPr>
      <w:r>
        <w:rPr>
          <w:sz w:val="20"/>
        </w:rPr>
        <w:t>VISTO BUENO</w:t>
      </w:r>
    </w:p>
    <w:p>
      <w:pPr>
        <w:pStyle w:val="Texto"/>
        <w:spacing w:lineRule="auto" w:line="240" w:before="0" w:after="0"/>
        <w:ind w:hanging="0" w:start="576" w:end="0"/>
        <w:rPr>
          <w:sz w:val="20"/>
        </w:rPr>
      </w:pPr>
      <w:r>
        <w:rPr>
          <w:sz w:val="20"/>
        </w:rPr>
        <w:t>SR. MINISTRO</w:t>
      </w:r>
    </w:p>
    <w:p>
      <w:pPr>
        <w:pStyle w:val="Texto"/>
        <w:spacing w:lineRule="auto" w:line="240" w:before="0" w:after="0"/>
        <w:ind w:hanging="0" w:start="576" w:end="0"/>
        <w:rPr>
          <w:b/>
          <w:sz w:val="20"/>
        </w:rPr>
      </w:pPr>
      <w:r>
        <w:rPr>
          <w:b/>
          <w:sz w:val="20"/>
        </w:rPr>
        <w:t>PONENTE: MINISTRO JORGE MARIO PARDO REBOLLEDO</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sz w:val="20"/>
        </w:rPr>
      </w:pPr>
      <w:r>
        <w:rPr>
          <w:sz w:val="20"/>
        </w:rPr>
        <w:t>COTEJÓ</w:t>
      </w:r>
    </w:p>
    <w:p>
      <w:pPr>
        <w:pStyle w:val="Texto"/>
        <w:spacing w:lineRule="auto" w:line="240" w:before="0" w:after="0"/>
        <w:ind w:hanging="0" w:start="576" w:end="0"/>
        <w:rPr>
          <w:b/>
          <w:sz w:val="20"/>
        </w:rPr>
      </w:pPr>
      <w:r>
        <w:rPr>
          <w:b/>
          <w:sz w:val="20"/>
        </w:rPr>
        <w:t>SECRETARIO: GUILLERMO PABLO LÓPEZ ANDRADE</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sz w:val="20"/>
        </w:rPr>
      </w:pPr>
      <w:r>
        <w:rPr>
          <w:sz w:val="20"/>
        </w:rPr>
        <w:t xml:space="preserve">Ciudad de México. Acuerdo del Tribunal Pleno de la Suprema Corte de Justicia de la Nación correspondiente al </w:t>
      </w:r>
      <w:r>
        <w:rPr>
          <w:b/>
          <w:sz w:val="20"/>
        </w:rPr>
        <w:t>ocho de junio de dos mil veintitrés</w:t>
      </w:r>
      <w:r>
        <w:rPr>
          <w:sz w:val="20"/>
        </w:rPr>
        <w:t>.</w:t>
      </w:r>
    </w:p>
    <w:p>
      <w:pPr>
        <w:pStyle w:val="Texto"/>
        <w:spacing w:lineRule="auto" w:line="240" w:before="0" w:after="0"/>
        <w:ind w:hanging="0" w:start="576" w:end="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ind w:hanging="0" w:start="576" w:end="0"/>
        <w:rPr>
          <w:sz w:val="20"/>
        </w:rPr>
      </w:pPr>
      <w:r>
        <w:rPr>
          <w:sz w:val="20"/>
        </w:rPr>
        <w:t>Mediante</w:t>
      </w:r>
      <w:r>
        <w:rPr>
          <w:b/>
          <w:sz w:val="20"/>
        </w:rPr>
        <w:t xml:space="preserve"> </w:t>
      </w:r>
      <w:r>
        <w:rPr>
          <w:sz w:val="20"/>
        </w:rPr>
        <w:t xml:space="preserve">la cual se resuelve la </w:t>
      </w:r>
      <w:r>
        <w:rPr>
          <w:b/>
          <w:sz w:val="20"/>
        </w:rPr>
        <w:t>controversia constitucional</w:t>
      </w:r>
      <w:r>
        <w:rPr>
          <w:sz w:val="20"/>
        </w:rPr>
        <w:t xml:space="preserve"> </w:t>
      </w:r>
      <w:r>
        <w:rPr>
          <w:b/>
          <w:sz w:val="20"/>
        </w:rPr>
        <w:t>94/2021</w:t>
      </w:r>
      <w:r>
        <w:rPr>
          <w:sz w:val="20"/>
        </w:rPr>
        <w:t xml:space="preserve">, promovida por la </w:t>
      </w:r>
      <w:r>
        <w:rPr>
          <w:b/>
          <w:sz w:val="20"/>
        </w:rPr>
        <w:t>Comisión Federal de Competencia Económica (COFECE)</w:t>
      </w:r>
      <w:r>
        <w:rPr>
          <w:sz w:val="20"/>
        </w:rPr>
        <w:t xml:space="preserve"> en contra del </w:t>
      </w:r>
      <w:r>
        <w:rPr>
          <w:b/>
          <w:sz w:val="20"/>
        </w:rPr>
        <w:t>Poder Ejecutivo Federal</w:t>
      </w:r>
      <w:r>
        <w:rPr>
          <w:sz w:val="20"/>
        </w:rPr>
        <w:t xml:space="preserve"> y las Cámaras de </w:t>
      </w:r>
      <w:r>
        <w:rPr>
          <w:b/>
          <w:sz w:val="20"/>
        </w:rPr>
        <w:t>Diputados</w:t>
      </w:r>
      <w:r>
        <w:rPr>
          <w:sz w:val="20"/>
        </w:rPr>
        <w:t xml:space="preserve"> y de </w:t>
      </w:r>
      <w:r>
        <w:rPr>
          <w:b/>
          <w:sz w:val="20"/>
        </w:rPr>
        <w:t>Senadores</w:t>
      </w:r>
      <w:r>
        <w:rPr>
          <w:sz w:val="20"/>
        </w:rPr>
        <w:t xml:space="preserve"> del Congreso de la Unión.</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w:t>
      </w:r>
    </w:p>
    <w:p>
      <w:pPr>
        <w:pStyle w:val="Texto"/>
        <w:spacing w:lineRule="auto" w:line="240" w:before="0" w:after="0"/>
        <w:ind w:hanging="0" w:start="576" w:end="0"/>
        <w:rPr>
          <w:sz w:val="20"/>
        </w:rPr>
      </w:pPr>
      <w:r>
        <w:rPr>
          <w:sz w:val="20"/>
        </w:rPr>
      </w:r>
    </w:p>
    <w:p>
      <w:pPr>
        <w:pStyle w:val="Texto"/>
        <w:spacing w:lineRule="auto" w:line="240" w:before="0" w:after="0"/>
        <w:ind w:hanging="0" w:end="0"/>
        <w:jc w:val="center"/>
        <w:rPr>
          <w:b/>
          <w:sz w:val="20"/>
        </w:rPr>
      </w:pPr>
      <w:r>
        <w:rPr>
          <w:b/>
          <w:sz w:val="20"/>
        </w:rPr>
        <w:t>XI. EFECTOS</w:t>
      </w:r>
    </w:p>
    <w:p>
      <w:pPr>
        <w:pStyle w:val="Texto"/>
        <w:spacing w:lineRule="auto" w:line="240" w:before="0" w:after="0"/>
        <w:ind w:hanging="576" w:start="576" w:end="0"/>
        <w:rPr>
          <w:b/>
          <w:sz w:val="20"/>
        </w:rPr>
      </w:pPr>
      <w:r>
        <w:rPr>
          <w:b/>
          <w:sz w:val="20"/>
        </w:rPr>
      </w:r>
    </w:p>
    <w:p>
      <w:pPr>
        <w:pStyle w:val="Texto"/>
        <w:spacing w:lineRule="auto" w:line="240" w:before="0" w:after="0"/>
        <w:ind w:hanging="576" w:start="576" w:end="0"/>
        <w:rPr/>
      </w:pPr>
      <w:r>
        <w:rPr>
          <w:sz w:val="20"/>
        </w:rPr>
        <w:t>456.</w:t>
        <w:tab/>
        <w:t xml:space="preserve">Los </w:t>
      </w:r>
      <w:r>
        <w:rPr>
          <w:b/>
          <w:sz w:val="20"/>
        </w:rPr>
        <w:t>artículos 41, fracciones IV y V</w:t>
      </w:r>
      <w:r>
        <w:rPr>
          <w:sz w:val="20"/>
        </w:rPr>
        <w:t xml:space="preserve">, y </w:t>
      </w:r>
      <w:r>
        <w:rPr>
          <w:b/>
          <w:sz w:val="20"/>
        </w:rPr>
        <w:t>45</w:t>
      </w:r>
      <w:r>
        <w:rPr>
          <w:sz w:val="20"/>
        </w:rPr>
        <w:t xml:space="preserve"> de la </w:t>
      </w:r>
      <w:r>
        <w:rPr>
          <w:b/>
          <w:sz w:val="20"/>
        </w:rPr>
        <w:t>Ley Reglamentaria de las Fracciones I y II del Artículo 105 de la Constitución Política de los Estados Unidos Mexicanos</w:t>
      </w:r>
      <w:r>
        <w:rPr>
          <w:sz w:val="20"/>
        </w:rPr>
        <w:t xml:space="preserve"> establecen que la sentencia debe contener la fijación de sus alcances y efectos, que surtirán a partir de la fecha en que lo determine la Suprema Corte de Justicia de la Nación y que la declaración de invalidez de las sentencias no tendrá efectos retroactivos, salvo en materia penal.</w:t>
      </w:r>
    </w:p>
    <w:p>
      <w:pPr>
        <w:pStyle w:val="Texto"/>
        <w:spacing w:lineRule="auto" w:line="240" w:before="0" w:after="0"/>
        <w:ind w:hanging="576" w:start="576" w:end="0"/>
        <w:rPr>
          <w:sz w:val="20"/>
        </w:rPr>
      </w:pPr>
      <w:r>
        <w:rPr>
          <w:sz w:val="20"/>
        </w:rPr>
      </w:r>
    </w:p>
    <w:p>
      <w:pPr>
        <w:pStyle w:val="Texto"/>
        <w:spacing w:lineRule="auto" w:line="240" w:before="0" w:after="0"/>
        <w:ind w:hanging="576" w:start="576" w:end="0"/>
        <w:rPr/>
      </w:pPr>
      <w:r>
        <w:rPr>
          <w:sz w:val="20"/>
        </w:rPr>
        <w:t>457.</w:t>
        <w:tab/>
        <w:t xml:space="preserve">Por tanto, de acuerdo con la parte considerativa de este fallo, se declara la invalidez con </w:t>
      </w:r>
      <w:r>
        <w:rPr>
          <w:b/>
          <w:sz w:val="20"/>
        </w:rPr>
        <w:t>efectos generales</w:t>
      </w:r>
      <w:r>
        <w:rPr>
          <w:sz w:val="20"/>
        </w:rPr>
        <w:t xml:space="preserve"> de la totalidad del </w:t>
      </w:r>
      <w:r>
        <w:rPr>
          <w:b/>
          <w:sz w:val="20"/>
        </w:rPr>
        <w:t>“Decreto por el que se expide la Ley para la Transparencia, Prevención y Combate de Prácticas Indebidas en Materia de Contratación de Publicidad”</w:t>
      </w:r>
      <w:r>
        <w:rPr>
          <w:sz w:val="20"/>
        </w:rPr>
        <w:t>, publicado en el Diario Oficial de la Federación el tres de junio de dos mil veintiuno.</w:t>
      </w:r>
    </w:p>
    <w:p>
      <w:pPr>
        <w:pStyle w:val="Texto"/>
        <w:spacing w:lineRule="auto" w:line="240" w:before="0" w:after="0"/>
        <w:ind w:hanging="576" w:start="576" w:end="0"/>
        <w:rPr>
          <w:sz w:val="20"/>
        </w:rPr>
      </w:pPr>
      <w:r>
        <w:rPr>
          <w:sz w:val="20"/>
        </w:rPr>
      </w:r>
    </w:p>
    <w:p>
      <w:pPr>
        <w:pStyle w:val="Texto"/>
        <w:spacing w:lineRule="auto" w:line="240" w:before="0" w:after="0"/>
        <w:ind w:hanging="576" w:start="576" w:end="0"/>
        <w:rPr/>
      </w:pPr>
      <w:r>
        <w:rPr>
          <w:sz w:val="20"/>
        </w:rPr>
        <w:t>458.</w:t>
        <w:tab/>
        <w:t xml:space="preserve">La presente resolución surtirá sus </w:t>
      </w:r>
      <w:r>
        <w:rPr>
          <w:b/>
          <w:sz w:val="20"/>
        </w:rPr>
        <w:t>efectos a partir de la notificación de sus puntos resolutivos</w:t>
      </w:r>
      <w:r>
        <w:rPr>
          <w:sz w:val="20"/>
        </w:rPr>
        <w:t xml:space="preserve"> al Congreso de la Unión.</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sz w:val="20"/>
        </w:rPr>
        <w:t xml:space="preserve">Por lo expuesto y fundado, se </w:t>
      </w:r>
      <w:r>
        <w:rPr>
          <w:b/>
          <w:sz w:val="20"/>
        </w:rPr>
        <w:t>resuelve</w:t>
      </w:r>
      <w:r>
        <w:rPr>
          <w:sz w:val="20"/>
        </w:rPr>
        <w:t>:</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pPr>
      <w:r>
        <w:rPr>
          <w:b/>
          <w:sz w:val="20"/>
        </w:rPr>
        <w:t>PRIMERO</w:t>
      </w:r>
      <w:r>
        <w:rPr>
          <w:sz w:val="20"/>
        </w:rPr>
        <w:t xml:space="preserve">. Es </w:t>
      </w:r>
      <w:r>
        <w:rPr>
          <w:b/>
          <w:sz w:val="20"/>
        </w:rPr>
        <w:t>procedente y fundada</w:t>
      </w:r>
      <w:r>
        <w:rPr>
          <w:sz w:val="20"/>
        </w:rPr>
        <w:t xml:space="preserve"> la presente controversia constitucional.</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pPr>
      <w:r>
        <w:rPr>
          <w:b/>
          <w:sz w:val="20"/>
        </w:rPr>
        <w:t xml:space="preserve">SEGUNDO. </w:t>
      </w:r>
      <w:r>
        <w:rPr>
          <w:sz w:val="20"/>
        </w:rPr>
        <w:t xml:space="preserve">Se declara la </w:t>
      </w:r>
      <w:r>
        <w:rPr>
          <w:b/>
          <w:sz w:val="20"/>
        </w:rPr>
        <w:t>invalidez</w:t>
      </w:r>
      <w:r>
        <w:rPr>
          <w:sz w:val="20"/>
        </w:rPr>
        <w:t xml:space="preserve"> del DECRETO por el que se expide la Ley para la Transparencia, Prevención y Combate de Prácticas Indebidas en Materia de Contratación de Publicidad, publicado en el Diario Oficial de la Federación el tres de junio de dos mil veintiuno, la cual surtirá sus </w:t>
      </w:r>
      <w:r>
        <w:rPr>
          <w:b/>
          <w:sz w:val="20"/>
        </w:rPr>
        <w:t>efectos</w:t>
      </w:r>
      <w:r>
        <w:rPr>
          <w:sz w:val="20"/>
        </w:rPr>
        <w:t xml:space="preserve"> a partir de la notificación de estos puntos resolutivos al Congreso de la Unión, de conformidad con los apartados IX y XI de esta determinación.</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pPr>
      <w:r>
        <w:rPr>
          <w:b/>
          <w:sz w:val="20"/>
        </w:rPr>
        <w:t>TERCERO.</w:t>
      </w:r>
      <w:r>
        <w:rPr>
          <w:sz w:val="20"/>
        </w:rPr>
        <w:t xml:space="preserve"> </w:t>
      </w:r>
      <w:r>
        <w:rPr>
          <w:b/>
          <w:sz w:val="20"/>
        </w:rPr>
        <w:t>Publíquese</w:t>
      </w:r>
      <w:r>
        <w:rPr>
          <w:sz w:val="20"/>
        </w:rPr>
        <w:t xml:space="preserve"> esta resolución en el Diario Oficial de la Federación, así como en el Semanario Judicial de la Federación y su Gaceta.</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pPr>
      <w:r>
        <w:rPr>
          <w:b/>
          <w:sz w:val="20"/>
        </w:rPr>
        <w:t>Notifíquese</w:t>
      </w:r>
      <w:r>
        <w:rPr>
          <w:sz w:val="20"/>
        </w:rPr>
        <w:t>, haciéndolo por medio de oficio a las partes, y, en su oportunidad, archívese el expediente como asunto concluido.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Así lo resolvió el Pleno de la Suprema Corte de Justicia de la Nación:</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b/>
          <w:sz w:val="20"/>
        </w:rPr>
      </w:pPr>
      <w:r>
        <w:rPr>
          <w:b/>
          <w:sz w:val="20"/>
        </w:rPr>
        <w:t>En relación con el punto resolutivo primero:</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sz w:val="20"/>
        </w:rPr>
      </w:pPr>
      <w:r>
        <w:rPr>
          <w:sz w:val="20"/>
        </w:rPr>
        <w:t>Se aprobó por unanimidad de once votos de las señoras Ministras y de los señores Ministros Gutiérrez Ortiz Mena, González Alcántara Carrancá, Ortiz Ahlf, Esquivel Mossa, Aguilar Morales, Pardo Rebolledo, Zaldívar Lelo de Larrea, Ríos Farjat, Laynez Potisek, Pérez Dayán y Presidenta Piña Hernández, respecto de los apartados del I al IV relativos, respectivamente, a los antecedentes y trámite de la demanda, a la competencia, a la precisión de las normas reclamadas y a la oportunidad.</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Se aprobó por mayoría de diez votos de las señoras Ministras y de los señores Ministros Gutiérrez Ortiz Mena, González Alcántara Carrancá, Esquivel Mossa, Aguilar Morales, Pardo Rebolledo, Zaldívar Lelo de Larrea, Ríos Farjat, Laynez Potisek, Pérez Dayán y Presidenta Piña Hernández, respecto de los apartados V, VI y VII relativos, respectivamente, a la legitimación activa, a la legitimación pasiva y a las causas de improcedencia y sobreseimiento. La señora Ministra Ortiz Ahlf votó en contra del apartado V y, en consecuencia, de los apartados VI y VII.</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 respecto del apartado VIII, relativo a la precisión de la litis.</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b/>
          <w:sz w:val="20"/>
        </w:rPr>
      </w:pPr>
      <w:r>
        <w:rPr>
          <w:b/>
          <w:sz w:val="20"/>
        </w:rPr>
        <w:t>En relación con el punto resolutivo segundo:</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sz w:val="20"/>
        </w:rPr>
      </w:pPr>
      <w:r>
        <w:rPr>
          <w:sz w:val="20"/>
        </w:rPr>
        <w:t>Se aprobó por mayoría de ocho votos de las señoras Ministras y de los señores Ministros Gutiérrez Ortiz Mena apartándose de la metodología y únicamente por el vicio alusivo a los plazos para conocer los dictámenes legislativos correspondientes, González Alcántara Carrancá, Aguilar Morales, Pardo Rebolledo apartándose de diversas consideraciones, Ríos Farjat, Laynez Potisek apartándose de la metodología, Pérez Dayán apartándose de la metodología y Presidenta Piña Hernández apartándose de algunas consideraciones, respecto del apartado IX, relativo al análisis del procedimiento legislativo, consistente en declarar la invalidez del DECRETO por el que se expide la Ley para la Transparencia, Prevención y Combate de Prácticas Indebidas en Materia de Contratación de Publicidad. Las señoras Ministras Esquivel Mossa y Ortiz Ahlf y el señor Ministro Zaldívar Lelo de Larrea votaron en contra y anunciaron sendos votos particulares. La señora Ministra y los señores Ministros Gutiérrez Ortiz Mena, Ríos Farjat, Laynez Potisek y Pérez Dayán anunciaron sendos votos concurrentes. El señor Ministro González Alcántara Carrancá reservó su derecho de formular voto concurrente.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 respecto del apartado X, relativo a la afectación a las competencias constitucionales de la COFECE, consistente en determinar que resulta innecesario ocuparse de estos conceptos de invalidez al haberse declarado la invalidez del Decreto impugnado en su totalidad.</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Se aprobó por mayoría de ocho votos de las señoras Ministras y de los señores Ministros Gutiérrez Ortiz Mena, González Alcántara Carrancá, Aguilar Morales, Pardo Rebolledo, Ríos Farjat, Laynez Potisek, Pérez Dayán y Presidenta Piña Hernández, respecto del apartado XI, relativo a los efectos, consistente en determinar que la declaratoria de invalidez surta sus efectos generales a partir de la notificación de los puntos resolutivos de esta sentencia al Congreso de la Unión. Las señoras Ministras Esquivel Mossa y Ortiz Ahlf y el señor Ministro Zaldívar Lelo de Larrea votaron en contra.</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b/>
          <w:sz w:val="20"/>
        </w:rPr>
      </w:pPr>
      <w:r>
        <w:rPr>
          <w:b/>
          <w:sz w:val="20"/>
        </w:rPr>
        <w:t>En relación con el punto resolutivo tercero:</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sz w:val="20"/>
        </w:rPr>
      </w:pPr>
      <w:r>
        <w:rPr>
          <w:sz w:val="20"/>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La señora Ministra Presidenta Piña Hernández declaró que el asunto se resolvió en los términos precisados. Doy fe.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Firman la señora Ministra Presidenta y el señor Ministro Ponente con el Secretario General de Acuerdos, quien da fe.</w:t>
      </w:r>
    </w:p>
    <w:p>
      <w:pPr>
        <w:pStyle w:val="Texto"/>
        <w:spacing w:lineRule="auto" w:line="240" w:before="0" w:after="0"/>
        <w:rPr>
          <w:sz w:val="20"/>
        </w:rPr>
      </w:pPr>
      <w:r>
        <w:rPr>
          <w:sz w:val="20"/>
        </w:rPr>
      </w:r>
    </w:p>
    <w:p>
      <w:pPr>
        <w:pStyle w:val="Texto"/>
        <w:spacing w:lineRule="auto" w:line="240" w:before="0" w:after="0"/>
        <w:rPr/>
      </w:pPr>
      <w:r>
        <w:rPr>
          <w:sz w:val="20"/>
        </w:rPr>
        <w:t xml:space="preserve">Ministra Presidenta, </w:t>
      </w:r>
      <w:r>
        <w:rPr>
          <w:b/>
          <w:sz w:val="20"/>
        </w:rPr>
        <w:t>Norma Lucía Piña Hernández</w:t>
      </w:r>
      <w:r>
        <w:rPr>
          <w:sz w:val="20"/>
        </w:rPr>
        <w:t xml:space="preserve">.- Firmado electrónicamente.- Ministro Ponente, </w:t>
      </w:r>
      <w:r>
        <w:rPr>
          <w:b/>
          <w:sz w:val="20"/>
        </w:rPr>
        <w:t>Jorge Mario Pardo Rebolledo</w:t>
      </w:r>
      <w:r>
        <w:rPr>
          <w:sz w:val="20"/>
        </w:rPr>
        <w:t xml:space="preserve">.- Firmado electrónicamente.- Secretario General de Acuerdos, </w:t>
      </w:r>
      <w:r>
        <w:rPr>
          <w:b/>
          <w:sz w:val="20"/>
        </w:rPr>
        <w:t>Rafael Coello Cetina</w:t>
      </w:r>
      <w:r>
        <w:rPr>
          <w:sz w:val="20"/>
        </w:rPr>
        <w:t>.- Firmado electrónicamente.</w:t>
      </w:r>
    </w:p>
    <w:p>
      <w:pPr>
        <w:pStyle w:val="Texto"/>
        <w:spacing w:lineRule="auto" w:line="240" w:before="0" w:after="0"/>
        <w:rPr>
          <w:sz w:val="20"/>
        </w:rPr>
      </w:pPr>
      <w:r>
        <w:rPr>
          <w:sz w:val="20"/>
        </w:rPr>
      </w:r>
    </w:p>
    <w:p>
      <w:pPr>
        <w:pStyle w:val="Texto"/>
        <w:spacing w:lineRule="auto" w:line="240" w:before="0" w:after="0"/>
        <w:rPr/>
      </w:pPr>
      <w:r>
        <w:rPr>
          <w:sz w:val="20"/>
        </w:rPr>
        <w:t xml:space="preserve">EL LICENCIADO </w:t>
      </w:r>
      <w:r>
        <w:rPr>
          <w:b/>
          <w:sz w:val="20"/>
        </w:rPr>
        <w:t>RAFAEL COELLO CETINA</w:t>
      </w:r>
      <w:r>
        <w:rPr>
          <w:sz w:val="20"/>
        </w:rPr>
        <w:t>, SECRETARIO GENERAL DE ACUERDOS DE LA SUPREMA CORTE DE JUSTICIA DE LA NACIÓN: CERTIFICA: Que la presente copia fotostática constante de ciento un fojas útiles, concuerda fiel y exactamente con el original firmado electrónicamente de la sentencia emitida en la controversia constitucional 94/2021, promovida por la Comisión Federal de Competencia Económica, dictada por el Pleno de la Suprema Corte de Justicia de la Nación en su sesión del ocho de junio de dos mil veintitrés. Se certifica con la finalidad de que se publique en el Diario Oficial de la Federación.- Ciudad de México, a veintiocho de noviembre de dos mil veintitrés.-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Aal">
    <w:charset w:val="00" w:characterSet="windows-1252"/>
    <w:family w:val="swiss"/>
    <w:pitch w:val="default"/>
  </w:font>
  <w:font w:name="Courier New">
    <w:charset w:val="00" w:characterSet="windows-1252"/>
    <w:family w:val="modern"/>
    <w:pitch w:val="default"/>
  </w:font>
  <w:font w:name="Segoe UI">
    <w:charset w:val="00" w:characterSet="windows-1252"/>
    <w:family w:val="swiss"/>
    <w:pitch w:val="variable"/>
  </w:font>
  <w:font w:name="Liberation Sans">
    <w:altName w:val="Arial"/>
    <w:charset w:val="01" w:characterSet="utf-8"/>
    <w:family w:val="swiss"/>
    <w:pitch w:val="variable"/>
  </w:font>
  <w:font w:name="Cambria">
    <w:charset w:val="00" w:characterSet="windows-1252"/>
    <w:family w:val="roman"/>
    <w:pitch w:val="variable"/>
  </w:font>
  <w:font w:name="CaAibri">
    <w:charset w:val="00" w:characterSet="windows-1252"/>
    <w:family w:val="swiss"/>
    <w:pitch w:val="default"/>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4242328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5"/>
              <w:szCs w:val="15"/>
            </w:rPr>
          </w:pPr>
          <w:r>
            <w:rPr>
              <w:rFonts w:cs="Tahoma" w:ascii="Tahoma" w:hAnsi="Tahoma"/>
              <w:sz w:val="15"/>
              <w:szCs w:val="15"/>
            </w:rPr>
            <w:t>LEY PARA LA TRANSPARENCIA, PREVENCIÓN Y COMBATE DE PRÁCTICAS INDEBIDAS EN MATERIA DE CONTRATACIÓN DE PUBLICIDAD</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5"/>
              <w:lang w:val="es-MX" w:eastAsia="es-MX"/>
            </w:rPr>
          </w:pPr>
          <w:r>
            <w:rPr>
              <w:rFonts w:cs="CG Omega" w:ascii="CG Omega" w:hAnsi="CG Omega"/>
              <w:b w:val="false"/>
              <w:bCs/>
              <w:sz w:val="16"/>
              <w:szCs w:val="15"/>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03-06-2021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eastAsia="zh-CN" w:bidi="ar-SA"/>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Prrafodelista"/>
    <w:next w:val="Normal"/>
    <w:qFormat/>
    <w:pPr>
      <w:numPr>
        <w:ilvl w:val="2"/>
        <w:numId w:val="1"/>
      </w:numPr>
      <w:pBdr>
        <w:top w:val="nil"/>
        <w:left w:val="nil"/>
        <w:bottom w:val="nil"/>
        <w:right w:val="nil"/>
      </w:pBdr>
      <w:spacing w:lineRule="atLeast" w:line="360" w:before="360" w:after="360"/>
      <w:ind w:hanging="720" w:start="1080" w:end="0"/>
      <w:jc w:val="center"/>
      <w:outlineLvl w:val="2"/>
    </w:pPr>
    <w:rPr>
      <w:rFonts w:ascii="ArAal" w:hAnsi="ArAal" w:cs="ArAal"/>
      <w:b/>
      <w:color w:val="000000"/>
      <w:sz w:val="26"/>
      <w:szCs w:val="20"/>
      <w:lang w:val="es-MX"/>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Ttulo3Car">
    <w:name w:val="Título 3 Car"/>
    <w:qFormat/>
    <w:rPr>
      <w:rFonts w:ascii="ArAal" w:hAnsi="ArAal" w:cs="ArAal"/>
      <w:b/>
      <w:sz w:val="26"/>
    </w:rPr>
  </w:style>
  <w:style w:type="character" w:styleId="TextocomentarioCar">
    <w:name w:val="Texto comentario Car"/>
    <w:qFormat/>
    <w:rPr>
      <w:rFonts w:ascii="ArAal" w:hAnsi="ArAal" w:cs="ArAal"/>
    </w:rPr>
  </w:style>
  <w:style w:type="character" w:styleId="TextonotapieCar">
    <w:name w:val="Texto nota pie Car"/>
    <w:qFormat/>
    <w:rPr>
      <w:rFonts w:ascii="ArAal" w:hAnsi="ArAal" w:cs="ArAal"/>
    </w:rPr>
  </w:style>
  <w:style w:type="character" w:styleId="FootnoteCharacters">
    <w:name w:val="Footnote Characters"/>
    <w:qFormat/>
    <w:rPr>
      <w:vertAlign w:val="superscript"/>
    </w:rPr>
  </w:style>
  <w:style w:type="character" w:styleId="TextodegloboCar">
    <w:name w:val="Texto de globo C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rafodelista">
    <w:name w:val="Párrafo de lista"/>
    <w:qFormat/>
    <w:pPr>
      <w:widowControl/>
      <w:pBdr>
        <w:top w:val="single" w:sz="30" w:space="31" w:color="FFFFFF" w:shadow="1"/>
        <w:left w:val="single" w:sz="30" w:space="31" w:color="FFFFFF" w:shadow="1"/>
        <w:bottom w:val="single" w:sz="30" w:space="31" w:color="FFFFFF" w:shadow="1"/>
        <w:right w:val="single" w:sz="30" w:space="31" w:color="FFFFFF" w:shadow="1"/>
      </w:pBdr>
      <w:bidi w:val="0"/>
      <w:ind w:hanging="0" w:start="720" w:end="0"/>
    </w:pPr>
    <w:rPr>
      <w:rFonts w:ascii="Cambria" w:hAnsi="Cambria" w:eastAsia="Times New Roman" w:cs="Cambria"/>
      <w:color w:val="000000"/>
      <w:sz w:val="24"/>
      <w:szCs w:val="24"/>
      <w:lang w:val="es-ES_tradnl" w:eastAsia="zh-CN" w:bidi="ar-SA"/>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EstilotextoPrimeral">
    <w:name w:val="Estilo texto + Primera l"/>
    <w:basedOn w:val="Normal"/>
    <w:qFormat/>
    <w:pPr>
      <w:spacing w:lineRule="exact" w:line="216" w:before="0" w:after="101"/>
      <w:jc w:val="both"/>
    </w:pPr>
    <w:rPr>
      <w:rFonts w:ascii="Arial" w:hAnsi="Arial" w:cs="Arial"/>
      <w:sz w:val="18"/>
      <w:szCs w:val="18"/>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extocomentario">
    <w:name w:val="Texto comentario"/>
    <w:basedOn w:val="Normal"/>
    <w:qFormat/>
    <w:pPr>
      <w:spacing w:before="60" w:after="60"/>
      <w:jc w:val="both"/>
    </w:pPr>
    <w:rPr>
      <w:rFonts w:ascii="ArAal" w:hAnsi="ArAal" w:cs="ArAal"/>
      <w:sz w:val="20"/>
      <w:szCs w:val="20"/>
      <w:lang w:val="es-MX"/>
    </w:rPr>
  </w:style>
  <w:style w:type="paragraph" w:styleId="FootnoteText">
    <w:name w:val="footnote text"/>
    <w:basedOn w:val="Normal"/>
    <w:pPr>
      <w:jc w:val="both"/>
    </w:pPr>
    <w:rPr>
      <w:rFonts w:ascii="ArAal" w:hAnsi="ArAal" w:cs="ArAal"/>
      <w:sz w:val="20"/>
      <w:szCs w:val="20"/>
      <w:lang w:val="es-MX"/>
    </w:rPr>
  </w:style>
  <w:style w:type="paragraph" w:styleId="Sinespaciado">
    <w:name w:val="Sin espaciado"/>
    <w:basedOn w:val="Normal"/>
    <w:qFormat/>
    <w:pPr>
      <w:spacing w:lineRule="atLeast" w:line="276"/>
      <w:jc w:val="both"/>
    </w:pPr>
    <w:rPr>
      <w:rFonts w:ascii="ArAal" w:hAnsi="ArAal" w:cs="ArAal"/>
      <w:sz w:val="16"/>
      <w:szCs w:val="20"/>
      <w:lang w:val="es-MX"/>
    </w:rPr>
  </w:style>
  <w:style w:type="paragraph" w:styleId="Prrafo">
    <w:name w:val="Párrafo"/>
    <w:basedOn w:val="Normal"/>
    <w:qFormat/>
    <w:pPr>
      <w:spacing w:lineRule="atLeast" w:line="360" w:before="240" w:after="240"/>
      <w:jc w:val="both"/>
    </w:pPr>
    <w:rPr>
      <w:rFonts w:ascii="ArAal" w:hAnsi="ArAal" w:cs="ArAal"/>
      <w:sz w:val="26"/>
      <w:szCs w:val="20"/>
      <w:lang w:val="es-MX"/>
    </w:rPr>
  </w:style>
  <w:style w:type="paragraph" w:styleId="Revisin">
    <w:name w:val="Revisión"/>
    <w:qFormat/>
    <w:pPr>
      <w:widowControl/>
      <w:bidi w:val="0"/>
    </w:pPr>
    <w:rPr>
      <w:rFonts w:ascii="ArAal" w:hAnsi="ArAal" w:eastAsia="Times New Roman" w:cs="ArAal"/>
      <w:color w:val="auto"/>
      <w:sz w:val="24"/>
      <w:szCs w:val="20"/>
      <w:lang w:val="es-MX" w:bidi="ar-SA" w:eastAsia="zh-CN"/>
    </w:rPr>
  </w:style>
  <w:style w:type="paragraph" w:styleId="annotationsubject">
    <w:name w:val="annotation subject"/>
    <w:basedOn w:val="Textocomentario"/>
    <w:next w:val="Textocomentario"/>
    <w:qFormat/>
    <w:pPr/>
    <w:rPr>
      <w:b/>
    </w:rPr>
  </w:style>
  <w:style w:type="paragraph" w:styleId="Textonormal">
    <w:name w:val="Texto normal"/>
    <w:basedOn w:val="Normal"/>
    <w:qFormat/>
    <w:pPr>
      <w:ind w:hanging="427" w:start="540" w:end="0"/>
    </w:pPr>
    <w:rPr>
      <w:rFonts w:ascii="ArAal" w:hAnsi="ArAal" w:cs="ArAal"/>
      <w:sz w:val="26"/>
      <w:szCs w:val="20"/>
      <w:lang w:val="en-US"/>
    </w:rPr>
  </w:style>
  <w:style w:type="paragraph" w:styleId="Refdenotaalpie2">
    <w:name w:val="Ref. de nota al pie 2"/>
    <w:basedOn w:val="Normal"/>
    <w:qFormat/>
    <w:pPr>
      <w:jc w:val="both"/>
    </w:pPr>
    <w:rPr>
      <w:rFonts w:ascii="CaAibri" w:hAnsi="CaAibri" w:cs="CaAibri"/>
      <w:sz w:val="16"/>
      <w:szCs w:val="20"/>
      <w:vertAlign w:val="superscript"/>
      <w:lang w:val="es-MX"/>
    </w:rPr>
  </w:style>
  <w:style w:type="paragraph" w:styleId="corte4fondo">
    <w:name w:val="corte4 fondo"/>
    <w:basedOn w:val="Normal"/>
    <w:qFormat/>
    <w:pPr>
      <w:spacing w:lineRule="atLeast" w:line="360"/>
      <w:ind w:firstLine="709" w:start="0" w:end="0"/>
      <w:jc w:val="both"/>
    </w:pPr>
    <w:rPr>
      <w:rFonts w:ascii="ArAal" w:hAnsi="ArAal" w:cs="ArAal"/>
      <w:sz w:val="30"/>
      <w:szCs w:val="20"/>
      <w:lang w:val="es-MX"/>
    </w:rPr>
  </w:style>
  <w:style w:type="paragraph" w:styleId="Notaalpie">
    <w:name w:val="Nota al pie"/>
    <w:basedOn w:val="Normal"/>
    <w:qFormat/>
    <w:pPr>
      <w:shd w:fill="FFFFFF" w:val="clear"/>
      <w:spacing w:lineRule="atLeast" w:line="259" w:before="0" w:after="140"/>
      <w:ind w:hanging="0" w:start="0" w:end="620"/>
      <w:jc w:val="both"/>
    </w:pPr>
    <w:rPr>
      <w:rFonts w:ascii="ArAal" w:hAnsi="ArAal" w:cs="ArAal"/>
      <w:i/>
      <w:color w:val="000000"/>
      <w:sz w:val="19"/>
      <w:szCs w:val="20"/>
      <w:lang w:val="es-MX"/>
    </w:rPr>
  </w:style>
  <w:style w:type="paragraph" w:styleId="NormalWeb">
    <w:name w:val="Normal (Web)"/>
    <w:basedOn w:val="Normal"/>
    <w:qFormat/>
    <w:pPr>
      <w:spacing w:lineRule="atLeast" w:line="276" w:before="60" w:after="60"/>
      <w:jc w:val="both"/>
    </w:pPr>
    <w:rPr>
      <w:rFonts w:ascii="TiAes New Roman" w:hAnsi="TiAes New Roman" w:cs="TiAes New Roman"/>
      <w:szCs w:val="20"/>
      <w:lang w:val="es-MX"/>
    </w:rPr>
  </w:style>
  <w:style w:type="paragraph" w:styleId="Estilo">
    <w:name w:val="Estilo"/>
    <w:basedOn w:val="Sinespaciado"/>
    <w:qFormat/>
    <w:pPr>
      <w:spacing w:lineRule="auto" w:line="240"/>
    </w:pPr>
    <w:rPr>
      <w:sz w:val="24"/>
    </w:rPr>
  </w:style>
  <w:style w:type="paragraph" w:styleId="corte4fondoCar">
    <w:name w:val="corte4 fondo Car"/>
    <w:basedOn w:val="Normal"/>
    <w:qFormat/>
    <w:pPr>
      <w:spacing w:lineRule="atLeast" w:line="360"/>
      <w:ind w:firstLine="709" w:start="0" w:end="0"/>
      <w:jc w:val="both"/>
    </w:pPr>
    <w:rPr>
      <w:rFonts w:ascii="ArAal" w:hAnsi="ArAal" w:cs="ArAal"/>
      <w:sz w:val="30"/>
      <w:szCs w:val="20"/>
      <w:lang w:val="es-ES_tradnl"/>
    </w:rPr>
  </w:style>
  <w:style w:type="paragraph" w:styleId="Textodeglobo">
    <w:name w:val="Texto de globo"/>
    <w:basedOn w:val="Normal"/>
    <w:qFormat/>
    <w:pPr/>
    <w:rPr>
      <w:rFonts w:ascii="Segoe UI" w:hAnsi="Segoe UI" w:cs="Segoe UI"/>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2024-02-09T09:12:00Z</dcterms:created>
  <dc:creator>Cámara de Diputados del H. Congreso de la Unión</dc:creator>
  <dc:description/>
  <cp:keywords/>
  <dc:language>en-US</dc:language>
  <cp:lastModifiedBy>Armando Torres</cp:lastModifiedBy>
  <cp:lastPrinted>2023-06-13T17:57:00Z</cp:lastPrinted>
  <dcterms:modified xsi:type="dcterms:W3CDTF">2024-02-09T09:12:00Z</dcterms:modified>
  <cp:revision>2</cp:revision>
  <dc:subject/>
  <dc:title>Ley para la Transparencia, Prevención y Combate de Prácticas Indebidas en Materia de Contratación de Publicidad</dc:title>
</cp:coreProperties>
</file>