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media/image1.wmf" ContentType="image/x-wmf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mbeddings/oleObject1.bin" ContentType="application/vnd.openxmlformats-officedocument.oleObject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rPr>
          <w:rFonts w:ascii="Tahoma" w:hAnsi="Tahoma" w:cs="Tahoma"/>
          <w:sz w:val="22"/>
          <w:szCs w:val="22"/>
        </w:rPr>
      </w:pPr>
      <w:r>
        <w:rPr>
          <w:rFonts w:cs="Tahoma" w:ascii="Tahoma" w:hAnsi="Tahoma"/>
          <w:sz w:val="22"/>
          <w:szCs w:val="22"/>
        </w:rPr>
        <w:t>LEY QUE CREA LA UNIVERSIDAD DEL EJÉRCITO Y FUERZA AÉREA</w:t>
      </w:r>
    </w:p>
    <w:p>
      <w:pPr>
        <w:pStyle w:val="Normal"/>
        <w:jc w:val="center"/>
        <w:rPr>
          <w:rFonts w:ascii="Tahoma" w:hAnsi="Tahoma" w:cs="Tahoma"/>
          <w:sz w:val="16"/>
          <w:szCs w:val="16"/>
          <w:lang w:val="es-MX"/>
        </w:rPr>
      </w:pPr>
      <w:r>
        <w:rPr>
          <w:rFonts w:cs="Tahoma" w:ascii="Tahoma" w:hAnsi="Tahoma"/>
          <w:sz w:val="16"/>
          <w:szCs w:val="16"/>
          <w:lang w:val="es-MX"/>
        </w:rPr>
      </w:r>
    </w:p>
    <w:p>
      <w:pPr>
        <w:pStyle w:val="Titulo1"/>
        <w:pBdr>
          <w:bottom w:val="nil"/>
        </w:pBdr>
        <w:jc w:val="center"/>
        <w:rPr>
          <w:rFonts w:ascii="Tahoma" w:hAnsi="Tahoma" w:cs="Tahoma"/>
          <w:sz w:val="16"/>
          <w:szCs w:val="16"/>
          <w:lang w:val="es-MX"/>
        </w:rPr>
      </w:pPr>
      <w:r>
        <w:rPr>
          <w:rFonts w:cs="Tahoma" w:ascii="Tahoma" w:hAnsi="Tahoma"/>
          <w:sz w:val="16"/>
          <w:szCs w:val="16"/>
          <w:lang w:val="es-MX"/>
        </w:rPr>
        <w:t>TEXTO VIGENTE</w:t>
      </w:r>
    </w:p>
    <w:p>
      <w:pPr>
        <w:pStyle w:val="Titulo1"/>
        <w:pBdr>
          <w:bottom w:val="nil"/>
        </w:pBdr>
        <w:jc w:val="center"/>
        <w:rPr>
          <w:rFonts w:ascii="Tahoma" w:hAnsi="Tahoma" w:cs="Tahoma"/>
          <w:color w:val="CC3300"/>
          <w:sz w:val="16"/>
          <w:szCs w:val="16"/>
          <w:lang w:val="es-MX"/>
        </w:rPr>
      </w:pPr>
      <w:r>
        <w:rPr>
          <w:rFonts w:cs="Tahoma" w:ascii="Tahoma" w:hAnsi="Tahoma"/>
          <w:color w:val="CC3300"/>
          <w:sz w:val="16"/>
          <w:szCs w:val="16"/>
          <w:lang w:val="es-MX"/>
        </w:rPr>
        <w:t>Nueva Ley publicada en el Diario Oficial de la Federación el 29 de diciembre de 1975</w:t>
      </w:r>
    </w:p>
    <w:p>
      <w:pPr>
        <w:pStyle w:val="Normal"/>
        <w:jc w:val="both"/>
        <w:rPr>
          <w:rFonts w:ascii="Arial" w:hAnsi="Arial" w:cs="Arial"/>
          <w:color w:val="CC3300"/>
          <w:sz w:val="16"/>
          <w:szCs w:val="16"/>
          <w:lang w:val="es-MX"/>
        </w:rPr>
      </w:pPr>
      <w:r>
        <w:rPr>
          <w:rFonts w:cs="Arial" w:ascii="Arial" w:hAnsi="Arial"/>
          <w:color w:val="CC3300"/>
          <w:sz w:val="16"/>
          <w:szCs w:val="16"/>
          <w:lang w:val="es-MX"/>
        </w:rPr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Al margen un sello con el Escudo Nacional, que dice: Estados Unidos Mexicanos.- Presidencia de la República.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r>
        <w:rPr>
          <w:rFonts w:cs="Arial" w:ascii="Arial" w:hAnsi="Arial"/>
          <w:b/>
          <w:bCs/>
          <w:lang w:val="es-MX"/>
        </w:rPr>
        <w:t>LUIS ECHEVERRIA ALVAREZ</w:t>
      </w:r>
      <w:r>
        <w:rPr>
          <w:rFonts w:cs="Arial" w:ascii="Arial" w:hAnsi="Arial"/>
          <w:lang w:val="es-MX"/>
        </w:rPr>
        <w:t>, Presidente Constitucional de los Estados Unidos Mexicanos, a sus habitantes, sabed: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Que el H. Congreso de la Unión se ha servido dirigirme el siguiente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center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DECRETO: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  <w:t>"El Congreso de los Estados Unidos Mexicanos, decreta: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center"/>
        <w:rPr>
          <w:rFonts w:ascii="Arial" w:hAnsi="Arial" w:cs="Arial"/>
          <w:b/>
          <w:bCs/>
          <w:sz w:val="22"/>
        </w:rPr>
      </w:pPr>
      <w:r>
        <w:rPr>
          <w:rFonts w:cs="Arial" w:ascii="Arial" w:hAnsi="Arial"/>
          <w:b/>
          <w:bCs/>
          <w:sz w:val="22"/>
        </w:rPr>
        <w:t>LEY QUE CREA LA UNIVERSIDAD DEL EJERCITO Y FUERZA AEREA</w:t>
      </w:r>
    </w:p>
    <w:p>
      <w:pPr>
        <w:pStyle w:val="Normal"/>
        <w:ind w:firstLine="289" w:end="0"/>
        <w:jc w:val="both"/>
        <w:rPr>
          <w:rFonts w:ascii="Arial" w:hAnsi="Arial" w:cs="Arial"/>
          <w:b/>
          <w:bCs/>
          <w:sz w:val="22"/>
          <w:lang w:val="es-MX"/>
        </w:rPr>
      </w:pPr>
      <w:r>
        <w:rPr>
          <w:rFonts w:cs="Arial" w:ascii="Arial" w:hAnsi="Arial"/>
          <w:b/>
          <w:bCs/>
          <w:sz w:val="22"/>
          <w:lang w:val="es-MX"/>
        </w:rPr>
      </w:r>
    </w:p>
    <w:p>
      <w:pPr>
        <w:pStyle w:val="Normal"/>
        <w:ind w:firstLine="289" w:end="0"/>
        <w:jc w:val="both"/>
        <w:rPr/>
      </w:pPr>
      <w:bookmarkStart w:id="0" w:name="Artículo_1o"/>
      <w:r>
        <w:rPr>
          <w:rFonts w:cs="Arial" w:ascii="Arial" w:hAnsi="Arial"/>
          <w:b/>
          <w:bCs/>
          <w:lang w:val="es-MX"/>
        </w:rPr>
        <w:t>ARTICULO 1o</w:t>
      </w:r>
      <w:bookmarkEnd w:id="0"/>
      <w:r>
        <w:rPr>
          <w:rFonts w:cs="Arial" w:ascii="Arial" w:hAnsi="Arial"/>
          <w:b/>
          <w:bCs/>
          <w:lang w:val="es-MX"/>
        </w:rPr>
        <w:t xml:space="preserve">.- </w:t>
      </w:r>
      <w:r>
        <w:rPr>
          <w:rFonts w:cs="Arial" w:ascii="Arial" w:hAnsi="Arial"/>
          <w:lang w:val="es-MX"/>
        </w:rPr>
        <w:t xml:space="preserve">Se crea la Universidad del Ejército y Fuerza Aérea, con los establecimientos de Educación Militar, de nivel medio superior y de tipo superior existentes, y los que se instituyan en el futuro. 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bookmarkStart w:id="1" w:name="Artículo_2o"/>
      <w:r>
        <w:rPr>
          <w:rFonts w:cs="Arial" w:ascii="Arial" w:hAnsi="Arial"/>
          <w:b/>
          <w:bCs/>
          <w:lang w:val="es-MX"/>
        </w:rPr>
        <w:t>ARTICULO 2o</w:t>
      </w:r>
      <w:bookmarkEnd w:id="1"/>
      <w:r>
        <w:rPr>
          <w:rFonts w:cs="Arial" w:ascii="Arial" w:hAnsi="Arial"/>
          <w:b/>
          <w:bCs/>
          <w:lang w:val="es-MX"/>
        </w:rPr>
        <w:t xml:space="preserve">.- </w:t>
      </w:r>
      <w:r>
        <w:rPr>
          <w:rFonts w:cs="Arial" w:ascii="Arial" w:hAnsi="Arial"/>
          <w:lang w:val="es-MX"/>
        </w:rPr>
        <w:t xml:space="preserve">La Universidad del Ejército y Fuerza Aérea depende del Secretario de la Defensa Nacional a través de la Dirección General de Educación Militar, la que asumirá funciones de rectoría. Para este efecto, se reestructurará para continuar desempeñando sus actuales funciones conforme a lo dispuesto por la Ley Orgánica del Ejército y Fuerza Aérea Mexicanos, y las que se deriven de la conducción y control de la Universidad. 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bookmarkStart w:id="2" w:name="Artículo_3o"/>
      <w:r>
        <w:rPr>
          <w:rFonts w:cs="Arial" w:ascii="Arial" w:hAnsi="Arial"/>
          <w:b/>
          <w:bCs/>
          <w:lang w:val="es-MX"/>
        </w:rPr>
        <w:t>ARTICULO 3o</w:t>
      </w:r>
      <w:bookmarkEnd w:id="2"/>
      <w:r>
        <w:rPr>
          <w:rFonts w:cs="Arial" w:ascii="Arial" w:hAnsi="Arial"/>
          <w:b/>
          <w:bCs/>
          <w:lang w:val="es-MX"/>
        </w:rPr>
        <w:t xml:space="preserve">.- </w:t>
      </w:r>
      <w:r>
        <w:rPr>
          <w:rFonts w:cs="Arial" w:ascii="Arial" w:hAnsi="Arial"/>
          <w:lang w:val="es-MX"/>
        </w:rPr>
        <w:t>La Universidad del Ejército y Fuerza Aérea tendrá las siguientes finalidades: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r>
        <w:rPr>
          <w:rFonts w:cs="Arial" w:ascii="Arial" w:hAnsi="Arial"/>
          <w:b/>
          <w:bCs/>
          <w:lang w:val="es-MX"/>
        </w:rPr>
        <w:t xml:space="preserve">I.- </w:t>
      </w:r>
      <w:r>
        <w:rPr>
          <w:rFonts w:cs="Arial" w:ascii="Arial" w:hAnsi="Arial"/>
          <w:lang w:val="es-MX"/>
        </w:rPr>
        <w:t>Impartir a los militares conocimientos científicos, técnicos y humanísticos a nivel de educación media superior y educación superior, para el mejor cumplimiento de las misiones de las Armas, Ramas y Servicios de dichas instituciones.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r>
        <w:rPr>
          <w:rFonts w:cs="Arial" w:ascii="Arial" w:hAnsi="Arial"/>
          <w:b/>
          <w:bCs/>
          <w:lang w:val="es-MX"/>
        </w:rPr>
        <w:t xml:space="preserve">II.- </w:t>
      </w:r>
      <w:r>
        <w:rPr>
          <w:rFonts w:cs="Arial" w:ascii="Arial" w:hAnsi="Arial"/>
          <w:lang w:val="es-MX"/>
        </w:rPr>
        <w:t>Formar profesores para las diversas asignaturas que se impartan en los Establecimientos de Educación Militar.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r>
        <w:rPr>
          <w:rFonts w:cs="Arial" w:ascii="Arial" w:hAnsi="Arial"/>
          <w:b/>
          <w:bCs/>
          <w:lang w:val="es-MX"/>
        </w:rPr>
        <w:t xml:space="preserve">III.- </w:t>
      </w:r>
      <w:r>
        <w:rPr>
          <w:rFonts w:cs="Arial" w:ascii="Arial" w:hAnsi="Arial"/>
          <w:lang w:val="es-MX"/>
        </w:rPr>
        <w:t>Realizar investigación científica en general y la relacionada con el avance de la ciencia y arte militares.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r>
        <w:rPr>
          <w:rFonts w:cs="Arial" w:ascii="Arial" w:hAnsi="Arial"/>
          <w:b/>
          <w:bCs/>
          <w:lang w:val="es-MX"/>
        </w:rPr>
        <w:t xml:space="preserve">IV.- </w:t>
      </w:r>
      <w:r>
        <w:rPr>
          <w:rFonts w:cs="Arial" w:ascii="Arial" w:hAnsi="Arial"/>
          <w:lang w:val="es-MX"/>
        </w:rPr>
        <w:t>Hacer llegar los beneficios de la cultura a los componentes del Ejército y Fuerza Aérea, a efecto de ampliar su formación así como sus conocimientos militares, para lograr más eficiencia en el cumplimiento de sus misiones.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r>
        <w:rPr>
          <w:rFonts w:cs="Arial" w:ascii="Arial" w:hAnsi="Arial"/>
          <w:b/>
          <w:bCs/>
          <w:lang w:val="es-MX"/>
        </w:rPr>
        <w:t xml:space="preserve">V.- </w:t>
      </w:r>
      <w:r>
        <w:rPr>
          <w:rFonts w:cs="Arial" w:ascii="Arial" w:hAnsi="Arial"/>
          <w:lang w:val="es-MX"/>
        </w:rPr>
        <w:t xml:space="preserve">Desarrollar en los educandos una formación espiritual acorde con los altos intereses de la Patria. 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bookmarkStart w:id="3" w:name="Artículo_4o"/>
      <w:r>
        <w:rPr>
          <w:rFonts w:cs="Arial" w:ascii="Arial" w:hAnsi="Arial"/>
          <w:b/>
          <w:bCs/>
          <w:lang w:val="es-MX"/>
        </w:rPr>
        <w:t>ARTICULO 4o</w:t>
      </w:r>
      <w:bookmarkEnd w:id="3"/>
      <w:r>
        <w:rPr>
          <w:rFonts w:cs="Arial" w:ascii="Arial" w:hAnsi="Arial"/>
          <w:b/>
          <w:bCs/>
          <w:lang w:val="es-MX"/>
        </w:rPr>
        <w:t xml:space="preserve">.- </w:t>
      </w:r>
      <w:r>
        <w:rPr>
          <w:rFonts w:cs="Arial" w:ascii="Arial" w:hAnsi="Arial"/>
          <w:lang w:val="es-MX"/>
        </w:rPr>
        <w:t xml:space="preserve">En el Reglamento interior de la Universidad del Ejército y Fuerza Aérea, se determinará la organización de la Universidad del Ejército y Fuerza Aérea, su dependencia administrativa, sus atribuciones, la denominación de sus diversos órganos y la de sus funcionarios. 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bookmarkStart w:id="4" w:name="Artículo_5o"/>
      <w:r>
        <w:rPr>
          <w:rFonts w:cs="Arial" w:ascii="Arial" w:hAnsi="Arial"/>
          <w:b/>
          <w:bCs/>
          <w:lang w:val="es-MX"/>
        </w:rPr>
        <w:t>ARTICULO 5o</w:t>
      </w:r>
      <w:bookmarkEnd w:id="4"/>
      <w:r>
        <w:rPr>
          <w:rFonts w:cs="Arial" w:ascii="Arial" w:hAnsi="Arial"/>
          <w:b/>
          <w:bCs/>
          <w:lang w:val="es-MX"/>
        </w:rPr>
        <w:t xml:space="preserve">.- </w:t>
      </w:r>
      <w:r>
        <w:rPr>
          <w:rFonts w:cs="Arial" w:ascii="Arial" w:hAnsi="Arial"/>
          <w:lang w:val="es-MX"/>
        </w:rPr>
        <w:t xml:space="preserve">La Universidad contará con un Consejo Académico, que asesorará pedagógicamente al Director General de Educación Militar. 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bookmarkStart w:id="5" w:name="Artículo_6o"/>
      <w:r>
        <w:rPr>
          <w:rFonts w:cs="Arial" w:ascii="Arial" w:hAnsi="Arial"/>
          <w:b/>
          <w:bCs/>
          <w:lang w:val="es-MX"/>
        </w:rPr>
        <w:t>ARTICULO 6o</w:t>
      </w:r>
      <w:bookmarkEnd w:id="5"/>
      <w:r>
        <w:rPr>
          <w:rFonts w:cs="Arial" w:ascii="Arial" w:hAnsi="Arial"/>
          <w:b/>
          <w:bCs/>
          <w:lang w:val="es-MX"/>
        </w:rPr>
        <w:t xml:space="preserve">.- </w:t>
      </w:r>
      <w:r>
        <w:rPr>
          <w:rFonts w:cs="Arial" w:ascii="Arial" w:hAnsi="Arial"/>
          <w:lang w:val="es-MX"/>
        </w:rPr>
        <w:t xml:space="preserve">La Secretaría de la Defensa Nacional expedirá los certificados de estudios, diplomas, títulos profesionales y grados académicos de las carreras y cursos que imparta la Universidad del Ejército y Fuerza Aérea. 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BodyTextIndent"/>
        <w:rPr/>
      </w:pPr>
      <w:bookmarkStart w:id="6" w:name="Artículo_7o"/>
      <w:r>
        <w:rPr>
          <w:b/>
          <w:bCs/>
        </w:rPr>
        <w:t>ARTICULO 7o</w:t>
      </w:r>
      <w:bookmarkEnd w:id="6"/>
      <w:r>
        <w:rPr>
          <w:b/>
          <w:bCs/>
        </w:rPr>
        <w:t xml:space="preserve">.- </w:t>
      </w:r>
      <w:r>
        <w:rPr/>
        <w:t xml:space="preserve">Para su funcionamiento, la Universidad dispondrá de los recursos que le sean asignados en el Presupuesto de Egresos de la Federación por conducto de la Secretaría de la Defensa Nacional. 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jc w:val="center"/>
        <w:rPr>
          <w:rFonts w:ascii="Arial" w:hAnsi="Arial" w:cs="Arial"/>
          <w:b/>
          <w:bCs/>
          <w:sz w:val="22"/>
          <w:lang w:val="es-MX"/>
        </w:rPr>
      </w:pPr>
      <w:bookmarkStart w:id="7" w:name="TRANSITORIOS"/>
      <w:bookmarkEnd w:id="7"/>
      <w:r>
        <w:rPr>
          <w:rFonts w:cs="Arial" w:ascii="Arial" w:hAnsi="Arial"/>
          <w:b/>
          <w:bCs/>
          <w:sz w:val="22"/>
          <w:lang w:val="es-MX"/>
        </w:rPr>
        <w:t>TRANSITORIOS</w:t>
      </w:r>
    </w:p>
    <w:p>
      <w:pPr>
        <w:pStyle w:val="Normal"/>
        <w:ind w:firstLine="289" w:end="0"/>
        <w:jc w:val="both"/>
        <w:rPr>
          <w:rFonts w:ascii="Arial" w:hAnsi="Arial" w:cs="Arial"/>
          <w:b/>
          <w:bCs/>
          <w:sz w:val="22"/>
          <w:lang w:val="es-MX"/>
        </w:rPr>
      </w:pPr>
      <w:r>
        <w:rPr>
          <w:rFonts w:cs="Arial" w:ascii="Arial" w:hAnsi="Arial"/>
          <w:b/>
          <w:bCs/>
          <w:sz w:val="22"/>
          <w:lang w:val="es-MX"/>
        </w:rPr>
      </w:r>
      <w:bookmarkStart w:id="8" w:name="TRANSITORIOS"/>
      <w:bookmarkStart w:id="9" w:name="TRANSITORIOS"/>
      <w:bookmarkEnd w:id="9"/>
    </w:p>
    <w:p>
      <w:pPr>
        <w:pStyle w:val="Normal"/>
        <w:ind w:firstLine="289" w:end="0"/>
        <w:jc w:val="both"/>
        <w:rPr/>
      </w:pPr>
      <w:bookmarkStart w:id="10" w:name="Artículo_Primero"/>
      <w:r>
        <w:rPr>
          <w:rFonts w:cs="Arial" w:ascii="Arial" w:hAnsi="Arial"/>
          <w:b/>
          <w:bCs/>
          <w:lang w:val="es-MX"/>
        </w:rPr>
        <w:t>ARTICULO PRIMERO</w:t>
      </w:r>
      <w:bookmarkEnd w:id="10"/>
      <w:r>
        <w:rPr>
          <w:rFonts w:cs="Arial" w:ascii="Arial" w:hAnsi="Arial"/>
          <w:b/>
          <w:bCs/>
          <w:lang w:val="es-MX"/>
        </w:rPr>
        <w:t xml:space="preserve">.- </w:t>
      </w:r>
      <w:r>
        <w:rPr>
          <w:rFonts w:cs="Arial" w:ascii="Arial" w:hAnsi="Arial"/>
          <w:lang w:val="es-MX"/>
        </w:rPr>
        <w:t>La presente Ley entrará en vigor el día siguiente al de su publicación en el "Diario Oficial" de la Federación.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bookmarkStart w:id="11" w:name="Artículo_Segundo"/>
      <w:r>
        <w:rPr>
          <w:rFonts w:cs="Arial" w:ascii="Arial" w:hAnsi="Arial"/>
          <w:b/>
          <w:bCs/>
          <w:lang w:val="es-MX"/>
        </w:rPr>
        <w:t>ARTICULO SEGUNDO</w:t>
      </w:r>
      <w:bookmarkEnd w:id="11"/>
      <w:r>
        <w:rPr>
          <w:rFonts w:cs="Arial" w:ascii="Arial" w:hAnsi="Arial"/>
          <w:b/>
          <w:bCs/>
          <w:lang w:val="es-MX"/>
        </w:rPr>
        <w:t xml:space="preserve">.- </w:t>
      </w:r>
      <w:r>
        <w:rPr>
          <w:rFonts w:cs="Arial" w:ascii="Arial" w:hAnsi="Arial"/>
          <w:lang w:val="es-MX"/>
        </w:rPr>
        <w:t>Se derogan todas las disposiciones que se opongan a la presente Ley.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bookmarkStart w:id="12" w:name="Artículo_Tercero"/>
      <w:r>
        <w:rPr>
          <w:rFonts w:cs="Arial" w:ascii="Arial" w:hAnsi="Arial"/>
          <w:b/>
          <w:bCs/>
          <w:lang w:val="es-MX"/>
        </w:rPr>
        <w:t>ARTICULO TERCERO</w:t>
      </w:r>
      <w:bookmarkEnd w:id="12"/>
      <w:r>
        <w:rPr>
          <w:rFonts w:cs="Arial" w:ascii="Arial" w:hAnsi="Arial"/>
          <w:b/>
          <w:bCs/>
          <w:lang w:val="es-MX"/>
        </w:rPr>
        <w:t xml:space="preserve">.- </w:t>
      </w:r>
      <w:r>
        <w:rPr>
          <w:rFonts w:cs="Arial" w:ascii="Arial" w:hAnsi="Arial"/>
          <w:lang w:val="es-MX"/>
        </w:rPr>
        <w:t>En tanto se expide el reglamento interior de la Universidad del Ejército y Fuerza Aérea, el funcionamiento de la misma se sujetará a las disposiciones que dicte el Secretario de la Defensa Nacional. Los establecimientos de educación militar de nivel medio superior y de tipo superior existentes se regularán por las disposiciones que actualmente las rigen en todo aquello que no se opongan a la presente Ley.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r>
        <w:rPr>
          <w:rFonts w:cs="Arial" w:ascii="Arial" w:hAnsi="Arial"/>
          <w:lang w:val="es-MX"/>
        </w:rPr>
        <w:t xml:space="preserve">México, D. F., a 26 de diciembre de 1975.- </w:t>
      </w:r>
      <w:r>
        <w:rPr>
          <w:rFonts w:cs="Arial" w:ascii="Arial" w:hAnsi="Arial"/>
          <w:b/>
          <w:bCs/>
          <w:lang w:val="es-MX"/>
        </w:rPr>
        <w:t>Emilio M. González Parra</w:t>
      </w:r>
      <w:r>
        <w:rPr>
          <w:rFonts w:cs="Arial" w:ascii="Arial" w:hAnsi="Arial"/>
          <w:lang w:val="es-MX"/>
        </w:rPr>
        <w:t xml:space="preserve">, S. P.- </w:t>
      </w:r>
      <w:r>
        <w:rPr>
          <w:rFonts w:cs="Arial" w:ascii="Arial" w:hAnsi="Arial"/>
          <w:b/>
          <w:bCs/>
          <w:lang w:val="es-MX"/>
        </w:rPr>
        <w:t>Luis del Toro Calero</w:t>
      </w:r>
      <w:r>
        <w:rPr>
          <w:rFonts w:cs="Arial" w:ascii="Arial" w:hAnsi="Arial"/>
          <w:lang w:val="es-MX"/>
        </w:rPr>
        <w:t xml:space="preserve">, D. P.- </w:t>
      </w:r>
      <w:r>
        <w:rPr>
          <w:rFonts w:cs="Arial" w:ascii="Arial" w:hAnsi="Arial"/>
          <w:b/>
          <w:bCs/>
          <w:lang w:val="es-MX"/>
        </w:rPr>
        <w:t>Germán Corona del Rosal</w:t>
      </w:r>
      <w:r>
        <w:rPr>
          <w:rFonts w:cs="Arial" w:ascii="Arial" w:hAnsi="Arial"/>
          <w:lang w:val="es-MX"/>
        </w:rPr>
        <w:t xml:space="preserve">, S. S.- </w:t>
      </w:r>
      <w:r>
        <w:rPr>
          <w:rFonts w:cs="Arial" w:ascii="Arial" w:hAnsi="Arial"/>
          <w:b/>
          <w:bCs/>
          <w:lang w:val="es-MX"/>
        </w:rPr>
        <w:t>Rogelio García González</w:t>
      </w:r>
      <w:r>
        <w:rPr>
          <w:rFonts w:cs="Arial" w:ascii="Arial" w:hAnsi="Arial"/>
          <w:lang w:val="es-MX"/>
        </w:rPr>
        <w:t>, D. S.- Rúbricas".</w:t>
      </w:r>
    </w:p>
    <w:p>
      <w:pPr>
        <w:pStyle w:val="Normal"/>
        <w:ind w:firstLine="289" w:end="0"/>
        <w:jc w:val="both"/>
        <w:rPr>
          <w:rFonts w:ascii="Arial" w:hAnsi="Arial" w:cs="Arial"/>
          <w:lang w:val="es-MX"/>
        </w:rPr>
      </w:pPr>
      <w:r>
        <w:rPr>
          <w:rFonts w:cs="Arial" w:ascii="Arial" w:hAnsi="Arial"/>
          <w:lang w:val="es-MX"/>
        </w:rPr>
      </w:r>
    </w:p>
    <w:p>
      <w:pPr>
        <w:pStyle w:val="Normal"/>
        <w:ind w:firstLine="289" w:end="0"/>
        <w:jc w:val="both"/>
        <w:rPr/>
      </w:pPr>
      <w:r>
        <w:rPr>
          <w:rFonts w:cs="Arial" w:ascii="Arial" w:hAnsi="Arial"/>
          <w:lang w:val="es-MX"/>
        </w:rPr>
        <w:t xml:space="preserve">En cumplimiento de lo dispuesto por la fracción I del artículo 89 de la Constitución Política de los Estados Unidos Mexicanos y para su debida publicación y observancia, expido el presente Decreto en la residencia del Poder Ejecutivo Federal, en la ciudad de México, Distrito Federal, a los veintiséis días del mes de diciembre de mil novecientos setenta y cinco, </w:t>
      </w:r>
      <w:r>
        <w:rPr>
          <w:rFonts w:cs="Arial" w:ascii="Arial" w:hAnsi="Arial"/>
          <w:b/>
          <w:bCs/>
          <w:lang w:val="es-MX"/>
        </w:rPr>
        <w:t>Luis Echeverría Alvarez</w:t>
      </w:r>
      <w:r>
        <w:rPr>
          <w:rFonts w:cs="Arial" w:ascii="Arial" w:hAnsi="Arial"/>
          <w:lang w:val="es-MX"/>
        </w:rPr>
        <w:t xml:space="preserve">.- Rúbrica.- El Secretario de la Defensa Nacional, </w:t>
      </w:r>
      <w:r>
        <w:rPr>
          <w:rFonts w:cs="Arial" w:ascii="Arial" w:hAnsi="Arial"/>
          <w:b/>
          <w:bCs/>
          <w:lang w:val="es-MX"/>
        </w:rPr>
        <w:t>Hermenegildo Cuenca Díaz</w:t>
      </w:r>
      <w:r>
        <w:rPr>
          <w:rFonts w:cs="Arial" w:ascii="Arial" w:hAnsi="Arial"/>
          <w:lang w:val="es-MX"/>
        </w:rPr>
        <w:t xml:space="preserve">.- Rúbrica.- El Secretario de Gobernación, </w:t>
      </w:r>
      <w:r>
        <w:rPr>
          <w:rFonts w:cs="Arial" w:ascii="Arial" w:hAnsi="Arial"/>
          <w:b/>
          <w:bCs/>
          <w:lang w:val="es-MX"/>
        </w:rPr>
        <w:t>Mario Moya Palencia</w:t>
      </w:r>
      <w:r>
        <w:rPr>
          <w:rFonts w:cs="Arial" w:ascii="Arial" w:hAnsi="Arial"/>
          <w:lang w:val="es-MX"/>
        </w:rPr>
        <w:t>.- Rúbrica.</w:t>
      </w:r>
    </w:p>
    <w:sectPr>
      <w:headerReference w:type="default" r:id="rId2"/>
      <w:footerReference w:type="default" r:id="rId3"/>
      <w:type w:val="nextPage"/>
      <w:pgSz w:w="12240" w:h="15840"/>
      <w:pgMar w:left="1418" w:right="1418" w:gutter="0" w:header="720" w:top="1418" w:footer="72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CG Omega">
    <w:charset w:val="00" w:characterSet="windows-1252"/>
    <w:family w:val="swiss"/>
    <w:pitch w:val="variable"/>
  </w:font>
  <w:font w:name="Arial Narrow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</w:t>
    </w:r>
    <w:r>
      <w:rPr>
        <w:sz w:val="18"/>
        <w:szCs w:val="18"/>
      </w:rPr>
      <w:t xml:space="preserve">de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\* ARABIC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509" w:type="dxa"/>
      <w:jc w:val="start"/>
      <w:tblInd w:w="0" w:type="dxa"/>
      <w:tblLayout w:type="fixed"/>
      <w:tblCellMar>
        <w:top w:w="0" w:type="dxa"/>
        <w:start w:w="70" w:type="dxa"/>
        <w:bottom w:w="0" w:type="dxa"/>
        <w:end w:w="70" w:type="dxa"/>
      </w:tblCellMar>
    </w:tblPr>
    <w:tblGrid>
      <w:gridCol w:w="1355"/>
      <w:gridCol w:w="4077"/>
      <w:gridCol w:w="4077"/>
    </w:tblGrid>
    <w:tr>
      <w:trPr>
        <w:trHeight w:val="333" w:hRule="atLeast"/>
        <w:cantSplit w:val="true"/>
      </w:trPr>
      <w:tc>
        <w:tcPr>
          <w:tcW w:w="1355" w:type="dxa"/>
          <w:vMerge w:val="restart"/>
          <w:tcBorders/>
          <w:vAlign w:val="center"/>
        </w:tcPr>
        <w:p>
          <w:pPr>
            <w:pStyle w:val="Header"/>
            <w:rPr>
              <w:rFonts w:ascii="CG Omega" w:hAnsi="CG Omega" w:cs="CG Omega"/>
              <w:sz w:val="16"/>
            </w:rPr>
          </w:pPr>
          <w:r>
            <w:rPr>
              <w:rFonts w:cs="CG Omega" w:ascii="CG Omega" w:hAnsi="CG Omega"/>
              <w:sz w:val="16"/>
            </w:rPr>
            <w:object w:dxaOrig="1126" w:dyaOrig="1066">
              <v:shapetype id="_x0000_tole_rId1" coordsize="21600,21600" o:spt="ole_rId1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le_rId1" type="_x0000_tole_rId1" style="width:56.3pt;height:53.3pt" filled="f" o:ole="">
                <v:imagedata r:id="rId2" o:title=""/>
              </v:shape>
              <o:OLEObject Type="Embed" ProgID="" ShapeID="ole_rId1" DrawAspect="Content" ObjectID="_1525830943" r:id="rId1"/>
            </w:object>
          </w:r>
        </w:p>
      </w:tc>
      <w:tc>
        <w:tcPr>
          <w:tcW w:w="8154" w:type="dxa"/>
          <w:gridSpan w:val="2"/>
          <w:tcBorders>
            <w:bottom w:val="double" w:sz="4" w:space="0" w:color="000000"/>
          </w:tcBorders>
          <w:vAlign w:val="bottom"/>
        </w:tcPr>
        <w:p>
          <w:pPr>
            <w:pStyle w:val="Header"/>
            <w:jc w:val="end"/>
            <w:rPr>
              <w:rFonts w:ascii="Tahoma" w:hAnsi="Tahoma" w:cs="Tahoma"/>
              <w:b/>
              <w:bCs/>
              <w:iCs/>
              <w:sz w:val="16"/>
              <w:szCs w:val="16"/>
            </w:rPr>
          </w:pPr>
          <w:r>
            <w:rPr>
              <w:rFonts w:cs="Tahoma" w:ascii="Tahoma" w:hAnsi="Tahoma"/>
              <w:b/>
              <w:bCs/>
              <w:sz w:val="16"/>
              <w:szCs w:val="16"/>
              <w:lang w:val="es-MX"/>
            </w:rPr>
            <w:t>LEY QUE CREA LA UNIVERSIDAD DEL EJÉRCITO Y FUERZA AÉREA</w:t>
          </w:r>
        </w:p>
      </w:tc>
    </w:tr>
    <w:tr>
      <w:trPr>
        <w:trHeight w:val="50" w:hRule="atLeast"/>
        <w:cantSplit w:val="true"/>
      </w:trPr>
      <w:tc>
        <w:tcPr>
          <w:tcW w:w="1355" w:type="dxa"/>
          <w:vMerge w:val="continue"/>
          <w:tcBorders/>
          <w:vAlign w:val="center"/>
        </w:tcPr>
        <w:p>
          <w:pPr>
            <w:pStyle w:val="Header"/>
            <w:snapToGrid w:val="false"/>
            <w:rPr>
              <w:rFonts w:ascii="CG Omega" w:hAnsi="CG Omega" w:cs="CG Omega"/>
              <w:b/>
              <w:bCs/>
              <w:iCs/>
              <w:sz w:val="16"/>
              <w:szCs w:val="16"/>
            </w:rPr>
          </w:pPr>
          <w:r>
            <w:rPr>
              <w:rFonts w:cs="CG Omega" w:ascii="CG Omega" w:hAnsi="CG Omega"/>
              <w:b/>
              <w:bCs/>
              <w:iCs/>
              <w:sz w:val="16"/>
              <w:szCs w:val="16"/>
            </w:rPr>
          </w:r>
        </w:p>
      </w:tc>
      <w:tc>
        <w:tcPr>
          <w:tcW w:w="8154" w:type="dxa"/>
          <w:gridSpan w:val="2"/>
          <w:tcBorders>
            <w:top w:val="double" w:sz="4" w:space="0" w:color="000000"/>
          </w:tcBorders>
        </w:tcPr>
        <w:p>
          <w:pPr>
            <w:pStyle w:val="Header"/>
            <w:snapToGrid w:val="false"/>
            <w:jc w:val="end"/>
            <w:rPr>
              <w:rFonts w:ascii="Arial Narrow" w:hAnsi="Arial Narrow" w:cs="Arial"/>
              <w:sz w:val="4"/>
            </w:rPr>
          </w:pPr>
          <w:r>
            <w:rPr>
              <w:rFonts w:cs="Arial" w:ascii="Arial Narrow" w:hAnsi="Arial Narrow"/>
              <w:sz w:val="4"/>
            </w:rPr>
          </w:r>
        </w:p>
      </w:tc>
    </w:tr>
    <w:tr>
      <w:trPr>
        <w:trHeight w:val="295" w:hRule="atLeast"/>
        <w:cantSplit w:val="true"/>
      </w:trPr>
      <w:tc>
        <w:tcPr>
          <w:tcW w:w="1355" w:type="dxa"/>
          <w:vMerge w:val="continue"/>
          <w:tcBorders/>
          <w:vAlign w:val="center"/>
        </w:tcPr>
        <w:p>
          <w:pPr>
            <w:pStyle w:val="Header"/>
            <w:snapToGrid w:val="false"/>
            <w:rPr>
              <w:rFonts w:ascii="CG Omega" w:hAnsi="CG Omega" w:cs="CG Omega"/>
              <w:sz w:val="16"/>
            </w:rPr>
          </w:pPr>
          <w:r>
            <w:rPr>
              <w:rFonts w:cs="CG Omega" w:ascii="CG Omega" w:hAnsi="CG Omega"/>
              <w:sz w:val="16"/>
            </w:rPr>
          </w:r>
        </w:p>
      </w:tc>
      <w:tc>
        <w:tcPr>
          <w:tcW w:w="4077" w:type="dxa"/>
          <w:tcBorders/>
        </w:tcPr>
        <w:p>
          <w:pPr>
            <w:pStyle w:val="Header"/>
            <w:ind w:start="-70" w:end="0"/>
            <w:rPr>
              <w:rFonts w:ascii="Arial Narrow" w:hAnsi="Arial Narrow" w:cs="Arial"/>
              <w:b/>
              <w:bCs/>
              <w:smallCaps/>
              <w:sz w:val="14"/>
            </w:rPr>
          </w:pPr>
          <w:r>
            <w:rPr>
              <w:rFonts w:cs="Arial" w:ascii="Arial Narrow" w:hAnsi="Arial Narrow"/>
              <w:b/>
              <w:bCs/>
              <w:smallCaps/>
              <w:sz w:val="14"/>
            </w:rPr>
            <w:t>Cámara de Diputados del H. Congreso de la Unión</w:t>
          </w:r>
        </w:p>
        <w:p>
          <w:pPr>
            <w:pStyle w:val="Header"/>
            <w:ind w:start="-70" w:end="0"/>
            <w:rPr>
              <w:rFonts w:ascii="Arial Narrow" w:hAnsi="Arial Narrow" w:cs="Arial"/>
              <w:sz w:val="17"/>
            </w:rPr>
          </w:pPr>
          <w:r>
            <w:rPr>
              <w:rFonts w:cs="Arial" w:ascii="Arial Narrow" w:hAnsi="Arial Narrow"/>
              <w:sz w:val="13"/>
            </w:rPr>
            <w:t>Secretaría General</w:t>
          </w:r>
        </w:p>
        <w:p>
          <w:pPr>
            <w:pStyle w:val="Header"/>
            <w:ind w:start="-70" w:end="0"/>
            <w:rPr>
              <w:rFonts w:ascii="Arial Narrow" w:hAnsi="Arial Narrow" w:cs="Arial"/>
              <w:sz w:val="4"/>
            </w:rPr>
          </w:pPr>
          <w:r>
            <w:rPr>
              <w:rFonts w:cs="Arial" w:ascii="Arial Narrow" w:hAnsi="Arial Narrow"/>
              <w:sz w:val="13"/>
            </w:rPr>
            <w:t>Secretaría de Servicios Parlamentarios</w:t>
          </w:r>
        </w:p>
      </w:tc>
      <w:tc>
        <w:tcPr>
          <w:tcW w:w="4077" w:type="dxa"/>
          <w:tcBorders/>
        </w:tcPr>
        <w:p>
          <w:pPr>
            <w:pStyle w:val="Header"/>
            <w:jc w:val="end"/>
            <w:rPr>
              <w:rFonts w:ascii="Arial" w:hAnsi="Arial" w:cs="Arial"/>
              <w:i/>
              <w:i/>
              <w:iCs/>
              <w:sz w:val="14"/>
            </w:rPr>
          </w:pPr>
          <w:r>
            <w:rPr>
              <w:rFonts w:cs="Arial" w:ascii="Arial" w:hAnsi="Arial"/>
              <w:i/>
              <w:iCs/>
              <w:color w:val="181818"/>
              <w:sz w:val="14"/>
            </w:rPr>
            <w:t>Nueva Ley DOF 29-12-1975</w:t>
          </w:r>
        </w:p>
      </w:tc>
    </w:tr>
  </w:tbl>
  <w:p>
    <w:pPr>
      <w:pStyle w:val="Header"/>
      <w:rPr>
        <w:sz w:val="18"/>
      </w:rPr>
    </w:pPr>
    <w:r>
      <w:rPr>
        <w:sz w:val="18"/>
      </w:rPr>
    </w:r>
  </w:p>
  <w:p>
    <w:pPr>
      <w:pStyle w:val="Header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bCs/>
      <w:sz w:val="22"/>
      <w:lang w:val="es-MX"/>
    </w:rPr>
  </w:style>
  <w:style w:type="character" w:styleId="Fuentedeprrafopredeter">
    <w:name w:val="Fuente de párrafo predeter."/>
    <w:qFormat/>
    <w:rPr/>
  </w:style>
  <w:style w:type="character" w:styleId="PageNumber">
    <w:name w:val="page number"/>
    <w:basedOn w:val="Fuentedeprrafopredeter"/>
    <w:rPr/>
  </w:style>
  <w:style w:type="character" w:styleId="EncabezadoCar">
    <w:name w:val="Encabezado Car"/>
    <w:basedOn w:val="Fuentedeprrafopredeter"/>
    <w:qFormat/>
    <w:rPr>
      <w:lang w:val="es-ES"/>
    </w:rPr>
  </w:style>
  <w:style w:type="character" w:styleId="PiedepginaCar">
    <w:name w:val="Pie de página Car"/>
    <w:basedOn w:val="Fuentedeprrafopredeter"/>
    <w:qFormat/>
    <w:rPr>
      <w:lang w:val="es-ES"/>
    </w:rPr>
  </w:style>
  <w:style w:type="paragraph" w:styleId="Heading">
    <w:name w:val="Heading"/>
    <w:basedOn w:val="Normal"/>
    <w:next w:val="BodyText"/>
    <w:qFormat/>
    <w:pPr>
      <w:jc w:val="center"/>
    </w:pPr>
    <w:rPr>
      <w:rFonts w:ascii="Arial" w:hAnsi="Arial" w:cs="Arial"/>
      <w:b/>
      <w:bCs/>
      <w:color w:val="008000"/>
      <w:sz w:val="24"/>
      <w:lang w:val="es-MX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BodyTextIndent">
    <w:name w:val="Body Text Indent"/>
    <w:basedOn w:val="Normal"/>
    <w:pPr>
      <w:ind w:firstLine="289" w:start="0" w:end="0"/>
      <w:jc w:val="both"/>
    </w:pPr>
    <w:rPr>
      <w:rFonts w:ascii="Arial" w:hAnsi="Arial" w:cs="Arial"/>
      <w:lang w:val="es-MX"/>
    </w:rPr>
  </w:style>
  <w:style w:type="paragraph" w:styleId="Titulo1">
    <w:name w:val="Titulo 1"/>
    <w:basedOn w:val="Normal"/>
    <w:qFormat/>
    <w:pPr>
      <w:pBdr>
        <w:bottom w:val="single" w:sz="12" w:space="1" w:color="000000"/>
      </w:pBdr>
      <w:jc w:val="both"/>
    </w:pPr>
    <w:rPr>
      <w:rFonts w:cs="Arial"/>
      <w:b/>
      <w:sz w:val="18"/>
      <w:szCs w:val="18"/>
    </w:rPr>
  </w:style>
  <w:style w:type="paragraph" w:styleId="Header">
    <w:name w:val="header"/>
    <w:basedOn w:val="Normal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LibreOffice/25.8.0.4$MacOSX_X86_64 LibreOffice_project/48f00303701489684e67c38c28aff00cd5929e67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2008-10-01T10:42:00Z</dcterms:created>
  <dc:creator>Cámara de Diputados del H. Congreso de la Unión</dc:creator>
  <dc:description/>
  <cp:keywords/>
  <dc:language>en-US</dc:language>
  <cp:lastModifiedBy>Armando Torres</cp:lastModifiedBy>
  <dcterms:modified xsi:type="dcterms:W3CDTF">2018-09-19T12:10:00Z</dcterms:modified>
  <cp:revision>5</cp:revision>
  <dc:subject/>
  <dc:title>Ley que Crea la Universidad del Ejército y Fuerza Aérea</dc:title>
</cp:coreProperties>
</file>