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oindependiente2"/>
        <w:rPr>
          <w:rFonts w:ascii="Tahoma" w:hAnsi="Tahoma" w:cs="Tahoma"/>
          <w:sz w:val="22"/>
          <w:szCs w:val="22"/>
        </w:rPr>
      </w:pPr>
      <w:r>
        <w:rPr>
          <w:rFonts w:cs="Tahoma" w:ascii="Tahoma" w:hAnsi="Tahoma"/>
          <w:sz w:val="22"/>
          <w:szCs w:val="22"/>
        </w:rPr>
        <w:t>LEY REGLAMENTARIA DE LA FRACCIÓN V DEL ARTÍCULO 76 DE LA CONSTITUCIÓN GENERAL DE LA REPÚBLICA</w:t>
      </w:r>
    </w:p>
    <w:p>
      <w:pPr>
        <w:pStyle w:val="Normal"/>
        <w:jc w:val="center"/>
        <w:rPr>
          <w:rFonts w:ascii="Tahoma" w:hAnsi="Tahoma" w:cs="Tahoma"/>
          <w:sz w:val="16"/>
          <w:szCs w:val="16"/>
          <w:lang w:val="es-MX"/>
        </w:rPr>
      </w:pPr>
      <w:r>
        <w:rPr>
          <w:rFonts w:cs="Tahoma" w:ascii="Tahoma" w:hAnsi="Tahoma"/>
          <w:sz w:val="16"/>
          <w:szCs w:val="16"/>
          <w:lang w:val="es-MX"/>
        </w:rPr>
      </w:r>
    </w:p>
    <w:p>
      <w:pPr>
        <w:pStyle w:val="Titulo1"/>
        <w:pBdr>
          <w:bottom w:val="nil"/>
        </w:pBdr>
        <w:jc w:val="center"/>
        <w:rPr>
          <w:rFonts w:ascii="Tahoma" w:hAnsi="Tahoma" w:cs="Tahoma"/>
          <w:sz w:val="16"/>
          <w:szCs w:val="16"/>
          <w:lang w:val="es-MX"/>
        </w:rPr>
      </w:pPr>
      <w:r>
        <w:rPr>
          <w:rFonts w:cs="Tahoma" w:ascii="Tahoma" w:hAnsi="Tahoma"/>
          <w:sz w:val="16"/>
          <w:szCs w:val="16"/>
          <w:lang w:val="es-MX"/>
        </w:rPr>
        <w:t>TEXTO VIGENTE</w:t>
      </w:r>
    </w:p>
    <w:p>
      <w:pPr>
        <w:pStyle w:val="Titulo1"/>
        <w:pBdr>
          <w:bottom w:val="nil"/>
        </w:pBdr>
        <w:jc w:val="center"/>
        <w:rPr>
          <w:rFonts w:ascii="Tahoma" w:hAnsi="Tahoma" w:cs="Tahoma"/>
          <w:color w:val="CC3300"/>
          <w:sz w:val="16"/>
          <w:szCs w:val="16"/>
          <w:lang w:val="es-MX"/>
        </w:rPr>
      </w:pPr>
      <w:r>
        <w:rPr>
          <w:rFonts w:cs="Tahoma" w:ascii="Tahoma" w:hAnsi="Tahoma"/>
          <w:color w:val="CC3300"/>
          <w:sz w:val="16"/>
          <w:szCs w:val="16"/>
          <w:lang w:val="es-MX"/>
        </w:rPr>
        <w:t>Nueva Ley publicada en el Diario Oficial de la Federación el 29 de diciembre de 1978</w:t>
      </w:r>
    </w:p>
    <w:p>
      <w:pPr>
        <w:pStyle w:val="Normal"/>
        <w:jc w:val="both"/>
        <w:rPr>
          <w:rFonts w:ascii="Arial" w:hAnsi="Arial" w:cs="Arial"/>
          <w:color w:val="CC3300"/>
          <w:sz w:val="16"/>
          <w:szCs w:val="16"/>
          <w:lang w:val="es-MX"/>
        </w:rPr>
      </w:pPr>
      <w:r>
        <w:rPr>
          <w:rFonts w:cs="Arial" w:ascii="Arial" w:hAnsi="Arial"/>
          <w:color w:val="CC3300"/>
          <w:sz w:val="16"/>
          <w:szCs w:val="16"/>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t>Al margen un sello con el Escudo Nacional, que dice: Estados Unidos Mexicanos.- Presidencia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JOSE LOPEZ PORTILLO</w:t>
      </w:r>
      <w:r>
        <w:rPr>
          <w:rFonts w:cs="Arial" w:ascii="Arial" w:hAnsi="Arial"/>
          <w:lang w:val="es-MX"/>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lang w:val="es-MX"/>
        </w:rPr>
      </w:pPr>
      <w:r>
        <w:rPr>
          <w:rFonts w:cs="Arial" w:ascii="Arial" w:hAnsi="Arial"/>
          <w:lang w:val="es-MX"/>
        </w:rPr>
        <w:t>DECRETO: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Congreso de los Estados Unidos Mexicanos, decreta:</w:t>
      </w:r>
    </w:p>
    <w:p>
      <w:pPr>
        <w:pStyle w:val="Normal"/>
        <w:ind w:firstLine="289" w:end="0"/>
        <w:jc w:val="both"/>
        <w:rPr>
          <w:rFonts w:ascii="Arial" w:hAnsi="Arial" w:cs="Arial"/>
          <w:lang w:val="es-MX"/>
        </w:rPr>
      </w:pPr>
      <w:r>
        <w:rPr>
          <w:rFonts w:cs="Arial" w:ascii="Arial" w:hAnsi="Arial"/>
          <w:lang w:val="es-MX"/>
        </w:rPr>
      </w:r>
    </w:p>
    <w:p>
      <w:pPr>
        <w:pStyle w:val="Textoindependiente3"/>
        <w:rPr/>
      </w:pPr>
      <w:r>
        <w:rPr/>
        <w:t>LEY REGLAMENTARIA DE LA FRACCION V DEL ARTICULO 76 DE LA CONSTITUCION GENERAL DE LA REPUBLICA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0" w:name="Artículo_1o"/>
      <w:r>
        <w:rPr>
          <w:rFonts w:cs="Arial" w:ascii="Arial" w:hAnsi="Arial"/>
          <w:b/>
          <w:bCs/>
          <w:lang w:val="es-MX"/>
        </w:rPr>
        <w:t>ARTICULO 1o</w:t>
      </w:r>
      <w:bookmarkEnd w:id="0"/>
      <w:r>
        <w:rPr>
          <w:rFonts w:cs="Arial" w:ascii="Arial" w:hAnsi="Arial"/>
          <w:b/>
          <w:bCs/>
          <w:lang w:val="es-MX"/>
        </w:rPr>
        <w:t xml:space="preserve">.- </w:t>
      </w:r>
      <w:r>
        <w:rPr>
          <w:rFonts w:cs="Arial" w:ascii="Arial" w:hAnsi="Arial"/>
          <w:lang w:val="es-MX"/>
        </w:rPr>
        <w:t xml:space="preserve">Corresponde exclusivamente a la Cámara de Senadores determinar que se ha configurado la desaparición de los poderes Legislativo, Ejecutivo y Judicial de un Estado y hacer la declaratoria de que debe nombrarse un gobernador provisional.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 w:name="Artículo_2o"/>
      <w:r>
        <w:rPr>
          <w:rFonts w:cs="Arial" w:ascii="Arial" w:hAnsi="Arial"/>
          <w:b/>
          <w:bCs/>
          <w:lang w:val="es-MX"/>
        </w:rPr>
        <w:t>ARTICULO 2o</w:t>
      </w:r>
      <w:bookmarkEnd w:id="1"/>
      <w:r>
        <w:rPr>
          <w:rFonts w:cs="Arial" w:ascii="Arial" w:hAnsi="Arial"/>
          <w:b/>
          <w:bCs/>
          <w:lang w:val="es-MX"/>
        </w:rPr>
        <w:t xml:space="preserve">.- </w:t>
      </w:r>
      <w:r>
        <w:rPr>
          <w:rFonts w:cs="Arial" w:ascii="Arial" w:hAnsi="Arial"/>
          <w:lang w:val="es-MX"/>
        </w:rPr>
        <w:t>Se configura la desaparición de los poderes de un Estado únicamente en los casos de que los titulares de los poderes constitucionales: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Quebrantaren los principios del régimen federal.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Abandonaren el ejercicio de sus funciones, a no ser que medie causa de fuerza mayor.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Estuvieren imposibilitados físicamente para el ejercicio de las funciones inherentes a sus cargos o con motivo de situaciones o conflictos causados o propiciados por ellos mismos, que afecten la vida del Estado, impidiendo la plena vigencia del orden jurídico.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Prorrogaren su permanencia en sus cargos después de fenecido el período para el que fueron electos o nombrados y no se hubieran celebrado elecciones para elegir a los nuevos titulares.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 xml:space="preserve">Promovieren o adoptaren forma de gobierno o base de organización política distintas de las fijadas en los artículos 40 y 115 de la Constitución General de la República.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 w:name="Artículo_3o"/>
      <w:r>
        <w:rPr>
          <w:rFonts w:cs="Arial" w:ascii="Arial" w:hAnsi="Arial"/>
          <w:b/>
          <w:bCs/>
          <w:lang w:val="es-MX"/>
        </w:rPr>
        <w:t>ARTICULO 3o</w:t>
      </w:r>
      <w:bookmarkEnd w:id="2"/>
      <w:r>
        <w:rPr>
          <w:rFonts w:cs="Arial" w:ascii="Arial" w:hAnsi="Arial"/>
          <w:b/>
          <w:bCs/>
          <w:lang w:val="es-MX"/>
        </w:rPr>
        <w:t xml:space="preserve">.- </w:t>
      </w:r>
      <w:r>
        <w:rPr>
          <w:rFonts w:cs="Arial" w:ascii="Arial" w:hAnsi="Arial"/>
          <w:lang w:val="es-MX"/>
        </w:rPr>
        <w:t xml:space="preserve">La petición para que el Senado conozca de las causas a que se refiere el artículo anterior, podrá ser formulada por senadores, diputados federales o por ciudadanos de la entidad. Recibida la petición, si el Senado la estima procedente, la turnará a la Comisión correspondiente para que formule dictamen. La resolución, en su caso, se producirá dentro de los cinco días siguientes al recibo de la petición.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 w:name="Artículo_4o"/>
      <w:r>
        <w:rPr>
          <w:rFonts w:cs="Arial" w:ascii="Arial" w:hAnsi="Arial"/>
          <w:b/>
          <w:bCs/>
          <w:lang w:val="es-MX"/>
        </w:rPr>
        <w:t>ARTICULO 4o</w:t>
      </w:r>
      <w:bookmarkEnd w:id="3"/>
      <w:r>
        <w:rPr>
          <w:rFonts w:cs="Arial" w:ascii="Arial" w:hAnsi="Arial"/>
          <w:b/>
          <w:bCs/>
          <w:lang w:val="es-MX"/>
        </w:rPr>
        <w:t xml:space="preserve">.- </w:t>
      </w:r>
      <w:r>
        <w:rPr>
          <w:rFonts w:cs="Arial" w:ascii="Arial" w:hAnsi="Arial"/>
          <w:lang w:val="es-MX"/>
        </w:rPr>
        <w:t xml:space="preserve">En los recesos del Congreso de la Unión la Comisión Permanente convocará a sesiones extraordinarias a fin de que el Senado se reúna dentro de los tres días siguientes para conocer de las peticiones a que se refiere el artículo anterior. El acuerdo para convocar a sesiones extraordinarias deberá ser aprobado por el voto de las dos terceras partes de los individuos presentes de la Comisión Permanente.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 w:name="Artículo_5o"/>
      <w:r>
        <w:rPr>
          <w:rFonts w:cs="Arial" w:ascii="Arial" w:hAnsi="Arial"/>
          <w:b/>
          <w:bCs/>
          <w:lang w:val="es-MX"/>
        </w:rPr>
        <w:t>ARTICULO 5o</w:t>
      </w:r>
      <w:bookmarkEnd w:id="4"/>
      <w:r>
        <w:rPr>
          <w:rFonts w:cs="Arial" w:ascii="Arial" w:hAnsi="Arial"/>
          <w:b/>
          <w:bCs/>
          <w:lang w:val="es-MX"/>
        </w:rPr>
        <w:t xml:space="preserve">.- </w:t>
      </w:r>
      <w:r>
        <w:rPr>
          <w:rFonts w:cs="Arial" w:ascii="Arial" w:hAnsi="Arial"/>
          <w:lang w:val="es-MX"/>
        </w:rPr>
        <w:t xml:space="preserve">Si el Senado determina que han desaparecido los poderes constitucionales procederá a formular la declaratoria de que se está en el caso de nombrar gobernador provisional; para este efecto solicitará del Presidente de la República la presentación de una terna para que, de entre las personas que la compongan, se haga el nombramiento respectivo. La presentación de la terna se hará dentro de los tres días siguientes a la solicitud del Senado.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 w:name="Artículo_6o"/>
      <w:r>
        <w:rPr>
          <w:rFonts w:cs="Arial" w:ascii="Arial" w:hAnsi="Arial"/>
          <w:b/>
          <w:bCs/>
          <w:lang w:val="es-MX"/>
        </w:rPr>
        <w:t>ARTICULO 6o</w:t>
      </w:r>
      <w:bookmarkEnd w:id="5"/>
      <w:r>
        <w:rPr>
          <w:rFonts w:cs="Arial" w:ascii="Arial" w:hAnsi="Arial"/>
          <w:b/>
          <w:bCs/>
          <w:lang w:val="es-MX"/>
        </w:rPr>
        <w:t xml:space="preserve">.- </w:t>
      </w:r>
      <w:r>
        <w:rPr>
          <w:rFonts w:cs="Arial" w:ascii="Arial" w:hAnsi="Arial"/>
          <w:lang w:val="es-MX"/>
        </w:rPr>
        <w:t xml:space="preserve">Si transcurrido el plazo señalado en el artículo que precede, el Ejecutivo no envía la terna para el nombramiento de gobernador provisional, el Senado hará la designación de entre la terna que su Directiva someta a su consideración.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 w:name="Artículo_7o"/>
      <w:r>
        <w:rPr>
          <w:rFonts w:cs="Arial" w:ascii="Arial" w:hAnsi="Arial"/>
          <w:b/>
          <w:bCs/>
          <w:lang w:val="es-MX"/>
        </w:rPr>
        <w:t>ARTICULO 7o</w:t>
      </w:r>
      <w:bookmarkEnd w:id="6"/>
      <w:r>
        <w:rPr>
          <w:rFonts w:cs="Arial" w:ascii="Arial" w:hAnsi="Arial"/>
          <w:b/>
          <w:bCs/>
          <w:lang w:val="es-MX"/>
        </w:rPr>
        <w:t xml:space="preserve">.- </w:t>
      </w:r>
      <w:r>
        <w:rPr>
          <w:rFonts w:cs="Arial" w:ascii="Arial" w:hAnsi="Arial"/>
          <w:lang w:val="es-MX"/>
        </w:rPr>
        <w:t>Corresponde a la Comisión Permanente hacer la designación de gobernador provisional cuando habiendo declarado el Senado la desaparición de poderes, el Congreso de la Unión se encuentre en receso, sin que se haya nombrado gobernador provisional de la terna que proponga el Presidente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Cuando durante el receso, exista falta absoluta del gobernador provisional se procederá de acuerdo con la parte final del artículo 5o., correspondiendo también a la Comisión Permanente hacer la designación.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 w:name="Artículo_8o"/>
      <w:r>
        <w:rPr>
          <w:rFonts w:cs="Arial" w:ascii="Arial" w:hAnsi="Arial"/>
          <w:b/>
          <w:bCs/>
          <w:lang w:val="es-MX"/>
        </w:rPr>
        <w:t>ARTICULO 8o</w:t>
      </w:r>
      <w:bookmarkEnd w:id="7"/>
      <w:r>
        <w:rPr>
          <w:rFonts w:cs="Arial" w:ascii="Arial" w:hAnsi="Arial"/>
          <w:b/>
          <w:bCs/>
          <w:lang w:val="es-MX"/>
        </w:rPr>
        <w:t xml:space="preserve">.- </w:t>
      </w:r>
      <w:r>
        <w:rPr>
          <w:rFonts w:cs="Arial" w:ascii="Arial" w:hAnsi="Arial"/>
          <w:lang w:val="es-MX"/>
        </w:rPr>
        <w:t xml:space="preserve">En ningún caso se podrá nombrar al gobernador provisional de entre las personas que formaron parte de los poderes desaparecidos en el momento de la declaratoria.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 w:name="Artículo_9o"/>
      <w:r>
        <w:rPr>
          <w:rFonts w:cs="Arial" w:ascii="Arial" w:hAnsi="Arial"/>
          <w:b/>
          <w:bCs/>
          <w:lang w:val="es-MX"/>
        </w:rPr>
        <w:t>ARTICULO 9o</w:t>
      </w:r>
      <w:bookmarkEnd w:id="8"/>
      <w:r>
        <w:rPr>
          <w:rFonts w:cs="Arial" w:ascii="Arial" w:hAnsi="Arial"/>
          <w:b/>
          <w:bCs/>
          <w:lang w:val="es-MX"/>
        </w:rPr>
        <w:t xml:space="preserve">.- </w:t>
      </w:r>
      <w:r>
        <w:rPr>
          <w:rFonts w:cs="Arial" w:ascii="Arial" w:hAnsi="Arial"/>
          <w:lang w:val="es-MX"/>
        </w:rPr>
        <w:t xml:space="preserve">Unicamente podrá ser designado como gobernador provisional quien reúna los requisitos que establecen el artículo 115, fracción III, inciso b), 2o. párrafo de la Constitución General de la República y la Constitución del Estado de que se trate.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 w:name="Artículo_10"/>
      <w:r>
        <w:rPr>
          <w:rFonts w:cs="Arial" w:ascii="Arial" w:hAnsi="Arial"/>
          <w:b/>
          <w:bCs/>
          <w:lang w:val="es-MX"/>
        </w:rPr>
        <w:t>ARTICULO 10</w:t>
      </w:r>
      <w:bookmarkEnd w:id="9"/>
      <w:r>
        <w:rPr>
          <w:rFonts w:cs="Arial" w:ascii="Arial" w:hAnsi="Arial"/>
          <w:b/>
          <w:bCs/>
          <w:lang w:val="es-MX"/>
        </w:rPr>
        <w:t xml:space="preserve">.- </w:t>
      </w:r>
      <w:r>
        <w:rPr>
          <w:rFonts w:cs="Arial" w:ascii="Arial" w:hAnsi="Arial"/>
          <w:lang w:val="es-MX"/>
        </w:rPr>
        <w:t xml:space="preserve">El gobernador provisional nombrado protestará ante el Senado o la Comisión Permanente, en su caso.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 w:name="Artículo_11"/>
      <w:r>
        <w:rPr>
          <w:rFonts w:cs="Arial" w:ascii="Arial" w:hAnsi="Arial"/>
          <w:b/>
          <w:bCs/>
          <w:lang w:val="es-MX"/>
        </w:rPr>
        <w:t>ARTICULO 11</w:t>
      </w:r>
      <w:bookmarkEnd w:id="10"/>
      <w:r>
        <w:rPr>
          <w:rFonts w:cs="Arial" w:ascii="Arial" w:hAnsi="Arial"/>
          <w:b/>
          <w:bCs/>
          <w:lang w:val="es-MX"/>
        </w:rPr>
        <w:t xml:space="preserve">.- </w:t>
      </w:r>
      <w:r>
        <w:rPr>
          <w:rFonts w:cs="Arial" w:ascii="Arial" w:hAnsi="Arial"/>
          <w:lang w:val="es-MX"/>
        </w:rPr>
        <w:t>El gobernador provisional deberá:</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Convocar conforme a la Constitución del Estado, dentro de los tres meses siguientes a la asunción del cargo, a elecciones de gobernador y a integrantes del Congreso o legislatura estatal, mismas que deberán efectuarse dentro de los seis meses siguientes a la fecha de la convocatoria.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 xml:space="preserve">Hacer designación provisional de los Magistrados del Tribunal Superior de Justicia, quienes podrán ser confirmados cuando tomen posesión de su cargo los integrantes del Congreso o legislatura estatal, electos de acuerdo a la convocatoria a que se refiere la fracción anterior.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 w:name="Artículo_12"/>
      <w:r>
        <w:rPr>
          <w:rFonts w:cs="Arial" w:ascii="Arial" w:hAnsi="Arial"/>
          <w:b/>
          <w:bCs/>
          <w:lang w:val="es-MX"/>
        </w:rPr>
        <w:t>ARTICULO 12</w:t>
      </w:r>
      <w:bookmarkEnd w:id="11"/>
      <w:r>
        <w:rPr>
          <w:rFonts w:cs="Arial" w:ascii="Arial" w:hAnsi="Arial"/>
          <w:b/>
          <w:bCs/>
          <w:lang w:val="es-MX"/>
        </w:rPr>
        <w:t xml:space="preserve">.- </w:t>
      </w:r>
      <w:r>
        <w:rPr>
          <w:rFonts w:cs="Arial" w:ascii="Arial" w:hAnsi="Arial"/>
          <w:lang w:val="es-MX"/>
        </w:rPr>
        <w:t xml:space="preserve">El gobernador provisional no podrá participar como candidato a gobernador en las elecciones que se verifiquen en virtud de la convocatoria que al efecto expida.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 w:name="Artículo_13"/>
      <w:r>
        <w:rPr>
          <w:rFonts w:cs="Arial" w:ascii="Arial" w:hAnsi="Arial"/>
          <w:b/>
          <w:bCs/>
          <w:lang w:val="es-MX"/>
        </w:rPr>
        <w:t>ARTICULO 13</w:t>
      </w:r>
      <w:bookmarkEnd w:id="12"/>
      <w:r>
        <w:rPr>
          <w:rFonts w:cs="Arial" w:ascii="Arial" w:hAnsi="Arial"/>
          <w:b/>
          <w:bCs/>
          <w:lang w:val="es-MX"/>
        </w:rPr>
        <w:t xml:space="preserve">.- </w:t>
      </w:r>
      <w:r>
        <w:rPr>
          <w:rFonts w:cs="Arial" w:ascii="Arial" w:hAnsi="Arial"/>
          <w:lang w:val="es-MX"/>
        </w:rPr>
        <w:t xml:space="preserve">En el caso de que el gobernador provisional incumpla cualquiera de las previsiones de la presente ley, su designación se revocará por el Senado, haciéndose nuevo nombramiento.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3" w:name="Artículo_14"/>
      <w:r>
        <w:rPr>
          <w:rFonts w:cs="Arial" w:ascii="Arial" w:hAnsi="Arial"/>
          <w:b/>
          <w:bCs/>
          <w:lang w:val="es-MX"/>
        </w:rPr>
        <w:t>ARTICULO 14</w:t>
      </w:r>
      <w:bookmarkEnd w:id="13"/>
      <w:r>
        <w:rPr>
          <w:rFonts w:cs="Arial" w:ascii="Arial" w:hAnsi="Arial"/>
          <w:b/>
          <w:bCs/>
          <w:lang w:val="es-MX"/>
        </w:rPr>
        <w:t xml:space="preserve">.- </w:t>
      </w:r>
      <w:r>
        <w:rPr>
          <w:rFonts w:cs="Arial" w:ascii="Arial" w:hAnsi="Arial"/>
          <w:lang w:val="es-MX"/>
        </w:rPr>
        <w:t>Cuando la desaparición de poderes sea declarada dentro de los seis meses anteriores a la celebración de las elecciones ordinarias de gobernador constitucional, o exista gobernador electo, el gobernador provisional concluirá el período respectivo.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este mismo caso, el gobernador provisional convocará a la elección constitucional ordinaria respectiva para la integración del Congreso o la legislatura estatal, a menos que ya hubiere convocatoria a elecciones o existieren diputados electos.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4" w:name="Artículo_15"/>
      <w:r>
        <w:rPr>
          <w:rFonts w:cs="Arial" w:ascii="Arial" w:hAnsi="Arial"/>
          <w:b/>
          <w:bCs/>
          <w:lang w:val="es-MX"/>
        </w:rPr>
        <w:t>ARTICULO 15</w:t>
      </w:r>
      <w:bookmarkEnd w:id="14"/>
      <w:r>
        <w:rPr>
          <w:rFonts w:cs="Arial" w:ascii="Arial" w:hAnsi="Arial"/>
          <w:b/>
          <w:bCs/>
          <w:lang w:val="es-MX"/>
        </w:rPr>
        <w:t xml:space="preserve">.- </w:t>
      </w:r>
      <w:r>
        <w:rPr>
          <w:rFonts w:cs="Arial" w:ascii="Arial" w:hAnsi="Arial"/>
          <w:lang w:val="es-MX"/>
        </w:rPr>
        <w:t xml:space="preserve">Mientras se designa a los nuevos integrantes del poder judicial, los secretarios de los juzgados resolverán sobre los términos a que se refieren los artículos 19 y 20, fracciones I y III, de la Constitución General de la República.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bookmarkStart w:id="15" w:name="TRANSITORIO"/>
      <w:bookmarkEnd w:id="15"/>
      <w:r>
        <w:rPr>
          <w:rFonts w:cs="Arial" w:ascii="Arial" w:hAnsi="Arial"/>
          <w:b/>
          <w:bCs/>
          <w:sz w:val="22"/>
          <w:lang w:val="es-MX"/>
        </w:rPr>
        <w:t>TRANSITORIO</w:t>
      </w:r>
    </w:p>
    <w:p>
      <w:pPr>
        <w:pStyle w:val="Normal"/>
        <w:ind w:firstLine="289" w:end="0"/>
        <w:jc w:val="both"/>
        <w:rPr>
          <w:rFonts w:ascii="Arial" w:hAnsi="Arial" w:cs="Arial"/>
          <w:b/>
          <w:bCs/>
          <w:sz w:val="22"/>
          <w:lang w:val="es-MX"/>
        </w:rPr>
      </w:pPr>
      <w:r>
        <w:rPr>
          <w:rFonts w:cs="Arial" w:ascii="Arial" w:hAnsi="Arial"/>
          <w:b/>
          <w:bCs/>
          <w:sz w:val="22"/>
          <w:lang w:val="es-MX"/>
        </w:rPr>
      </w:r>
      <w:bookmarkStart w:id="16" w:name="TRANSITORIO"/>
      <w:bookmarkStart w:id="17" w:name="TRANSITORIO"/>
      <w:bookmarkEnd w:id="17"/>
    </w:p>
    <w:p>
      <w:pPr>
        <w:pStyle w:val="Normal"/>
        <w:ind w:firstLine="289" w:end="0"/>
        <w:jc w:val="both"/>
        <w:rPr/>
      </w:pPr>
      <w:bookmarkStart w:id="18" w:name="Único"/>
      <w:r>
        <w:rPr>
          <w:rFonts w:cs="Arial" w:ascii="Arial" w:hAnsi="Arial"/>
          <w:b/>
          <w:bCs/>
          <w:lang w:val="es-MX"/>
        </w:rPr>
        <w:t>UNICO</w:t>
      </w:r>
      <w:bookmarkEnd w:id="18"/>
      <w:r>
        <w:rPr>
          <w:rFonts w:cs="Arial" w:ascii="Arial" w:hAnsi="Arial"/>
          <w:b/>
          <w:bCs/>
          <w:lang w:val="es-MX"/>
        </w:rPr>
        <w:t xml:space="preserve">.- </w:t>
      </w:r>
      <w:r>
        <w:rPr>
          <w:rFonts w:cs="Arial" w:ascii="Arial" w:hAnsi="Arial"/>
          <w:lang w:val="es-MX"/>
        </w:rPr>
        <w:t>Esta ley entrará en vigor el día de su publicación en el "Diario Oficial" de la Federación.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 F., a 27 de diciembre de 1978.- </w:t>
      </w:r>
      <w:r>
        <w:rPr>
          <w:rFonts w:cs="Arial" w:ascii="Arial" w:hAnsi="Arial"/>
          <w:b/>
          <w:bCs/>
          <w:lang w:val="es-MX"/>
        </w:rPr>
        <w:t>Antonio Ocampo Ramírez</w:t>
      </w:r>
      <w:r>
        <w:rPr>
          <w:rFonts w:cs="Arial" w:ascii="Arial" w:hAnsi="Arial"/>
          <w:lang w:val="es-MX"/>
        </w:rPr>
        <w:t xml:space="preserve">, S.P.- </w:t>
      </w:r>
      <w:r>
        <w:rPr>
          <w:rFonts w:cs="Arial" w:ascii="Arial" w:hAnsi="Arial"/>
          <w:b/>
          <w:bCs/>
          <w:lang w:val="es-MX"/>
        </w:rPr>
        <w:t>Antonio Riva Palacio López</w:t>
      </w:r>
      <w:r>
        <w:rPr>
          <w:rFonts w:cs="Arial" w:ascii="Arial" w:hAnsi="Arial"/>
          <w:lang w:val="es-MX"/>
        </w:rPr>
        <w:t xml:space="preserve">, D.P.- </w:t>
      </w:r>
      <w:r>
        <w:rPr>
          <w:rFonts w:cs="Arial" w:ascii="Arial" w:hAnsi="Arial"/>
          <w:b/>
          <w:bCs/>
          <w:lang w:val="es-MX"/>
        </w:rPr>
        <w:t>Joaquín E. Repetto Ocampo</w:t>
      </w:r>
      <w:r>
        <w:rPr>
          <w:rFonts w:cs="Arial" w:ascii="Arial" w:hAnsi="Arial"/>
          <w:lang w:val="es-MX"/>
        </w:rPr>
        <w:t xml:space="preserve">, S.S.- </w:t>
      </w:r>
      <w:r>
        <w:rPr>
          <w:rFonts w:cs="Arial" w:ascii="Arial" w:hAnsi="Arial"/>
          <w:b/>
          <w:bCs/>
          <w:lang w:val="es-MX"/>
        </w:rPr>
        <w:t>Abelardo Carrillo Zavala</w:t>
      </w:r>
      <w:r>
        <w:rPr>
          <w:rFonts w:cs="Arial" w:ascii="Arial" w:hAnsi="Arial"/>
          <w:lang w:val="es-MX"/>
        </w:rPr>
        <w:t>, D.S.- Rúbricas".</w:t>
      </w:r>
    </w:p>
    <w:p>
      <w:pPr>
        <w:pStyle w:val="Normal"/>
        <w:ind w:firstLine="289" w:end="0"/>
        <w:jc w:val="both"/>
        <w:rPr>
          <w:rFonts w:ascii="Arial" w:hAnsi="Arial" w:cs="Arial"/>
          <w:lang w:val="es-MX"/>
        </w:rPr>
      </w:pPr>
      <w:r>
        <w:rPr>
          <w:rFonts w:cs="Arial" w:ascii="Arial" w:hAnsi="Arial"/>
          <w:lang w:val="es-MX"/>
        </w:rPr>
      </w:r>
    </w:p>
    <w:p>
      <w:pPr>
        <w:pStyle w:val="BodyTextIndent"/>
        <w:rPr/>
      </w:pPr>
      <w:r>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veintisiete días del mes de diciembre de mil novecientos setenta y ocho.- </w:t>
      </w:r>
      <w:r>
        <w:rPr>
          <w:b/>
          <w:bCs/>
        </w:rPr>
        <w:t>José López Portillo</w:t>
      </w:r>
      <w:r>
        <w:rPr/>
        <w:t xml:space="preserve">.- Rúbrica.- El Secretario de Gobernación, </w:t>
      </w:r>
      <w:r>
        <w:rPr>
          <w:b/>
          <w:bCs/>
        </w:rPr>
        <w:t>Jesús Reyes Heroles</w:t>
      </w:r>
      <w:r>
        <w:rPr/>
        <w:t xml:space="preserve">.- Rúbrica. </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3</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3</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09" w:type="dxa"/>
      <w:jc w:val="start"/>
      <w:tblInd w:w="0" w:type="dxa"/>
      <w:tblLayout w:type="fixed"/>
      <w:tblCellMar>
        <w:top w:w="0" w:type="dxa"/>
        <w:start w:w="70" w:type="dxa"/>
        <w:bottom w:w="0" w:type="dxa"/>
        <w:end w:w="70" w:type="dxa"/>
      </w:tblCellMar>
    </w:tblPr>
    <w:tblGrid>
      <w:gridCol w:w="1355"/>
      <w:gridCol w:w="4077"/>
      <w:gridCol w:w="4077"/>
    </w:tblGrid>
    <w:tr>
      <w:trPr>
        <w:trHeight w:val="333" w:hRule="atLeast"/>
        <w:cantSplit w:val="true"/>
      </w:trPr>
      <w:tc>
        <w:tcPr>
          <w:tcW w:w="1355"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148610024" r:id="rId1"/>
            </w:object>
          </w:r>
        </w:p>
      </w:tc>
      <w:tc>
        <w:tcPr>
          <w:tcW w:w="8154" w:type="dxa"/>
          <w:gridSpan w:val="2"/>
          <w:tcBorders>
            <w:bottom w:val="double" w:sz="4" w:space="0" w:color="000000"/>
          </w:tcBorders>
          <w:vAlign w:val="bottom"/>
        </w:tcPr>
        <w:p>
          <w:pPr>
            <w:pStyle w:val="Header"/>
            <w:jc w:val="end"/>
            <w:rPr>
              <w:rFonts w:ascii="Tahoma" w:hAnsi="Tahoma" w:cs="Tahoma"/>
              <w:b/>
              <w:bCs/>
              <w:iCs/>
              <w:sz w:val="14"/>
              <w:szCs w:val="14"/>
            </w:rPr>
          </w:pPr>
          <w:r>
            <w:rPr>
              <w:rFonts w:cs="Tahoma" w:ascii="Tahoma" w:hAnsi="Tahoma"/>
              <w:b/>
              <w:bCs/>
              <w:sz w:val="14"/>
              <w:szCs w:val="14"/>
            </w:rPr>
            <w:t>LEY REGLAMENTARIA DE LA FRACCIÓN V DEL ARTÍCULO 76 DE LA CONSTITUCIÓN GENERAL DE LA REPÚBLICA</w:t>
          </w:r>
        </w:p>
      </w:tc>
    </w:tr>
    <w:tr>
      <w:trPr>
        <w:trHeight w:val="50" w:hRule="atLeast"/>
        <w:cantSplit w:val="true"/>
      </w:trPr>
      <w:tc>
        <w:tcPr>
          <w:tcW w:w="1355" w:type="dxa"/>
          <w:vMerge w:val="continue"/>
          <w:tcBorders/>
          <w:vAlign w:val="center"/>
        </w:tcPr>
        <w:p>
          <w:pPr>
            <w:pStyle w:val="Header"/>
            <w:snapToGrid w:val="false"/>
            <w:rPr>
              <w:rFonts w:ascii="CG Omega" w:hAnsi="CG Omega" w:cs="CG Omega"/>
              <w:b/>
              <w:bCs/>
              <w:iCs/>
              <w:sz w:val="16"/>
              <w:szCs w:val="14"/>
            </w:rPr>
          </w:pPr>
          <w:r>
            <w:rPr>
              <w:rFonts w:cs="CG Omega" w:ascii="CG Omega" w:hAnsi="CG Omega"/>
              <w:b/>
              <w:bCs/>
              <w:iCs/>
              <w:sz w:val="16"/>
              <w:szCs w:val="14"/>
            </w:rPr>
          </w:r>
        </w:p>
      </w:tc>
      <w:tc>
        <w:tcPr>
          <w:tcW w:w="8154" w:type="dxa"/>
          <w:gridSpan w:val="2"/>
          <w:tcBorders>
            <w:top w:val="double" w:sz="4" w:space="0" w:color="000000"/>
          </w:tcBorders>
        </w:tcPr>
        <w:p>
          <w:pPr>
            <w:pStyle w:val="Header"/>
            <w:snapToGrid w:val="false"/>
            <w:jc w:val="end"/>
            <w:rPr>
              <w:rFonts w:ascii="Arial Narrow" w:hAnsi="Arial Narrow" w:cs="Arial"/>
              <w:sz w:val="4"/>
            </w:rPr>
          </w:pPr>
          <w:r>
            <w:rPr>
              <w:rFonts w:cs="Arial" w:ascii="Arial Narrow" w:hAnsi="Arial Narrow"/>
              <w:sz w:val="4"/>
            </w:rPr>
          </w:r>
        </w:p>
      </w:tc>
    </w:tr>
    <w:tr>
      <w:trPr>
        <w:trHeight w:val="295" w:hRule="atLeast"/>
        <w:cantSplit w:val="true"/>
      </w:trPr>
      <w:tc>
        <w:tcPr>
          <w:tcW w:w="1355"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jc w:val="end"/>
            <w:rPr>
              <w:rFonts w:ascii="Arial" w:hAnsi="Arial" w:cs="Arial"/>
              <w:i/>
              <w:i/>
              <w:iCs/>
              <w:sz w:val="14"/>
            </w:rPr>
          </w:pPr>
          <w:r>
            <w:rPr>
              <w:rFonts w:cs="Arial" w:ascii="Arial" w:hAnsi="Arial"/>
              <w:i/>
              <w:iCs/>
              <w:color w:val="181818"/>
              <w:sz w:val="14"/>
            </w:rPr>
            <w:t>Nueva Ley DOF 29-12-1978</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jc w:val="center"/>
      <w:outlineLvl w:val="0"/>
    </w:pPr>
    <w:rPr>
      <w:rFonts w:ascii="Arial" w:hAnsi="Arial" w:cs="Arial"/>
      <w:b/>
      <w:bCs/>
      <w:sz w:val="22"/>
      <w:lang w:val="es-MX"/>
    </w:rPr>
  </w:style>
  <w:style w:type="character" w:styleId="Fuentedeprrafopredeter">
    <w:name w:val="Fuente de párrafo predeter."/>
    <w:qFormat/>
    <w:rPr/>
  </w:style>
  <w:style w:type="character" w:styleId="PageNumber">
    <w:name w:val="page number"/>
    <w:basedOn w:val="Fuentedeprrafopredeter"/>
    <w:rPr/>
  </w:style>
  <w:style w:type="character" w:styleId="EncabezadoCar">
    <w:name w:val="Encabezado Car"/>
    <w:basedOn w:val="Fuentedeprrafopredeter"/>
    <w:qFormat/>
    <w:rPr>
      <w:lang w:val="es-ES"/>
    </w:rPr>
  </w:style>
  <w:style w:type="character" w:styleId="PiedepginaCar">
    <w:name w:val="Pie de página Car"/>
    <w:basedOn w:val="Fuentedeprrafopredeter"/>
    <w:qFormat/>
    <w:rPr>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both"/>
    </w:pPr>
    <w:rPr>
      <w:rFonts w:ascii="Arial" w:hAnsi="Arial" w:cs="Arial"/>
      <w:b/>
      <w:sz w:val="24"/>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independiente2">
    <w:name w:val="Texto independiente 2"/>
    <w:basedOn w:val="Normal"/>
    <w:qFormat/>
    <w:pPr>
      <w:jc w:val="center"/>
    </w:pPr>
    <w:rPr>
      <w:rFonts w:ascii="Arial" w:hAnsi="Arial" w:cs="Arial"/>
      <w:b/>
      <w:bCs/>
      <w:color w:val="008000"/>
      <w:sz w:val="24"/>
    </w:rPr>
  </w:style>
  <w:style w:type="paragraph" w:styleId="Textoindependiente3">
    <w:name w:val="Texto independiente 3"/>
    <w:basedOn w:val="Normal"/>
    <w:qFormat/>
    <w:pPr>
      <w:jc w:val="center"/>
    </w:pPr>
    <w:rPr>
      <w:rFonts w:ascii="Arial" w:hAnsi="Arial" w:cs="Arial"/>
      <w:b/>
      <w:bCs/>
      <w:sz w:val="22"/>
      <w:lang w:val="es-MX"/>
    </w:rPr>
  </w:style>
  <w:style w:type="paragraph" w:styleId="BodyTextIndent">
    <w:name w:val="Body Text Indent"/>
    <w:basedOn w:val="Normal"/>
    <w:pPr>
      <w:ind w:firstLine="289" w:start="0" w:end="0"/>
      <w:jc w:val="both"/>
    </w:pPr>
    <w:rPr>
      <w:rFonts w:ascii="Arial" w:hAnsi="Arial" w:cs="Arial"/>
      <w:lang w:val="es-MX"/>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Titulo1">
    <w:name w:val="Titulo 1"/>
    <w:basedOn w:val="Normal"/>
    <w:qFormat/>
    <w:pPr>
      <w:pBdr>
        <w:bottom w:val="single" w:sz="12" w:space="1" w:color="000000"/>
      </w:pBdr>
      <w:jc w:val="both"/>
    </w:pPr>
    <w:rPr>
      <w:rFonts w:cs="Arial"/>
      <w:b/>
      <w:sz w:val="18"/>
      <w:szCs w:val="18"/>
    </w:rPr>
  </w:style>
  <w:style w:type="paragraph" w:styleId="Header">
    <w:name w:val="header"/>
    <w:basedOn w:val="Normal"/>
    <w:pPr>
      <w:tabs>
        <w:tab w:val="clear" w:pos="708"/>
        <w:tab w:val="center" w:pos="4419" w:leader="none"/>
        <w:tab w:val="right" w:pos="8838" w:leader="none"/>
      </w:tab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13</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2008-10-01T10:44:00Z</dcterms:created>
  <dc:creator>Cámara de Diputados del H. Congreso de la Unión</dc:creator>
  <dc:description/>
  <cp:keywords/>
  <dc:language>en-US</dc:language>
  <cp:lastModifiedBy>Armando Torres</cp:lastModifiedBy>
  <dcterms:modified xsi:type="dcterms:W3CDTF">2018-09-19T12:50:00Z</dcterms:modified>
  <cp:revision>5</cp:revision>
  <dc:subject/>
  <dc:title>Ley Reglamentaria de la Fracción V del Artículo 76 de la Constitución General de la República</dc:title>
</cp:coreProperties>
</file>