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440</w:t>
      </w:r>
      <w:r w:rsidR="00287BAB">
        <w:rPr>
          <w:rFonts w:ascii="Arial" w:hAnsi="Arial" w:cs="Arial"/>
          <w:b/>
          <w:sz w:val="22"/>
          <w:szCs w:val="22"/>
          <w:lang w:val="hr-HR"/>
        </w:rPr>
        <w:t>a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9D6A79">
        <w:rPr>
          <w:rFonts w:ascii="Arial" w:hAnsi="Arial" w:cs="Arial"/>
          <w:b/>
          <w:sz w:val="22"/>
          <w:szCs w:val="22"/>
          <w:lang w:val="hr-HR"/>
        </w:rPr>
        <w:t xml:space="preserve"> 222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Sveučilište Josipa Jurja Strossmayera u Osijeku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Tr</w:t>
      </w:r>
      <w:r w:rsidR="006B624F">
        <w:rPr>
          <w:rFonts w:ascii="Arial" w:hAnsi="Arial" w:cs="Arial"/>
          <w:b/>
          <w:sz w:val="22"/>
          <w:szCs w:val="22"/>
          <w:lang w:val="hr-HR"/>
        </w:rPr>
        <w:t>g Sv. Trojstva 3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T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rg Ljudevita Gaja 6, 31000 Osijek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