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415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9D6A79">
        <w:rPr>
          <w:rFonts w:ascii="Arial" w:hAnsi="Arial" w:cs="Arial"/>
          <w:b/>
          <w:sz w:val="22"/>
          <w:szCs w:val="22"/>
          <w:lang w:val="hr-HR"/>
        </w:rPr>
        <w:t>267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Katolički bogoslovni fakultet, Split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Zr</w:t>
      </w:r>
      <w:r w:rsidR="006B624F">
        <w:rPr>
          <w:rFonts w:ascii="Arial" w:hAnsi="Arial" w:cs="Arial"/>
          <w:b/>
          <w:sz w:val="22"/>
          <w:szCs w:val="22"/>
          <w:lang w:val="hr-HR"/>
        </w:rPr>
        <w:t>injsko-Frankopanska 19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>
            <w:r/>
            <w:r>
              <w:rPr>
                <w:rFonts w:ascii="Arial" w:hAnsi="Arial" w:eastAsia="Arial"/>
                <w:sz w:val="22"/>
              </w:rPr>
              <w:t>GG0912-251539400</w:t>
            </w: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Z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rinjsko-Frankopanska 19, 21000 Split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