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0"/>
      </w:tblGrid>
      <w:tr w:rsidR="00854FF2" w:rsidRPr="00BF0AAA" w14:paraId="68360152" w14:textId="77777777" w:rsidTr="00854FF2">
        <w:tc>
          <w:tcPr>
            <w:tcW w:w="8980" w:type="dxa"/>
            <w:tcBorders>
              <w:top w:val="nil"/>
              <w:left w:val="nil"/>
              <w:bottom w:val="nil"/>
              <w:right w:val="nil"/>
            </w:tcBorders>
          </w:tcPr>
          <w:p w14:paraId="019CA753" w14:textId="77777777" w:rsidR="00263453" w:rsidRPr="00BF0AAA" w:rsidRDefault="00263453" w:rsidP="00263453">
            <w:pPr>
              <w:pStyle w:val="BodyText"/>
              <w:rPr>
                <w:rFonts w:ascii="Arial" w:hAnsi="Arial" w:cs="Arial"/>
                <w:sz w:val="22"/>
                <w:szCs w:val="22"/>
                <w:lang w:val="cs-CZ"/>
              </w:rPr>
            </w:pPr>
            <w:bookmarkStart w:id="0" w:name="Text1"/>
            <w:r w:rsidRPr="00BF0AAA">
              <w:rPr>
                <w:rFonts w:ascii="Arial" w:hAnsi="Arial" w:cs="Arial"/>
                <w:sz w:val="22"/>
                <w:szCs w:val="22"/>
                <w:lang w:val="cs-CZ"/>
              </w:rPr>
              <w:t>[Tento vzorový dokument je určen k použití v zemích Evropského hospodářského prostoru a ve Švýcarsku; obsahuje výjimku z globálního znění protikorupčních ustanovení na základě místních požadavků odvozenýc</w:t>
            </w:r>
          </w:p>
          <w:p w14:paraId="54CED8A9" w14:textId="71CBBB72" w:rsidR="00263453" w:rsidRPr="00BF0AAA" w:rsidRDefault="00263453" w:rsidP="00263453">
            <w:pPr>
              <w:pStyle w:val="BodyText"/>
              <w:rPr>
                <w:rFonts w:ascii="Arial" w:hAnsi="Arial" w:cs="Arial"/>
                <w:sz w:val="22"/>
                <w:szCs w:val="22"/>
                <w:lang w:val="cs-CZ"/>
              </w:rPr>
            </w:pPr>
            <w:r w:rsidRPr="00BF0AAA">
              <w:rPr>
                <w:rFonts w:ascii="Arial" w:hAnsi="Arial" w:cs="Arial"/>
                <w:sz w:val="22"/>
                <w:szCs w:val="22"/>
                <w:lang w:val="cs-CZ"/>
              </w:rPr>
              <w:t>h z příslušné legislativy týkající se ochrany osobních údajů a smluvního práva.]</w:t>
            </w:r>
          </w:p>
          <w:p w14:paraId="1E5AB7AB" w14:textId="77777777" w:rsidR="00263453" w:rsidRPr="00BF0AAA" w:rsidRDefault="00263453" w:rsidP="00263453">
            <w:pPr>
              <w:rPr>
                <w:rFonts w:ascii="Arial" w:hAnsi="Arial" w:cs="Arial"/>
                <w:b/>
                <w:sz w:val="22"/>
                <w:szCs w:val="22"/>
                <w:lang w:val="cs-CZ"/>
              </w:rPr>
            </w:pPr>
          </w:p>
          <w:p w14:paraId="4701FAD5" w14:textId="6E436D40" w:rsidR="00854FF2" w:rsidRPr="00BF0AAA" w:rsidRDefault="00263453" w:rsidP="00263453">
            <w:pPr>
              <w:jc w:val="center"/>
              <w:rPr>
                <w:rFonts w:ascii="Arial" w:hAnsi="Arial" w:cs="Arial"/>
                <w:b/>
                <w:sz w:val="22"/>
                <w:szCs w:val="22"/>
                <w:lang w:val="cs-CZ"/>
              </w:rPr>
            </w:pPr>
            <w:r w:rsidRPr="00BF0AAA">
              <w:rPr>
                <w:rFonts w:ascii="Arial" w:hAnsi="Arial" w:cs="Arial"/>
                <w:b/>
                <w:sz w:val="22"/>
                <w:szCs w:val="22"/>
                <w:lang w:val="cs-CZ"/>
              </w:rPr>
              <w:t>RÁMCOVÁ SMLOUVA O POSKYTOVÁNÍ SLUŽEB ZDRAVOTNICKÝCH PRACOVNÍKŮ</w:t>
            </w:r>
          </w:p>
          <w:p w14:paraId="2FE2E945" w14:textId="77777777" w:rsidR="00263453" w:rsidRPr="00BF0AAA" w:rsidRDefault="00263453" w:rsidP="00263453">
            <w:pPr>
              <w:jc w:val="both"/>
              <w:rPr>
                <w:rFonts w:ascii="Arial" w:hAnsi="Arial" w:cs="Arial"/>
                <w:sz w:val="22"/>
                <w:szCs w:val="22"/>
                <w:lang w:val="sk-SK"/>
              </w:rPr>
            </w:pPr>
          </w:p>
          <w:bookmarkEnd w:id="0"/>
          <w:p w14:paraId="2BB74A42" w14:textId="1FD9279F" w:rsidR="00E92CB1" w:rsidRPr="00BF0AAA" w:rsidRDefault="00263453">
            <w:pPr>
              <w:jc w:val="both"/>
              <w:rPr>
                <w:rFonts w:ascii="Arial" w:hAnsi="Arial" w:cs="Arial"/>
                <w:sz w:val="22"/>
                <w:szCs w:val="22"/>
                <w:lang w:val="sk-SK"/>
              </w:rPr>
            </w:pPr>
            <w:r w:rsidRPr="00BF0AAA">
              <w:rPr>
                <w:rFonts w:ascii="Arial" w:hAnsi="Arial" w:cs="Arial"/>
                <w:sz w:val="22"/>
                <w:szCs w:val="22"/>
                <w:lang w:val="cs-CZ"/>
              </w:rPr>
              <w:t xml:space="preserve">Mezi následujícími stranami (dále jen „Strany“) </w:t>
            </w:r>
          </w:p>
          <w:p w14:paraId="70599E4F" w14:textId="77777777" w:rsidR="00E92CB1" w:rsidRPr="00BF0AAA" w:rsidRDefault="00E92CB1">
            <w:pPr>
              <w:tabs>
                <w:tab w:val="right" w:pos="8823"/>
              </w:tabs>
              <w:spacing w:line="280" w:lineRule="exact"/>
              <w:jc w:val="both"/>
              <w:rPr>
                <w:rFonts w:ascii="Arial" w:hAnsi="Arial" w:cs="Arial"/>
                <w:sz w:val="22"/>
                <w:szCs w:val="22"/>
                <w:lang w:val="sk-SK"/>
              </w:rPr>
            </w:pPr>
            <w:r w:rsidRPr="00BF0AAA">
              <w:rPr>
                <w:rFonts w:ascii="Arial" w:hAnsi="Arial" w:cs="Arial"/>
                <w:sz w:val="22"/>
                <w:szCs w:val="22"/>
                <w:lang w:val="sk-SK"/>
              </w:rPr>
              <w:t>(ďalej len „Zdravotnícky pracovník“)</w:t>
            </w:r>
          </w:p>
          <w:p w14:paraId="142C50E0" w14:textId="391B3DA7" w:rsidR="00854FF2" w:rsidRPr="00BF0AAA" w:rsidRDefault="00854FF2">
            <w:pPr>
              <w:tabs>
                <w:tab w:val="right" w:pos="8823"/>
              </w:tabs>
              <w:spacing w:line="280" w:lineRule="exact"/>
              <w:jc w:val="both"/>
              <w:rPr>
                <w:rFonts w:ascii="Arial" w:hAnsi="Arial" w:cs="Arial"/>
                <w:sz w:val="22"/>
                <w:szCs w:val="22"/>
                <w:lang w:val="en-US"/>
              </w:rPr>
            </w:pPr>
            <w:r w:rsidRPr="00BF0AAA">
              <w:rPr>
                <w:rFonts w:ascii="Arial" w:hAnsi="Arial" w:cs="Arial"/>
                <w:sz w:val="22"/>
                <w:szCs w:val="22"/>
                <w:lang w:val="en-US"/>
              </w:rPr>
              <w:t>&lt;&lt;</w:t>
            </w:r>
            <w:proofErr w:type="spellStart"/>
            <w:r w:rsidRPr="00BF0AAA">
              <w:rPr>
                <w:rFonts w:ascii="Arial" w:hAnsi="Arial" w:cs="Arial"/>
                <w:sz w:val="22"/>
                <w:szCs w:val="22"/>
                <w:lang w:val="en-US"/>
              </w:rPr>
              <w:t>Account_MERC_Title_Desc_GLBL</w:t>
            </w:r>
            <w:proofErr w:type="spellEnd"/>
            <w:r w:rsidRPr="00BF0AAA">
              <w:rPr>
                <w:rFonts w:ascii="Arial" w:hAnsi="Arial" w:cs="Arial"/>
                <w:sz w:val="22"/>
                <w:szCs w:val="22"/>
                <w:lang w:val="en-US"/>
              </w:rPr>
              <w:t>&gt;&gt;</w:t>
            </w:r>
          </w:p>
          <w:p w14:paraId="03276B55" w14:textId="77777777" w:rsidR="00854FF2" w:rsidRPr="00BF0AAA" w:rsidRDefault="00854FF2">
            <w:pPr>
              <w:tabs>
                <w:tab w:val="right" w:pos="8823"/>
              </w:tabs>
              <w:spacing w:line="280" w:lineRule="exact"/>
              <w:jc w:val="both"/>
              <w:rPr>
                <w:rFonts w:ascii="Arial" w:hAnsi="Arial" w:cs="Arial"/>
                <w:sz w:val="22"/>
                <w:szCs w:val="22"/>
                <w:lang w:val="en-US"/>
              </w:rPr>
            </w:pPr>
            <w:r w:rsidRPr="00BF0AAA">
              <w:rPr>
                <w:rFonts w:ascii="Arial" w:hAnsi="Arial" w:cs="Arial"/>
                <w:sz w:val="22"/>
                <w:szCs w:val="22"/>
                <w:lang w:val="en-US"/>
              </w:rPr>
              <w:t>&lt;&lt;</w:t>
            </w:r>
            <w:proofErr w:type="spellStart"/>
            <w:r w:rsidRPr="00BF0AAA">
              <w:rPr>
                <w:rFonts w:ascii="Arial" w:hAnsi="Arial" w:cs="Arial"/>
                <w:sz w:val="22"/>
                <w:szCs w:val="22"/>
                <w:lang w:val="en-US"/>
              </w:rPr>
              <w:t>Account_MERC_Sfx_Nm_GLBL</w:t>
            </w:r>
            <w:proofErr w:type="spellEnd"/>
            <w:r w:rsidRPr="00BF0AAA">
              <w:rPr>
                <w:rFonts w:ascii="Arial" w:hAnsi="Arial" w:cs="Arial"/>
                <w:sz w:val="22"/>
                <w:szCs w:val="22"/>
                <w:lang w:val="en-US"/>
              </w:rPr>
              <w:t>&gt;&gt;</w:t>
            </w:r>
          </w:p>
          <w:p w14:paraId="1A4D5A12" w14:textId="77777777" w:rsidR="00854FF2" w:rsidRPr="00BF0AAA" w:rsidRDefault="00854FF2">
            <w:pPr>
              <w:tabs>
                <w:tab w:val="right" w:pos="8823"/>
              </w:tabs>
              <w:spacing w:line="280" w:lineRule="exact"/>
              <w:jc w:val="both"/>
              <w:rPr>
                <w:rFonts w:ascii="Arial" w:hAnsi="Arial" w:cs="Arial"/>
                <w:sz w:val="22"/>
                <w:szCs w:val="22"/>
                <w:lang w:val="en-US"/>
              </w:rPr>
            </w:pPr>
            <w:r w:rsidRPr="00BF0AAA">
              <w:rPr>
                <w:rFonts w:ascii="Arial" w:hAnsi="Arial" w:cs="Arial"/>
                <w:sz w:val="22"/>
                <w:szCs w:val="22"/>
                <w:lang w:val="en-US"/>
              </w:rPr>
              <w:t>&lt;&lt;</w:t>
            </w:r>
            <w:proofErr w:type="spellStart"/>
            <w:r w:rsidRPr="00BF0AAA">
              <w:rPr>
                <w:rFonts w:ascii="Arial" w:hAnsi="Arial" w:cs="Arial"/>
                <w:sz w:val="22"/>
                <w:szCs w:val="22"/>
                <w:lang w:val="en-US"/>
              </w:rPr>
              <w:t>Account_MERC_Name</w:t>
            </w:r>
            <w:proofErr w:type="spellEnd"/>
            <w:r w:rsidRPr="00BF0AAA">
              <w:rPr>
                <w:rFonts w:ascii="Arial" w:hAnsi="Arial" w:cs="Arial"/>
                <w:sz w:val="22"/>
                <w:szCs w:val="22"/>
                <w:lang w:val="en-US"/>
              </w:rPr>
              <w:t>&gt;&gt;</w:t>
            </w:r>
          </w:p>
          <w:p w14:paraId="2485353E" w14:textId="77777777" w:rsidR="00854FF2" w:rsidRPr="00BF0AAA" w:rsidRDefault="00854FF2">
            <w:pPr>
              <w:tabs>
                <w:tab w:val="right" w:pos="8823"/>
              </w:tabs>
              <w:spacing w:line="280" w:lineRule="exact"/>
              <w:jc w:val="both"/>
              <w:rPr>
                <w:rFonts w:ascii="Arial" w:hAnsi="Arial" w:cs="Arial"/>
                <w:sz w:val="22"/>
                <w:szCs w:val="22"/>
                <w:lang w:val="en-US"/>
              </w:rPr>
            </w:pPr>
            <w:r w:rsidRPr="00BF0AAA">
              <w:rPr>
                <w:rFonts w:ascii="Arial" w:hAnsi="Arial" w:cs="Arial"/>
                <w:sz w:val="22"/>
                <w:szCs w:val="22"/>
                <w:lang w:val="en-US"/>
              </w:rPr>
              <w:t>&lt;&lt;Address_GLBL_Line_1_Adrs_Txt_GLBL&gt;&gt;</w:t>
            </w:r>
          </w:p>
          <w:p w14:paraId="255847B1" w14:textId="77777777" w:rsidR="00854FF2" w:rsidRPr="00BF0AAA" w:rsidRDefault="00854FF2">
            <w:pPr>
              <w:tabs>
                <w:tab w:val="right" w:pos="8823"/>
              </w:tabs>
              <w:spacing w:line="280" w:lineRule="exact"/>
              <w:jc w:val="both"/>
              <w:rPr>
                <w:rFonts w:ascii="Arial" w:hAnsi="Arial" w:cs="Arial"/>
                <w:sz w:val="22"/>
                <w:szCs w:val="22"/>
                <w:lang w:val="en-US"/>
              </w:rPr>
            </w:pPr>
            <w:r w:rsidRPr="00BF0AAA">
              <w:rPr>
                <w:rFonts w:ascii="Arial" w:hAnsi="Arial" w:cs="Arial"/>
                <w:sz w:val="22"/>
                <w:szCs w:val="22"/>
                <w:lang w:val="en-US"/>
              </w:rPr>
              <w:t>&lt;&lt;Address_GLBL_Line_2_Adrs_Txt_GLBL&gt;&gt;</w:t>
            </w:r>
          </w:p>
          <w:p w14:paraId="46C325AC" w14:textId="070E9017" w:rsidR="00854FF2" w:rsidRPr="00BF0AAA" w:rsidRDefault="00854FF2">
            <w:pPr>
              <w:jc w:val="both"/>
              <w:rPr>
                <w:rFonts w:ascii="Arial" w:hAnsi="Arial" w:cs="Arial"/>
                <w:sz w:val="22"/>
                <w:szCs w:val="22"/>
                <w:lang w:val="en-US"/>
              </w:rPr>
            </w:pPr>
            <w:r w:rsidRPr="00BF0AAA">
              <w:rPr>
                <w:rFonts w:ascii="Arial" w:hAnsi="Arial" w:cs="Arial"/>
                <w:sz w:val="22"/>
                <w:szCs w:val="22"/>
                <w:lang w:val="en-US"/>
              </w:rPr>
              <w:t>&lt;&lt;</w:t>
            </w:r>
            <w:proofErr w:type="spellStart"/>
            <w:r w:rsidRPr="00BF0AAA">
              <w:rPr>
                <w:rFonts w:ascii="Arial" w:hAnsi="Arial" w:cs="Arial"/>
                <w:sz w:val="22"/>
                <w:szCs w:val="22"/>
                <w:lang w:val="en-US"/>
              </w:rPr>
              <w:t>Address_GLBL_Zip_Postal_Code_GLBL</w:t>
            </w:r>
            <w:proofErr w:type="spellEnd"/>
            <w:r w:rsidRPr="00BF0AAA">
              <w:rPr>
                <w:rFonts w:ascii="Arial" w:hAnsi="Arial" w:cs="Arial"/>
                <w:sz w:val="22"/>
                <w:szCs w:val="22"/>
                <w:lang w:val="en-US"/>
              </w:rPr>
              <w:t>&gt;&gt; &lt;&lt;</w:t>
            </w:r>
            <w:proofErr w:type="spellStart"/>
            <w:r w:rsidRPr="00BF0AAA">
              <w:rPr>
                <w:rFonts w:ascii="Arial" w:hAnsi="Arial" w:cs="Arial"/>
                <w:sz w:val="22"/>
                <w:szCs w:val="22"/>
                <w:lang w:val="en-US"/>
              </w:rPr>
              <w:t>Address_GLBL_City_GLBL</w:t>
            </w:r>
            <w:proofErr w:type="spellEnd"/>
            <w:r w:rsidR="006D27DC" w:rsidRPr="00BF0AAA">
              <w:rPr>
                <w:rFonts w:ascii="Arial" w:hAnsi="Arial" w:cs="Arial"/>
                <w:sz w:val="22"/>
                <w:szCs w:val="22"/>
                <w:lang w:val="en-US"/>
              </w:rPr>
              <w:t>&gt;&gt;</w:t>
            </w:r>
          </w:p>
          <w:p w14:paraId="44D8BDC6" w14:textId="77107907" w:rsidR="00E92CB1" w:rsidRPr="00BF0AAA" w:rsidRDefault="003F0A80">
            <w:pPr>
              <w:jc w:val="both"/>
              <w:rPr>
                <w:rFonts w:ascii="Arial" w:hAnsi="Arial" w:cs="Arial"/>
                <w:sz w:val="22"/>
                <w:szCs w:val="22"/>
                <w:lang w:val="en-US"/>
              </w:rPr>
            </w:pPr>
            <w:r w:rsidRPr="00BF0AAA">
              <w:rPr>
                <w:rFonts w:ascii="Arial" w:hAnsi="Arial" w:cs="Arial"/>
                <w:sz w:val="22"/>
                <w:szCs w:val="22"/>
                <w:lang w:val="en-US"/>
              </w:rPr>
              <w:t>&lt;&lt;</w:t>
            </w:r>
            <w:proofErr w:type="spellStart"/>
            <w:r w:rsidRPr="00BF0AAA">
              <w:rPr>
                <w:rFonts w:ascii="Arial" w:hAnsi="Arial" w:cs="Arial"/>
                <w:sz w:val="22"/>
                <w:szCs w:val="22"/>
                <w:lang w:val="en-US"/>
              </w:rPr>
              <w:t>Form_HCP_License_Number</w:t>
            </w:r>
            <w:proofErr w:type="spellEnd"/>
            <w:r w:rsidRPr="00BF0AAA">
              <w:rPr>
                <w:rFonts w:ascii="Arial" w:hAnsi="Arial" w:cs="Arial"/>
                <w:sz w:val="22"/>
                <w:szCs w:val="22"/>
                <w:lang w:val="en-US"/>
              </w:rPr>
              <w:t>&gt;&gt;</w:t>
            </w:r>
          </w:p>
          <w:p w14:paraId="4F580F3E" w14:textId="77777777" w:rsidR="00263453" w:rsidRPr="00BF0AAA" w:rsidRDefault="00263453" w:rsidP="00263453">
            <w:pPr>
              <w:jc w:val="both"/>
              <w:rPr>
                <w:rFonts w:ascii="Arial" w:hAnsi="Arial" w:cs="Arial"/>
                <w:sz w:val="22"/>
                <w:szCs w:val="22"/>
                <w:lang w:val="cs-CZ"/>
              </w:rPr>
            </w:pPr>
          </w:p>
          <w:p w14:paraId="004DA47B" w14:textId="77777777" w:rsidR="00263453" w:rsidRPr="00BF0AAA" w:rsidRDefault="00263453" w:rsidP="00263453">
            <w:pPr>
              <w:jc w:val="both"/>
              <w:rPr>
                <w:rFonts w:ascii="Arial" w:hAnsi="Arial" w:cs="Arial"/>
                <w:sz w:val="22"/>
                <w:szCs w:val="22"/>
                <w:lang w:val="cs-CZ"/>
              </w:rPr>
            </w:pPr>
            <w:r w:rsidRPr="00BF0AAA">
              <w:rPr>
                <w:rFonts w:ascii="Arial" w:hAnsi="Arial" w:cs="Arial"/>
                <w:sz w:val="22"/>
                <w:szCs w:val="22"/>
                <w:lang w:val="cs-CZ"/>
              </w:rPr>
              <w:t>a</w:t>
            </w:r>
          </w:p>
          <w:p w14:paraId="3DABA5D3" w14:textId="77777777" w:rsidR="00263453" w:rsidRPr="00BF0AAA" w:rsidRDefault="00263453" w:rsidP="00263453">
            <w:pPr>
              <w:jc w:val="both"/>
              <w:rPr>
                <w:rFonts w:ascii="Arial" w:hAnsi="Arial" w:cs="Arial"/>
                <w:sz w:val="22"/>
                <w:szCs w:val="22"/>
                <w:lang w:val="cs-CZ"/>
              </w:rPr>
            </w:pPr>
          </w:p>
          <w:p w14:paraId="7D0570C2" w14:textId="77777777" w:rsidR="00263453" w:rsidRPr="00BF0AAA" w:rsidRDefault="00263453" w:rsidP="00263453">
            <w:pPr>
              <w:jc w:val="both"/>
              <w:rPr>
                <w:rFonts w:ascii="Arial" w:hAnsi="Arial" w:cs="Arial"/>
                <w:sz w:val="22"/>
                <w:szCs w:val="22"/>
                <w:lang w:val="cs-CZ"/>
              </w:rPr>
            </w:pPr>
            <w:r w:rsidRPr="00BF0AAA">
              <w:rPr>
                <w:rFonts w:ascii="Arial" w:hAnsi="Arial" w:cs="Arial"/>
                <w:sz w:val="22"/>
                <w:szCs w:val="22"/>
                <w:lang w:val="cs-CZ"/>
              </w:rPr>
              <w:t>ELI LILLY ČR, s.r.o. (dále jen „Lilly“)</w:t>
            </w:r>
          </w:p>
          <w:p w14:paraId="54C3BA49" w14:textId="77777777" w:rsidR="00263453" w:rsidRPr="00BF0AAA" w:rsidRDefault="00263453" w:rsidP="00263453">
            <w:pPr>
              <w:jc w:val="both"/>
              <w:rPr>
                <w:rFonts w:ascii="Arial" w:hAnsi="Arial" w:cs="Arial"/>
                <w:sz w:val="22"/>
                <w:szCs w:val="22"/>
                <w:lang w:val="cs-CZ"/>
              </w:rPr>
            </w:pPr>
            <w:r w:rsidRPr="00BF0AAA">
              <w:rPr>
                <w:rFonts w:ascii="Arial" w:hAnsi="Arial" w:cs="Arial"/>
                <w:sz w:val="22"/>
                <w:szCs w:val="22"/>
                <w:lang w:val="cs-CZ"/>
              </w:rPr>
              <w:t xml:space="preserve">se sídlem na adrese </w:t>
            </w:r>
            <w:r w:rsidRPr="00BF0AAA">
              <w:rPr>
                <w:rFonts w:ascii="Arial" w:hAnsi="Arial" w:cs="Arial"/>
                <w:sz w:val="22"/>
                <w:szCs w:val="22"/>
                <w:lang w:val="de-AT"/>
              </w:rPr>
              <w:t>Pobřežní 394/12, 186 00, Praha 8</w:t>
            </w:r>
          </w:p>
          <w:p w14:paraId="73CE6D70" w14:textId="77777777" w:rsidR="00263453" w:rsidRPr="00BF0AAA" w:rsidRDefault="00263453" w:rsidP="00263453">
            <w:pPr>
              <w:jc w:val="both"/>
              <w:rPr>
                <w:rFonts w:ascii="Arial" w:hAnsi="Arial" w:cs="Arial"/>
                <w:sz w:val="22"/>
                <w:szCs w:val="22"/>
                <w:lang w:val="cs-CZ"/>
              </w:rPr>
            </w:pPr>
            <w:r w:rsidRPr="00BF0AAA">
              <w:rPr>
                <w:rFonts w:ascii="Arial" w:hAnsi="Arial" w:cs="Arial"/>
                <w:sz w:val="22"/>
                <w:szCs w:val="22"/>
                <w:lang w:val="cs-CZ"/>
              </w:rPr>
              <w:t>IČ: 64941132</w:t>
            </w:r>
          </w:p>
          <w:p w14:paraId="5149699B" w14:textId="77777777" w:rsidR="00263453" w:rsidRPr="00BF0AAA" w:rsidRDefault="00263453" w:rsidP="00263453">
            <w:pPr>
              <w:jc w:val="both"/>
              <w:rPr>
                <w:rFonts w:ascii="Arial" w:hAnsi="Arial" w:cs="Arial"/>
                <w:sz w:val="22"/>
                <w:szCs w:val="22"/>
                <w:lang w:val="cs-CZ"/>
              </w:rPr>
            </w:pPr>
            <w:r w:rsidRPr="00BF0AAA">
              <w:rPr>
                <w:rFonts w:ascii="Arial" w:hAnsi="Arial" w:cs="Arial"/>
                <w:sz w:val="22"/>
                <w:szCs w:val="22"/>
                <w:lang w:val="cs-CZ"/>
              </w:rPr>
              <w:t>zapsaná v obchodním rejstříku vedeném Městským soudem v Praze, oddíl C, vložka 42212</w:t>
            </w:r>
          </w:p>
          <w:p w14:paraId="08654C2F" w14:textId="77777777" w:rsidR="00263453" w:rsidRPr="00BF0AAA" w:rsidRDefault="00263453" w:rsidP="00263453">
            <w:pPr>
              <w:jc w:val="both"/>
              <w:rPr>
                <w:rFonts w:ascii="Arial" w:hAnsi="Arial" w:cs="Arial"/>
                <w:sz w:val="22"/>
                <w:szCs w:val="22"/>
                <w:lang w:val="cs-CZ"/>
              </w:rPr>
            </w:pPr>
          </w:p>
          <w:p w14:paraId="312857A1" w14:textId="77777777" w:rsidR="00263453" w:rsidRPr="00BF0AAA" w:rsidRDefault="00263453" w:rsidP="00263453">
            <w:pPr>
              <w:jc w:val="both"/>
              <w:rPr>
                <w:rFonts w:ascii="Arial" w:hAnsi="Arial" w:cs="Arial"/>
                <w:sz w:val="22"/>
                <w:szCs w:val="22"/>
                <w:lang w:val="cs-CZ"/>
              </w:rPr>
            </w:pPr>
            <w:r w:rsidRPr="00BF0AAA">
              <w:rPr>
                <w:rFonts w:ascii="Arial" w:hAnsi="Arial" w:cs="Arial"/>
                <w:sz w:val="22"/>
                <w:szCs w:val="22"/>
                <w:lang w:val="cs-CZ"/>
              </w:rPr>
              <w:t>Strany tímto sjednávají následující:</w:t>
            </w:r>
          </w:p>
          <w:p w14:paraId="73B689EF" w14:textId="77777777" w:rsidR="00263453" w:rsidRPr="00BF0AAA" w:rsidRDefault="00263453" w:rsidP="00263453">
            <w:pPr>
              <w:jc w:val="both"/>
              <w:rPr>
                <w:rFonts w:ascii="Arial" w:hAnsi="Arial" w:cs="Arial"/>
                <w:sz w:val="22"/>
                <w:szCs w:val="22"/>
                <w:lang w:val="cs-CZ"/>
              </w:rPr>
            </w:pPr>
          </w:p>
          <w:p w14:paraId="329C71FC" w14:textId="5E0446F7" w:rsidR="00E92CB1" w:rsidRPr="00BF0AAA" w:rsidRDefault="00263453" w:rsidP="00263453">
            <w:pPr>
              <w:pStyle w:val="BodyText"/>
              <w:rPr>
                <w:rFonts w:ascii="Arial" w:hAnsi="Arial" w:cs="Arial"/>
                <w:sz w:val="22"/>
                <w:szCs w:val="22"/>
                <w:lang w:val="sk-SK"/>
              </w:rPr>
            </w:pPr>
            <w:r w:rsidRPr="00BF0AAA">
              <w:rPr>
                <w:rFonts w:ascii="Arial" w:hAnsi="Arial" w:cs="Arial"/>
                <w:sz w:val="22"/>
                <w:szCs w:val="22"/>
                <w:lang w:val="cs-CZ"/>
              </w:rPr>
              <w:t>Tato Rámcová smlouva o poskytování služeb, včetně připojených Všeobecných podmínek (dále jen „Smlouva“), nabývá platnosti datem jejího podpisu poslední stranou a zůstává v platnosti do</w:t>
            </w:r>
            <w:r w:rsidR="00E92CB1" w:rsidRPr="00BF0AAA">
              <w:rPr>
                <w:rFonts w:ascii="Arial" w:hAnsi="Arial" w:cs="Arial"/>
                <w:sz w:val="22"/>
                <w:szCs w:val="22"/>
                <w:lang w:val="sk-SK"/>
              </w:rPr>
              <w:t xml:space="preserve"> </w:t>
            </w:r>
            <w:r w:rsidR="00E92CB1" w:rsidRPr="00BF0AAA">
              <w:rPr>
                <w:rFonts w:ascii="Arial" w:hAnsi="Arial" w:cs="Arial"/>
                <w:b/>
                <w:sz w:val="22"/>
                <w:szCs w:val="22"/>
                <w:lang w:val="cs-CZ"/>
              </w:rPr>
              <w:t>&lt;&lt;HCP_Contract_MERC_MSA_End_Date_MERC&gt;&gt;</w:t>
            </w:r>
            <w:r w:rsidR="00E92CB1" w:rsidRPr="00BF0AAA">
              <w:rPr>
                <w:rFonts w:ascii="Arial" w:hAnsi="Arial" w:cs="Arial"/>
                <w:b/>
                <w:sz w:val="22"/>
                <w:szCs w:val="22"/>
                <w:lang w:val="sk-SK"/>
              </w:rPr>
              <w:t xml:space="preserve"> </w:t>
            </w:r>
            <w:r w:rsidRPr="00BF0AAA">
              <w:rPr>
                <w:rFonts w:ascii="Arial" w:hAnsi="Arial" w:cs="Arial"/>
                <w:sz w:val="22"/>
                <w:szCs w:val="22"/>
                <w:lang w:val="cs-CZ"/>
              </w:rPr>
              <w:t>(dále jen „Doba trvání“).</w:t>
            </w:r>
          </w:p>
          <w:p w14:paraId="7E5EB72F" w14:textId="77777777" w:rsidR="00473AAF" w:rsidRPr="00BF0AAA" w:rsidRDefault="00473AAF" w:rsidP="00473AAF">
            <w:pPr>
              <w:jc w:val="both"/>
              <w:rPr>
                <w:rFonts w:ascii="Arial" w:hAnsi="Arial" w:cs="Arial"/>
                <w:sz w:val="22"/>
                <w:szCs w:val="22"/>
                <w:lang w:val="cs-CZ"/>
              </w:rPr>
            </w:pPr>
            <w:r w:rsidRPr="00BF0AAA">
              <w:rPr>
                <w:rFonts w:ascii="Arial" w:hAnsi="Arial" w:cs="Arial"/>
                <w:sz w:val="22"/>
                <w:szCs w:val="22"/>
                <w:lang w:val="cs-CZ"/>
              </w:rPr>
              <w:t>Během Doby trvání může Zdravotnický pracovník provádět pro společnost Lilly práci níže popsaného typu (dále jen „Práce“), a to na základě jednotlivých dohod o provedení práce uzavřených podle ust. § 75 zák. č. 262/2006 Sb., zákoník práce, ve znění pozdějších předpisů (dále jen „Jednotlivá dohoda“) na základě této Rámcové smlouvy.</w:t>
            </w:r>
          </w:p>
          <w:p w14:paraId="12A68BC0" w14:textId="77777777" w:rsidR="00473AAF" w:rsidRPr="00BF0AAA" w:rsidRDefault="00473AAF" w:rsidP="00473AAF">
            <w:pPr>
              <w:jc w:val="both"/>
              <w:rPr>
                <w:rFonts w:ascii="Arial" w:hAnsi="Arial" w:cs="Arial"/>
                <w:sz w:val="22"/>
                <w:szCs w:val="22"/>
                <w:lang w:val="cs-CZ"/>
              </w:rPr>
            </w:pPr>
          </w:p>
          <w:p w14:paraId="1A4BFA07" w14:textId="77777777" w:rsidR="00473AAF" w:rsidRPr="00BF0AAA" w:rsidRDefault="00473AAF" w:rsidP="00473AAF">
            <w:pPr>
              <w:rPr>
                <w:rFonts w:ascii="Arial" w:hAnsi="Arial" w:cs="Arial"/>
                <w:sz w:val="22"/>
                <w:szCs w:val="22"/>
                <w:lang w:val="cs-CZ"/>
              </w:rPr>
            </w:pPr>
            <w:r w:rsidRPr="00BF0AAA">
              <w:rPr>
                <w:rFonts w:ascii="Arial" w:hAnsi="Arial" w:cs="Arial"/>
                <w:sz w:val="22"/>
                <w:szCs w:val="22"/>
                <w:lang w:val="cs-CZ"/>
              </w:rPr>
              <w:t>Přednášky nebo moderování na propagačních nebo edukačních či vědeckých setkáních (</w:t>
            </w:r>
            <w:r w:rsidRPr="00BF0AAA">
              <w:rPr>
                <w:rFonts w:ascii="Arial" w:hAnsi="Arial" w:cs="Arial"/>
                <w:i/>
                <w:sz w:val="22"/>
                <w:szCs w:val="22"/>
                <w:lang w:val="cs-CZ"/>
              </w:rPr>
              <w:t>nebo)</w:t>
            </w:r>
          </w:p>
          <w:p w14:paraId="6FC397A3" w14:textId="77777777" w:rsidR="00473AAF" w:rsidRPr="00BF0AAA" w:rsidRDefault="00473AAF" w:rsidP="00473AAF">
            <w:pPr>
              <w:rPr>
                <w:rFonts w:ascii="Arial" w:hAnsi="Arial" w:cs="Arial"/>
                <w:sz w:val="22"/>
                <w:szCs w:val="22"/>
                <w:lang w:val="cs-CZ"/>
              </w:rPr>
            </w:pPr>
            <w:r w:rsidRPr="00BF0AAA">
              <w:rPr>
                <w:rFonts w:ascii="Arial" w:hAnsi="Arial" w:cs="Arial"/>
                <w:sz w:val="22"/>
                <w:szCs w:val="22"/>
                <w:lang w:val="cs-CZ"/>
              </w:rPr>
              <w:t xml:space="preserve">Účast na zasedání poradního výboru (advisory board) </w:t>
            </w:r>
            <w:r w:rsidRPr="00BF0AAA">
              <w:rPr>
                <w:rFonts w:ascii="Arial" w:hAnsi="Arial" w:cs="Arial"/>
                <w:i/>
                <w:sz w:val="22"/>
                <w:szCs w:val="22"/>
                <w:lang w:val="cs-CZ"/>
              </w:rPr>
              <w:t>(nebo</w:t>
            </w:r>
            <w:r w:rsidRPr="00BF0AAA">
              <w:rPr>
                <w:rFonts w:ascii="Arial" w:hAnsi="Arial" w:cs="Arial"/>
                <w:sz w:val="22"/>
                <w:szCs w:val="22"/>
                <w:lang w:val="cs-CZ"/>
              </w:rPr>
              <w:t>)</w:t>
            </w:r>
          </w:p>
          <w:p w14:paraId="3D9D31CA" w14:textId="77777777" w:rsidR="00473AAF" w:rsidRPr="00BF0AAA" w:rsidRDefault="00473AAF" w:rsidP="00473AAF">
            <w:pPr>
              <w:rPr>
                <w:rFonts w:ascii="Arial" w:hAnsi="Arial" w:cs="Arial"/>
                <w:sz w:val="22"/>
                <w:szCs w:val="22"/>
                <w:lang w:val="cs-CZ"/>
              </w:rPr>
            </w:pPr>
            <w:r w:rsidRPr="00BF0AAA">
              <w:rPr>
                <w:rFonts w:ascii="Arial" w:hAnsi="Arial" w:cs="Arial"/>
                <w:sz w:val="22"/>
                <w:szCs w:val="22"/>
                <w:lang w:val="cs-CZ"/>
              </w:rPr>
              <w:t>Poradenské služby</w:t>
            </w:r>
          </w:p>
          <w:p w14:paraId="16482166" w14:textId="528BE9AC" w:rsidR="00854FF2" w:rsidRPr="00BF0AAA" w:rsidRDefault="00473AAF" w:rsidP="00473AAF">
            <w:pPr>
              <w:jc w:val="both"/>
              <w:rPr>
                <w:rFonts w:ascii="Arial" w:hAnsi="Arial" w:cs="Arial"/>
                <w:sz w:val="22"/>
                <w:szCs w:val="22"/>
                <w:lang w:val="sk-SK"/>
              </w:rPr>
            </w:pPr>
            <w:r w:rsidRPr="00BF0AAA">
              <w:rPr>
                <w:rFonts w:ascii="Arial" w:hAnsi="Arial" w:cs="Arial"/>
                <w:sz w:val="22"/>
                <w:szCs w:val="22"/>
                <w:lang w:val="cs-CZ"/>
              </w:rPr>
              <w:t>Školení přednášejících</w:t>
            </w:r>
          </w:p>
        </w:tc>
      </w:tr>
    </w:tbl>
    <w:p w14:paraId="7ADD9AA0" w14:textId="77777777" w:rsidR="00854FF2" w:rsidRPr="00BF0AAA" w:rsidRDefault="00854FF2" w:rsidP="00854FF2">
      <w:pPr>
        <w:spacing w:after="200" w:line="276" w:lineRule="auto"/>
        <w:rPr>
          <w:rFonts w:ascii="Arial" w:hAnsi="Arial" w:cs="Arial"/>
          <w:sz w:val="22"/>
          <w:szCs w:val="22"/>
        </w:rPr>
      </w:pPr>
      <w:r w:rsidRPr="00BF0AAA">
        <w:rPr>
          <w:rFonts w:ascii="Arial" w:hAnsi="Arial" w:cs="Arial"/>
          <w:sz w:val="22"/>
          <w:szCs w:val="22"/>
        </w:rPr>
        <w:br w:type="page"/>
      </w:r>
    </w:p>
    <w:tbl>
      <w:tblPr>
        <w:tblStyle w:val="TableGrid"/>
        <w:tblW w:w="0" w:type="auto"/>
        <w:tblLook w:val="04A0" w:firstRow="1" w:lastRow="0" w:firstColumn="1" w:lastColumn="0" w:noHBand="0" w:noVBand="1"/>
      </w:tblPr>
      <w:tblGrid>
        <w:gridCol w:w="8980"/>
      </w:tblGrid>
      <w:tr w:rsidR="00854FF2" w:rsidRPr="00BF0AAA" w14:paraId="25EECE30" w14:textId="77777777" w:rsidTr="00854FF2">
        <w:tc>
          <w:tcPr>
            <w:tcW w:w="8980" w:type="dxa"/>
            <w:tcBorders>
              <w:top w:val="nil"/>
              <w:left w:val="nil"/>
              <w:bottom w:val="nil"/>
              <w:right w:val="nil"/>
            </w:tcBorders>
          </w:tcPr>
          <w:p w14:paraId="04851383" w14:textId="7AB245A6" w:rsidR="00473AAF" w:rsidRPr="00BF0AAA" w:rsidRDefault="00473AAF" w:rsidP="00473AAF">
            <w:pPr>
              <w:jc w:val="both"/>
              <w:rPr>
                <w:rFonts w:ascii="Arial" w:hAnsi="Arial" w:cs="Arial"/>
                <w:sz w:val="22"/>
                <w:szCs w:val="22"/>
                <w:lang w:val="cs-CZ"/>
              </w:rPr>
            </w:pPr>
            <w:r w:rsidRPr="00BF0AAA">
              <w:rPr>
                <w:rFonts w:ascii="Arial" w:hAnsi="Arial" w:cs="Arial"/>
                <w:sz w:val="22"/>
                <w:szCs w:val="22"/>
                <w:lang w:val="cs-CZ"/>
              </w:rPr>
              <w:lastRenderedPageBreak/>
              <w:t>Zdravotnický pracovník může jakýkoli návrh na uzavření Jednotlivé dohody akceptovat nebo odmítnout. Pokud se Zdravotnický pracovník zaváže provést Práci na základě Jednotlivé dohody, předloží mu společnost Lilly podrobný návrh Jednotlivé dohody, včetně všech nezbytných pokynů a potvrzení všech souvisejících podrobností. Pokud Zdravotnický pracovník podepíše Jednotlivou dohodu do &lt;&lt;Form_numberofdays&gt;&gt; dnů od jejího předložení, stává se tato Jednotlivá dohoda součástí Smlouvy. V případě rozporu mezi touto Smlouvou a Jednotlivou dohodou je rozhodující tato Smlouva, nebude-li v Jednotlivé dohodě konkrétně stanoveno jinak.</w:t>
            </w:r>
          </w:p>
          <w:p w14:paraId="004A4AC1" w14:textId="77777777" w:rsidR="00473AAF" w:rsidRPr="00BF0AAA" w:rsidRDefault="00473AAF" w:rsidP="00473AAF">
            <w:pPr>
              <w:jc w:val="both"/>
              <w:rPr>
                <w:rFonts w:ascii="Arial" w:hAnsi="Arial" w:cs="Arial"/>
                <w:sz w:val="22"/>
                <w:szCs w:val="22"/>
                <w:lang w:val="cs-CZ"/>
              </w:rPr>
            </w:pPr>
          </w:p>
          <w:p w14:paraId="002EFEBA" w14:textId="3D229080" w:rsidR="00854FF2" w:rsidRPr="00BF0AAA" w:rsidRDefault="00473AAF" w:rsidP="00473AAF">
            <w:pPr>
              <w:spacing w:line="276" w:lineRule="auto"/>
              <w:jc w:val="both"/>
              <w:rPr>
                <w:rFonts w:ascii="Arial" w:hAnsi="Arial" w:cs="Arial"/>
                <w:sz w:val="22"/>
                <w:szCs w:val="22"/>
                <w:lang w:val="cs-CZ" w:eastAsia="da-DK" w:bidi="da-DK"/>
              </w:rPr>
            </w:pPr>
            <w:r w:rsidRPr="00BF0AAA">
              <w:rPr>
                <w:rFonts w:ascii="Arial" w:hAnsi="Arial" w:cs="Arial"/>
                <w:sz w:val="22"/>
                <w:szCs w:val="22"/>
                <w:lang w:val="cs-CZ"/>
              </w:rPr>
              <w:t>Vzhledem k vzájemným závazkům stanoveným v této Smlouvě se Zdravotnický pracovník zavazuje provádět pro společnost Lilly práci, jak je zamýšleno touto Smlouvou a každou Jednotlivou dohodou. Platba za Práci (dále jen „Odměna“) bude stanovena přímo v Jednotlivých dohodách a bude se lišit v závislosti na typu akce a množství času potřebného k přípravě, cestování a prezentaci. Strany sjednávají, že Odměna bude odpovídat spravedlivé tržní hodnotě podle oborových zásad</w:t>
            </w:r>
          </w:p>
        </w:tc>
      </w:tr>
    </w:tbl>
    <w:p w14:paraId="5568BCC8" w14:textId="77777777" w:rsidR="00854FF2" w:rsidRPr="00BF0AAA" w:rsidRDefault="00854FF2" w:rsidP="00854FF2">
      <w:pPr>
        <w:rPr>
          <w:rFonts w:ascii="Arial" w:hAnsi="Arial" w:cs="Arial"/>
          <w:sz w:val="22"/>
          <w:szCs w:val="22"/>
          <w:lang w:val="sk-SK" w:eastAsia="da-DK" w:bidi="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854FF2" w:rsidRPr="00BF0AAA" w14:paraId="29A32325" w14:textId="77777777" w:rsidTr="00854FF2">
        <w:tc>
          <w:tcPr>
            <w:tcW w:w="8980" w:type="dxa"/>
          </w:tcPr>
          <w:p w14:paraId="689F62CA" w14:textId="77777777" w:rsidR="00473AAF" w:rsidRPr="00BF0AAA" w:rsidRDefault="00473AAF" w:rsidP="00473AAF">
            <w:pPr>
              <w:pStyle w:val="BodyText"/>
              <w:jc w:val="both"/>
              <w:rPr>
                <w:rFonts w:ascii="Arial" w:hAnsi="Arial" w:cs="Arial"/>
                <w:sz w:val="22"/>
                <w:szCs w:val="22"/>
                <w:lang w:val="sk-SK"/>
              </w:rPr>
            </w:pPr>
            <w:r w:rsidRPr="00BF0AAA">
              <w:rPr>
                <w:rFonts w:ascii="Arial" w:hAnsi="Arial" w:cs="Arial"/>
                <w:sz w:val="22"/>
                <w:szCs w:val="22"/>
                <w:lang w:val="cs-CZ"/>
              </w:rPr>
              <w:t xml:space="preserve">Společnost Lilly provede platby přímo </w:t>
            </w:r>
            <w:r w:rsidR="0093122E" w:rsidRPr="00BF0AAA">
              <w:rPr>
                <w:rFonts w:ascii="Arial" w:hAnsi="Arial" w:cs="Arial"/>
                <w:sz w:val="22"/>
                <w:szCs w:val="22"/>
                <w:lang w:val="de-AT"/>
              </w:rPr>
              <w:t>&lt;&lt;Payee_MERC_Account_MERC&gt;&gt;</w:t>
            </w:r>
            <w:r w:rsidR="00E92CB1" w:rsidRPr="00BF0AAA">
              <w:rPr>
                <w:rFonts w:ascii="Arial" w:hAnsi="Arial" w:cs="Arial"/>
                <w:sz w:val="22"/>
                <w:szCs w:val="22"/>
                <w:lang w:val="sk-SK"/>
              </w:rPr>
              <w:t xml:space="preserve"> </w:t>
            </w:r>
          </w:p>
          <w:p w14:paraId="6C4C74A7" w14:textId="3F277AD0" w:rsidR="00473AAF" w:rsidRPr="00BF0AAA" w:rsidRDefault="00473AAF" w:rsidP="00473AAF">
            <w:pPr>
              <w:pStyle w:val="BodyText"/>
              <w:jc w:val="both"/>
              <w:rPr>
                <w:rFonts w:ascii="Arial" w:hAnsi="Arial" w:cs="Arial"/>
                <w:sz w:val="22"/>
                <w:szCs w:val="22"/>
                <w:lang w:val="cs-CZ"/>
              </w:rPr>
            </w:pPr>
            <w:r w:rsidRPr="00BF0AAA">
              <w:rPr>
                <w:rFonts w:ascii="Arial" w:hAnsi="Arial" w:cs="Arial"/>
                <w:sz w:val="22"/>
                <w:szCs w:val="22"/>
                <w:lang w:val="cs-CZ"/>
              </w:rPr>
              <w:t>(dále jen Příjemce platby) v souladu s podrobnými údaji uvedenými v připojeném formuláři údajů o Zdravotnickém pracovníkovi. Zdravotnický pracovník bude společnost Lilly neprodleně informovat o jakékoliv změně u Příjemce platby nebo změně platebních údajů.</w:t>
            </w:r>
          </w:p>
          <w:p w14:paraId="4C24137E" w14:textId="77777777" w:rsidR="00473AAF" w:rsidRPr="00BF0AAA" w:rsidRDefault="00473AAF" w:rsidP="00473AAF">
            <w:pPr>
              <w:tabs>
                <w:tab w:val="left" w:pos="720"/>
              </w:tabs>
              <w:spacing w:before="240" w:after="240" w:line="276" w:lineRule="auto"/>
              <w:jc w:val="both"/>
              <w:rPr>
                <w:rFonts w:ascii="Arial" w:hAnsi="Arial" w:cs="Arial"/>
                <w:sz w:val="22"/>
                <w:szCs w:val="22"/>
                <w:lang w:val="cs-CZ"/>
              </w:rPr>
            </w:pPr>
            <w:r w:rsidRPr="00BF0AAA">
              <w:rPr>
                <w:rFonts w:ascii="Arial" w:hAnsi="Arial" w:cs="Arial"/>
                <w:sz w:val="22"/>
                <w:szCs w:val="22"/>
                <w:lang w:val="cs-CZ"/>
              </w:rPr>
              <w:t>Společnost ELI LILLY ČR, s.r.o. se jako farmaceutická společnost a člen Asociace inovativního farmaceutického průmyslu (AIFP) v České Republice zavázala, že bude respektovat Kodex EFPIA Disclosure (dále jen „Kodex“), který vyžaduje transparentnost v poskytování peněžních a nepeněžních plnění odborníkům prostřednictvím farmaceutické společnosti. Primárním cílem této celoevropské iniciativy je objasnit podstatu a rozsah spolupráce mezi zdravotnickými odborníky/zařízeními a farmaceutickými společnostmi a ozřejmit výši souvisejících plateb.</w:t>
            </w:r>
          </w:p>
          <w:p w14:paraId="1F0CA71C" w14:textId="77777777" w:rsidR="00473AAF" w:rsidRPr="00BF0AAA" w:rsidRDefault="00473AAF" w:rsidP="00473AAF">
            <w:pPr>
              <w:spacing w:before="240" w:line="276" w:lineRule="auto"/>
              <w:jc w:val="both"/>
              <w:rPr>
                <w:rFonts w:ascii="Arial" w:hAnsi="Arial" w:cs="Arial"/>
                <w:sz w:val="22"/>
                <w:szCs w:val="22"/>
                <w:lang w:val="cs-CZ"/>
              </w:rPr>
            </w:pPr>
            <w:r w:rsidRPr="00BF0AAA">
              <w:rPr>
                <w:rFonts w:ascii="Arial" w:hAnsi="Arial" w:cs="Arial"/>
                <w:sz w:val="22"/>
                <w:szCs w:val="22"/>
                <w:lang w:val="cs-CZ"/>
              </w:rPr>
              <w:t>Pro splnění těchto požadavků musí společnost ELI LILLY ČR, s.r.o. zveřejnit na portálu www.transparentnispoluprace.cz následující Vaše osobní údaje („osobní údaje“) a údaje o Vám poskytnutých plněních: jméno a příjmení, adresa pracoviště, evidenční číslo u České lékařské komory (v případě jednotlivců) nebo IČO (v případě společností), výše peněžního nebo nepeněžního plnění (např. příspěvek na náklady spojené s akcí, včetně registračních poplatků, cestovních a ubytovacích výdajů nebo poplatky za služby a poradenství – včetně různých souvisejících nákladů spojených s touto spoluprací).</w:t>
            </w:r>
          </w:p>
          <w:p w14:paraId="4373AAF3" w14:textId="77777777" w:rsidR="00473AAF" w:rsidRPr="00BF0AAA" w:rsidRDefault="00473AAF" w:rsidP="00473AAF">
            <w:pPr>
              <w:tabs>
                <w:tab w:val="left" w:pos="720"/>
              </w:tabs>
              <w:spacing w:line="276" w:lineRule="auto"/>
              <w:ind w:right="22" w:firstLine="720"/>
              <w:jc w:val="both"/>
              <w:rPr>
                <w:rFonts w:ascii="Arial" w:hAnsi="Arial" w:cs="Arial"/>
                <w:sz w:val="22"/>
                <w:szCs w:val="22"/>
                <w:lang w:val="cs-CZ"/>
              </w:rPr>
            </w:pPr>
          </w:p>
          <w:p w14:paraId="2A9BBBA2" w14:textId="77777777" w:rsidR="00854FF2" w:rsidRPr="00BF0AAA" w:rsidRDefault="00473AAF" w:rsidP="00473AAF">
            <w:pPr>
              <w:tabs>
                <w:tab w:val="left" w:pos="720"/>
              </w:tabs>
              <w:spacing w:before="240" w:line="276" w:lineRule="auto"/>
              <w:jc w:val="both"/>
              <w:rPr>
                <w:rFonts w:ascii="Arial" w:hAnsi="Arial" w:cs="Arial"/>
                <w:sz w:val="22"/>
                <w:szCs w:val="22"/>
                <w:lang w:val="cs-CZ"/>
              </w:rPr>
            </w:pPr>
            <w:r w:rsidRPr="00BF0AAA">
              <w:rPr>
                <w:rFonts w:ascii="Arial" w:hAnsi="Arial" w:cs="Arial"/>
                <w:sz w:val="22"/>
                <w:szCs w:val="22"/>
                <w:lang w:val="cs-CZ"/>
              </w:rPr>
              <w:t>Zveřejnění se provádí jednou ročně a každé vykazované období se vztahuje na celý kalendářní rok (dále jen „Vykazované období“).  Prvním vykazovaným obdobím je kalendářní rok 2015; zveřejnění údajů za rok 2015 proběhne v polovině roku 2016 a za vykazované období 2016 v polovině roku 2017.</w:t>
            </w:r>
          </w:p>
          <w:p w14:paraId="6FBC7582" w14:textId="77777777" w:rsidR="00473AAF" w:rsidRPr="00BF0AAA" w:rsidRDefault="00473AAF" w:rsidP="00473AAF">
            <w:pPr>
              <w:tabs>
                <w:tab w:val="left" w:pos="720"/>
              </w:tabs>
              <w:spacing w:line="276" w:lineRule="auto"/>
              <w:jc w:val="both"/>
              <w:rPr>
                <w:rFonts w:ascii="Arial" w:hAnsi="Arial" w:cs="Arial"/>
                <w:sz w:val="22"/>
                <w:szCs w:val="22"/>
                <w:lang w:val="cs-CZ"/>
              </w:rPr>
            </w:pPr>
          </w:p>
          <w:p w14:paraId="285DCBAA" w14:textId="77777777" w:rsidR="00F53D44" w:rsidRPr="00BF0AAA" w:rsidRDefault="00F53D44" w:rsidP="00473AAF">
            <w:pPr>
              <w:pStyle w:val="BodyText"/>
              <w:jc w:val="both"/>
              <w:rPr>
                <w:rFonts w:ascii="Arial" w:hAnsi="Arial" w:cs="Arial"/>
                <w:sz w:val="22"/>
                <w:szCs w:val="22"/>
                <w:lang w:val="cs-CZ"/>
              </w:rPr>
            </w:pPr>
            <w:r w:rsidRPr="00BF0AAA">
              <w:rPr>
                <w:rFonts w:ascii="Arial" w:hAnsi="Arial" w:cs="Arial"/>
                <w:sz w:val="22"/>
                <w:szCs w:val="22"/>
                <w:lang w:val="cs-CZ"/>
              </w:rPr>
              <w:t>Kromě toho prosím berte na vědomí, že Lilly v rámci svého programu transparentnosti oznámí existenci tohoto smluvního vztahu následujícím osobám, které jste určil/-a: &lt;&lt;Form_HCO Name&gt;&gt; a &lt;&lt;Form_HCO Name&gt;&gt;.</w:t>
            </w:r>
          </w:p>
          <w:p w14:paraId="6EBA15A1" w14:textId="315B0FFA" w:rsidR="00473AAF" w:rsidRPr="00BF0AAA" w:rsidRDefault="00473AAF" w:rsidP="00473AAF">
            <w:pPr>
              <w:pStyle w:val="BodyText"/>
              <w:jc w:val="both"/>
              <w:rPr>
                <w:rFonts w:ascii="Arial" w:hAnsi="Arial" w:cs="Arial"/>
                <w:sz w:val="22"/>
                <w:szCs w:val="22"/>
                <w:lang w:val="cs-CZ"/>
              </w:rPr>
            </w:pPr>
            <w:r w:rsidRPr="00BF0AAA">
              <w:rPr>
                <w:rFonts w:ascii="Arial" w:hAnsi="Arial" w:cs="Arial"/>
                <w:sz w:val="22"/>
                <w:szCs w:val="22"/>
                <w:lang w:val="cs-CZ"/>
              </w:rPr>
              <w:lastRenderedPageBreak/>
              <w:t>Každá Strana podepisuje tuto Smlouvu v den uvedený u podpisu příslušné Strany.</w:t>
            </w:r>
          </w:p>
          <w:p w14:paraId="73DCB94C" w14:textId="77777777" w:rsidR="00473AAF" w:rsidRPr="00BF0AAA" w:rsidRDefault="00473AAF" w:rsidP="00473AAF">
            <w:pPr>
              <w:pStyle w:val="BodyText"/>
              <w:rPr>
                <w:rFonts w:ascii="Arial" w:hAnsi="Arial" w:cs="Arial"/>
                <w:sz w:val="22"/>
                <w:szCs w:val="22"/>
                <w:lang w:val="cs-CZ"/>
              </w:rPr>
            </w:pPr>
          </w:p>
          <w:p w14:paraId="194FE8D0" w14:textId="75BD8387" w:rsidR="00473AAF" w:rsidRPr="00BF0AAA" w:rsidRDefault="00473AAF" w:rsidP="00473AAF">
            <w:pPr>
              <w:tabs>
                <w:tab w:val="left" w:pos="720"/>
              </w:tabs>
              <w:spacing w:before="240" w:line="276" w:lineRule="auto"/>
              <w:jc w:val="both"/>
              <w:rPr>
                <w:rFonts w:ascii="Arial" w:hAnsi="Arial" w:cs="Arial"/>
                <w:sz w:val="22"/>
                <w:szCs w:val="22"/>
                <w:lang w:val="sk-SK"/>
              </w:rPr>
            </w:pPr>
            <w:r w:rsidRPr="00BF0AAA">
              <w:rPr>
                <w:rFonts w:ascii="Arial" w:hAnsi="Arial" w:cs="Arial"/>
                <w:b/>
                <w:sz w:val="22"/>
                <w:szCs w:val="22"/>
                <w:lang w:val="cs-CZ"/>
              </w:rPr>
              <w:t>Odsouhlaseno a podepsáno následujícími osobami:</w:t>
            </w:r>
          </w:p>
        </w:tc>
      </w:tr>
    </w:tbl>
    <w:p w14:paraId="72880307" w14:textId="77777777" w:rsidR="00854FF2" w:rsidRPr="00BF0AAA" w:rsidRDefault="00854FF2" w:rsidP="00854FF2">
      <w:pPr>
        <w:rPr>
          <w:rFonts w:ascii="Arial" w:hAnsi="Arial" w:cs="Arial"/>
          <w:sz w:val="22"/>
          <w:szCs w:val="22"/>
          <w:lang w:val="sk-SK" w:eastAsia="da-DK" w:bidi="da-DK"/>
        </w:rPr>
      </w:pPr>
    </w:p>
    <w:p w14:paraId="2AA80CF7" w14:textId="77777777" w:rsidR="007045D3" w:rsidRPr="00BF0AAA" w:rsidRDefault="007045D3" w:rsidP="00854FF2">
      <w:pPr>
        <w:rPr>
          <w:rFonts w:ascii="Arial" w:hAnsi="Arial" w:cs="Arial"/>
          <w:sz w:val="22"/>
          <w:szCs w:val="22"/>
          <w:lang w:val="cs-CZ"/>
        </w:rPr>
      </w:pPr>
    </w:p>
    <w:p w14:paraId="1F1600B1" w14:textId="77777777" w:rsidR="009D5048" w:rsidRPr="00BF0AAA" w:rsidRDefault="009D5048" w:rsidP="00854FF2">
      <w:pPr>
        <w:rPr>
          <w:rFonts w:ascii="Arial" w:hAnsi="Arial" w:cs="Arial"/>
          <w:sz w:val="22"/>
          <w:szCs w:val="22"/>
          <w:lang w:val="cs-CZ"/>
        </w:rPr>
      </w:pPr>
    </w:p>
    <w:tbl>
      <w:tblPr>
        <w:tblStyle w:val="TableGrid"/>
        <w:tblW w:w="10177" w:type="dxa"/>
        <w:jc w:val="center"/>
        <w:tblLook w:val="04A0" w:firstRow="1" w:lastRow="0" w:firstColumn="1" w:lastColumn="0" w:noHBand="0" w:noVBand="1"/>
      </w:tblPr>
      <w:tblGrid>
        <w:gridCol w:w="4094"/>
        <w:gridCol w:w="306"/>
        <w:gridCol w:w="2992"/>
        <w:gridCol w:w="450"/>
        <w:gridCol w:w="2335"/>
      </w:tblGrid>
      <w:tr w:rsidR="00854FF2" w:rsidRPr="00BF0AAA" w14:paraId="4E451B8E" w14:textId="77777777" w:rsidTr="003F0A80">
        <w:trPr>
          <w:trHeight w:val="299"/>
          <w:jc w:val="center"/>
        </w:trPr>
        <w:tc>
          <w:tcPr>
            <w:tcW w:w="4094" w:type="dxa"/>
            <w:tcBorders>
              <w:top w:val="single" w:sz="4" w:space="0" w:color="auto"/>
              <w:left w:val="nil"/>
              <w:bottom w:val="nil"/>
              <w:right w:val="nil"/>
            </w:tcBorders>
            <w:hideMark/>
          </w:tcPr>
          <w:p w14:paraId="58CF6169" w14:textId="297ADFF7"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Podpis Zdravotnického pracovníka</w:t>
            </w:r>
          </w:p>
        </w:tc>
        <w:tc>
          <w:tcPr>
            <w:tcW w:w="306" w:type="dxa"/>
            <w:tcBorders>
              <w:top w:val="nil"/>
              <w:left w:val="nil"/>
              <w:bottom w:val="nil"/>
              <w:right w:val="nil"/>
            </w:tcBorders>
          </w:tcPr>
          <w:p w14:paraId="26D8DC5A" w14:textId="77777777" w:rsidR="00854FF2" w:rsidRPr="00BF0AAA" w:rsidRDefault="00854FF2">
            <w:pPr>
              <w:rPr>
                <w:rFonts w:ascii="Arial" w:hAnsi="Arial" w:cs="Arial"/>
                <w:sz w:val="22"/>
                <w:szCs w:val="22"/>
                <w:lang w:val="da-DK" w:eastAsia="da-DK" w:bidi="da-DK"/>
              </w:rPr>
            </w:pPr>
          </w:p>
        </w:tc>
        <w:tc>
          <w:tcPr>
            <w:tcW w:w="2992" w:type="dxa"/>
            <w:tcBorders>
              <w:top w:val="single" w:sz="4" w:space="0" w:color="auto"/>
              <w:left w:val="nil"/>
              <w:bottom w:val="nil"/>
              <w:right w:val="nil"/>
            </w:tcBorders>
            <w:hideMark/>
          </w:tcPr>
          <w:p w14:paraId="688A2F0D" w14:textId="3729E492"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Jméno tiskacím písmem</w:t>
            </w:r>
          </w:p>
        </w:tc>
        <w:tc>
          <w:tcPr>
            <w:tcW w:w="450" w:type="dxa"/>
            <w:tcBorders>
              <w:top w:val="nil"/>
              <w:left w:val="nil"/>
              <w:bottom w:val="nil"/>
              <w:right w:val="nil"/>
            </w:tcBorders>
          </w:tcPr>
          <w:p w14:paraId="183BF512" w14:textId="77777777" w:rsidR="00854FF2" w:rsidRPr="00BF0AAA" w:rsidRDefault="00854FF2">
            <w:pPr>
              <w:rPr>
                <w:rFonts w:ascii="Arial" w:hAnsi="Arial" w:cs="Arial"/>
                <w:sz w:val="22"/>
                <w:szCs w:val="22"/>
                <w:lang w:val="da-DK" w:eastAsia="da-DK" w:bidi="da-DK"/>
              </w:rPr>
            </w:pPr>
          </w:p>
        </w:tc>
        <w:tc>
          <w:tcPr>
            <w:tcW w:w="2335" w:type="dxa"/>
            <w:tcBorders>
              <w:top w:val="single" w:sz="4" w:space="0" w:color="auto"/>
              <w:left w:val="nil"/>
              <w:bottom w:val="nil"/>
              <w:right w:val="nil"/>
            </w:tcBorders>
            <w:hideMark/>
          </w:tcPr>
          <w:p w14:paraId="4F3563DE" w14:textId="07EAED77"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Datum</w:t>
            </w:r>
          </w:p>
        </w:tc>
      </w:tr>
      <w:tr w:rsidR="00854FF2" w:rsidRPr="00BF0AAA" w14:paraId="29897DF7" w14:textId="77777777" w:rsidTr="003F0A80">
        <w:trPr>
          <w:trHeight w:val="839"/>
          <w:jc w:val="center"/>
        </w:trPr>
        <w:tc>
          <w:tcPr>
            <w:tcW w:w="4094" w:type="dxa"/>
            <w:tcBorders>
              <w:top w:val="nil"/>
              <w:left w:val="nil"/>
              <w:bottom w:val="single" w:sz="4" w:space="0" w:color="auto"/>
              <w:right w:val="nil"/>
            </w:tcBorders>
            <w:hideMark/>
          </w:tcPr>
          <w:p w14:paraId="4C3F039B" w14:textId="7E3BD16E" w:rsidR="00854FF2" w:rsidRPr="00BF0AAA" w:rsidRDefault="00854FF2" w:rsidP="00263453">
            <w:pPr>
              <w:tabs>
                <w:tab w:val="left" w:pos="1860"/>
              </w:tabs>
              <w:jc w:val="both"/>
              <w:rPr>
                <w:rFonts w:ascii="Arial" w:hAnsi="Arial" w:cs="Arial"/>
                <w:i/>
                <w:sz w:val="22"/>
                <w:szCs w:val="22"/>
                <w:lang w:val="da-DK" w:eastAsia="da-DK" w:bidi="da-DK"/>
              </w:rPr>
            </w:pPr>
          </w:p>
        </w:tc>
        <w:tc>
          <w:tcPr>
            <w:tcW w:w="306" w:type="dxa"/>
            <w:tcBorders>
              <w:top w:val="nil"/>
              <w:left w:val="nil"/>
              <w:bottom w:val="nil"/>
              <w:right w:val="nil"/>
            </w:tcBorders>
          </w:tcPr>
          <w:p w14:paraId="287A362A" w14:textId="77777777" w:rsidR="00854FF2" w:rsidRPr="00BF0AAA" w:rsidRDefault="00854FF2">
            <w:pPr>
              <w:rPr>
                <w:rFonts w:ascii="Arial" w:hAnsi="Arial" w:cs="Arial"/>
                <w:sz w:val="22"/>
                <w:szCs w:val="22"/>
                <w:lang w:val="da-DK" w:eastAsia="da-DK" w:bidi="da-DK"/>
              </w:rPr>
            </w:pPr>
          </w:p>
        </w:tc>
        <w:tc>
          <w:tcPr>
            <w:tcW w:w="2992" w:type="dxa"/>
            <w:tcBorders>
              <w:top w:val="nil"/>
              <w:left w:val="nil"/>
              <w:bottom w:val="single" w:sz="4" w:space="0" w:color="auto"/>
              <w:right w:val="nil"/>
            </w:tcBorders>
          </w:tcPr>
          <w:p w14:paraId="737CAF76" w14:textId="77777777" w:rsidR="00854FF2" w:rsidRPr="00BF0AAA" w:rsidRDefault="00854FF2">
            <w:pPr>
              <w:rPr>
                <w:rFonts w:ascii="Arial" w:hAnsi="Arial" w:cs="Arial"/>
                <w:sz w:val="22"/>
                <w:szCs w:val="22"/>
                <w:lang w:val="da-DK" w:eastAsia="da-DK" w:bidi="da-DK"/>
              </w:rPr>
            </w:pPr>
          </w:p>
        </w:tc>
        <w:tc>
          <w:tcPr>
            <w:tcW w:w="450" w:type="dxa"/>
            <w:tcBorders>
              <w:top w:val="nil"/>
              <w:left w:val="nil"/>
              <w:bottom w:val="nil"/>
              <w:right w:val="nil"/>
            </w:tcBorders>
          </w:tcPr>
          <w:p w14:paraId="116449A4" w14:textId="77777777" w:rsidR="00854FF2" w:rsidRPr="00BF0AAA" w:rsidRDefault="00854FF2">
            <w:pPr>
              <w:rPr>
                <w:rFonts w:ascii="Arial" w:hAnsi="Arial" w:cs="Arial"/>
                <w:sz w:val="22"/>
                <w:szCs w:val="22"/>
                <w:lang w:val="da-DK" w:eastAsia="da-DK" w:bidi="da-DK"/>
              </w:rPr>
            </w:pPr>
          </w:p>
        </w:tc>
        <w:tc>
          <w:tcPr>
            <w:tcW w:w="2335" w:type="dxa"/>
            <w:tcBorders>
              <w:top w:val="nil"/>
              <w:left w:val="nil"/>
              <w:bottom w:val="single" w:sz="4" w:space="0" w:color="auto"/>
              <w:right w:val="nil"/>
            </w:tcBorders>
          </w:tcPr>
          <w:p w14:paraId="4F69D126" w14:textId="77777777" w:rsidR="00854FF2" w:rsidRPr="00BF0AAA" w:rsidRDefault="00854FF2">
            <w:pPr>
              <w:rPr>
                <w:rFonts w:ascii="Arial" w:hAnsi="Arial" w:cs="Arial"/>
                <w:sz w:val="22"/>
                <w:szCs w:val="22"/>
                <w:lang w:val="da-DK" w:eastAsia="da-DK" w:bidi="da-DK"/>
              </w:rPr>
            </w:pPr>
          </w:p>
        </w:tc>
      </w:tr>
      <w:tr w:rsidR="00854FF2" w:rsidRPr="00BF0AAA" w14:paraId="38C02B53" w14:textId="77777777" w:rsidTr="003F0A80">
        <w:trPr>
          <w:trHeight w:val="1019"/>
          <w:jc w:val="center"/>
        </w:trPr>
        <w:tc>
          <w:tcPr>
            <w:tcW w:w="4094" w:type="dxa"/>
            <w:tcBorders>
              <w:top w:val="single" w:sz="4" w:space="0" w:color="auto"/>
              <w:left w:val="nil"/>
              <w:bottom w:val="single" w:sz="4" w:space="0" w:color="auto"/>
              <w:right w:val="nil"/>
            </w:tcBorders>
            <w:hideMark/>
          </w:tcPr>
          <w:p w14:paraId="02500FC4" w14:textId="77777777" w:rsidR="00B65FB9" w:rsidRPr="00BF0AAA" w:rsidRDefault="00263453">
            <w:pPr>
              <w:rPr>
                <w:rFonts w:ascii="Arial" w:hAnsi="Arial" w:cs="Arial"/>
                <w:sz w:val="22"/>
                <w:szCs w:val="22"/>
                <w:lang w:val="cs-CZ"/>
              </w:rPr>
            </w:pPr>
            <w:r w:rsidRPr="00BF0AAA">
              <w:rPr>
                <w:rFonts w:ascii="Arial" w:hAnsi="Arial" w:cs="Arial"/>
                <w:sz w:val="22"/>
                <w:szCs w:val="22"/>
                <w:lang w:val="cs-CZ"/>
              </w:rPr>
              <w:t xml:space="preserve">Podpis </w:t>
            </w:r>
          </w:p>
          <w:p w14:paraId="1AB23A6F" w14:textId="547987C7"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Společnosti/Zdravotnického zařízení</w:t>
            </w:r>
          </w:p>
        </w:tc>
        <w:tc>
          <w:tcPr>
            <w:tcW w:w="306" w:type="dxa"/>
            <w:tcBorders>
              <w:top w:val="nil"/>
              <w:left w:val="nil"/>
              <w:bottom w:val="nil"/>
              <w:right w:val="nil"/>
            </w:tcBorders>
          </w:tcPr>
          <w:p w14:paraId="427875A9" w14:textId="77777777" w:rsidR="00854FF2" w:rsidRPr="00BF0AAA" w:rsidRDefault="00854FF2">
            <w:pPr>
              <w:rPr>
                <w:rFonts w:ascii="Arial" w:hAnsi="Arial" w:cs="Arial"/>
                <w:sz w:val="22"/>
                <w:szCs w:val="22"/>
                <w:lang w:val="da-DK" w:eastAsia="da-DK" w:bidi="da-DK"/>
              </w:rPr>
            </w:pPr>
          </w:p>
        </w:tc>
        <w:tc>
          <w:tcPr>
            <w:tcW w:w="2992" w:type="dxa"/>
            <w:tcBorders>
              <w:top w:val="single" w:sz="4" w:space="0" w:color="auto"/>
              <w:left w:val="nil"/>
              <w:bottom w:val="single" w:sz="4" w:space="0" w:color="auto"/>
              <w:right w:val="nil"/>
            </w:tcBorders>
            <w:hideMark/>
          </w:tcPr>
          <w:p w14:paraId="2246BD39" w14:textId="39CD021B"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Jméno tiskacím písmem</w:t>
            </w:r>
          </w:p>
        </w:tc>
        <w:tc>
          <w:tcPr>
            <w:tcW w:w="450" w:type="dxa"/>
            <w:tcBorders>
              <w:top w:val="nil"/>
              <w:left w:val="nil"/>
              <w:bottom w:val="nil"/>
              <w:right w:val="nil"/>
            </w:tcBorders>
          </w:tcPr>
          <w:p w14:paraId="0ED5EB9B" w14:textId="77777777" w:rsidR="00854FF2" w:rsidRPr="00BF0AAA" w:rsidRDefault="00854FF2">
            <w:pPr>
              <w:rPr>
                <w:rFonts w:ascii="Arial" w:hAnsi="Arial" w:cs="Arial"/>
                <w:sz w:val="22"/>
                <w:szCs w:val="22"/>
                <w:lang w:val="da-DK" w:eastAsia="da-DK" w:bidi="da-DK"/>
              </w:rPr>
            </w:pPr>
          </w:p>
        </w:tc>
        <w:tc>
          <w:tcPr>
            <w:tcW w:w="2335" w:type="dxa"/>
            <w:tcBorders>
              <w:top w:val="single" w:sz="4" w:space="0" w:color="auto"/>
              <w:left w:val="nil"/>
              <w:bottom w:val="single" w:sz="4" w:space="0" w:color="auto"/>
              <w:right w:val="nil"/>
            </w:tcBorders>
            <w:hideMark/>
          </w:tcPr>
          <w:p w14:paraId="3FBC601E" w14:textId="46ECAFD7"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Datum</w:t>
            </w:r>
          </w:p>
        </w:tc>
      </w:tr>
      <w:tr w:rsidR="00854FF2" w:rsidRPr="00BF0AAA" w14:paraId="6B60C70D" w14:textId="77777777" w:rsidTr="003F0A80">
        <w:trPr>
          <w:trHeight w:val="359"/>
          <w:jc w:val="center"/>
        </w:trPr>
        <w:tc>
          <w:tcPr>
            <w:tcW w:w="4094" w:type="dxa"/>
            <w:tcBorders>
              <w:top w:val="single" w:sz="4" w:space="0" w:color="auto"/>
              <w:left w:val="nil"/>
              <w:bottom w:val="nil"/>
              <w:right w:val="nil"/>
            </w:tcBorders>
            <w:hideMark/>
          </w:tcPr>
          <w:p w14:paraId="3F4AF37B" w14:textId="298CDC87"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Podpis společnosti Lilly</w:t>
            </w:r>
          </w:p>
        </w:tc>
        <w:tc>
          <w:tcPr>
            <w:tcW w:w="306" w:type="dxa"/>
            <w:tcBorders>
              <w:top w:val="nil"/>
              <w:left w:val="nil"/>
              <w:bottom w:val="nil"/>
              <w:right w:val="nil"/>
            </w:tcBorders>
          </w:tcPr>
          <w:p w14:paraId="396B97D7" w14:textId="77777777" w:rsidR="00854FF2" w:rsidRPr="00BF0AAA" w:rsidRDefault="00854FF2">
            <w:pPr>
              <w:rPr>
                <w:rFonts w:ascii="Arial" w:hAnsi="Arial" w:cs="Arial"/>
                <w:sz w:val="22"/>
                <w:szCs w:val="22"/>
                <w:lang w:val="da-DK" w:eastAsia="da-DK" w:bidi="da-DK"/>
              </w:rPr>
            </w:pPr>
          </w:p>
        </w:tc>
        <w:tc>
          <w:tcPr>
            <w:tcW w:w="2992" w:type="dxa"/>
            <w:tcBorders>
              <w:top w:val="single" w:sz="4" w:space="0" w:color="auto"/>
              <w:left w:val="nil"/>
              <w:bottom w:val="nil"/>
              <w:right w:val="nil"/>
            </w:tcBorders>
            <w:hideMark/>
          </w:tcPr>
          <w:p w14:paraId="6FACEAFE" w14:textId="5E833928"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Jméno tiskacím písmem</w:t>
            </w:r>
          </w:p>
        </w:tc>
        <w:tc>
          <w:tcPr>
            <w:tcW w:w="450" w:type="dxa"/>
            <w:tcBorders>
              <w:top w:val="nil"/>
              <w:left w:val="nil"/>
              <w:bottom w:val="nil"/>
              <w:right w:val="nil"/>
            </w:tcBorders>
          </w:tcPr>
          <w:p w14:paraId="57C014F2" w14:textId="77777777" w:rsidR="00854FF2" w:rsidRPr="00BF0AAA" w:rsidRDefault="00854FF2">
            <w:pPr>
              <w:rPr>
                <w:rFonts w:ascii="Arial" w:hAnsi="Arial" w:cs="Arial"/>
                <w:sz w:val="22"/>
                <w:szCs w:val="22"/>
                <w:lang w:val="da-DK" w:eastAsia="da-DK" w:bidi="da-DK"/>
              </w:rPr>
            </w:pPr>
          </w:p>
        </w:tc>
        <w:tc>
          <w:tcPr>
            <w:tcW w:w="2335" w:type="dxa"/>
            <w:tcBorders>
              <w:top w:val="single" w:sz="4" w:space="0" w:color="auto"/>
              <w:left w:val="nil"/>
              <w:bottom w:val="nil"/>
              <w:right w:val="nil"/>
            </w:tcBorders>
            <w:hideMark/>
          </w:tcPr>
          <w:p w14:paraId="7EF07FB9" w14:textId="33759726" w:rsidR="00854FF2" w:rsidRPr="00BF0AAA" w:rsidRDefault="00263453">
            <w:pPr>
              <w:rPr>
                <w:rFonts w:ascii="Arial" w:hAnsi="Arial" w:cs="Arial"/>
                <w:sz w:val="22"/>
                <w:szCs w:val="22"/>
                <w:lang w:val="da-DK" w:eastAsia="da-DK" w:bidi="da-DK"/>
              </w:rPr>
            </w:pPr>
            <w:r w:rsidRPr="00BF0AAA">
              <w:rPr>
                <w:rFonts w:ascii="Arial" w:hAnsi="Arial" w:cs="Arial"/>
                <w:sz w:val="22"/>
                <w:szCs w:val="22"/>
                <w:lang w:val="cs-CZ"/>
              </w:rPr>
              <w:t>Datum</w:t>
            </w:r>
          </w:p>
        </w:tc>
      </w:tr>
    </w:tbl>
    <w:p w14:paraId="1BD0175F" w14:textId="77777777" w:rsidR="00854FF2" w:rsidRPr="00BF0AAA" w:rsidRDefault="00854FF2" w:rsidP="00854FF2">
      <w:pPr>
        <w:spacing w:line="276" w:lineRule="auto"/>
        <w:rPr>
          <w:rFonts w:ascii="Arial" w:hAnsi="Arial" w:cs="Arial"/>
          <w:sz w:val="22"/>
          <w:szCs w:val="22"/>
          <w:lang w:val="da-DK"/>
        </w:rPr>
        <w:sectPr w:rsidR="00854FF2" w:rsidRPr="00BF0AAA" w:rsidSect="00854FF2">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pPr>
    </w:p>
    <w:p w14:paraId="3973B9C4" w14:textId="77777777" w:rsidR="00854FF2" w:rsidRPr="00BF0AAA" w:rsidRDefault="00854FF2" w:rsidP="00854FF2">
      <w:pPr>
        <w:spacing w:line="276" w:lineRule="auto"/>
        <w:rPr>
          <w:rFonts w:ascii="Arial" w:hAnsi="Arial" w:cs="Arial"/>
          <w:sz w:val="22"/>
          <w:szCs w:val="22"/>
          <w:lang w:val="da-DK"/>
        </w:rPr>
        <w:sectPr w:rsidR="00854FF2" w:rsidRPr="00BF0AAA" w:rsidSect="00854FF2">
          <w:type w:val="continuous"/>
          <w:pgSz w:w="11909" w:h="16834" w:code="9"/>
          <w:pgMar w:top="2376" w:right="1440" w:bottom="1440" w:left="1440" w:header="936" w:footer="357" w:gutter="0"/>
          <w:cols w:space="720"/>
          <w:formProt w:val="0"/>
          <w:titlePg/>
          <w:docGrid w:linePitch="272"/>
        </w:sectPr>
      </w:pPr>
      <w:r w:rsidRPr="00BF0AAA">
        <w:rPr>
          <w:rFonts w:ascii="Arial" w:hAnsi="Arial" w:cs="Arial"/>
          <w:sz w:val="22"/>
          <w:szCs w:val="22"/>
          <w:lang w:val="da-DK"/>
        </w:rPr>
        <w:lastRenderedPageBreak/>
        <w:br w:type="page"/>
      </w:r>
    </w:p>
    <w:p w14:paraId="739C21B2" w14:textId="77777777" w:rsidR="00263453" w:rsidRPr="00BF0AAA" w:rsidRDefault="00263453" w:rsidP="00263453">
      <w:pPr>
        <w:keepNext/>
        <w:tabs>
          <w:tab w:val="left" w:pos="375"/>
        </w:tabs>
        <w:jc w:val="center"/>
        <w:rPr>
          <w:rFonts w:ascii="Arial" w:hAnsi="Arial" w:cs="Arial"/>
          <w:b/>
          <w:sz w:val="16"/>
          <w:szCs w:val="16"/>
          <w:lang w:val="cs-CZ"/>
        </w:rPr>
      </w:pPr>
      <w:r w:rsidRPr="00BF0AAA">
        <w:rPr>
          <w:rFonts w:ascii="Arial" w:hAnsi="Arial" w:cs="Arial"/>
          <w:b/>
          <w:sz w:val="16"/>
          <w:szCs w:val="16"/>
          <w:lang w:val="cs-CZ"/>
        </w:rPr>
        <w:lastRenderedPageBreak/>
        <w:t>Všeobecné podmínky</w:t>
      </w:r>
    </w:p>
    <w:p w14:paraId="47C5A346" w14:textId="77777777" w:rsidR="00263453" w:rsidRPr="00BF0AAA" w:rsidRDefault="00263453" w:rsidP="00263453">
      <w:pPr>
        <w:keepNext/>
        <w:numPr>
          <w:ilvl w:val="0"/>
          <w:numId w:val="11"/>
        </w:numPr>
        <w:tabs>
          <w:tab w:val="clear" w:pos="862"/>
          <w:tab w:val="num" w:pos="360"/>
          <w:tab w:val="num" w:pos="720"/>
        </w:tabs>
        <w:ind w:left="720"/>
        <w:jc w:val="both"/>
        <w:rPr>
          <w:rFonts w:ascii="Arial" w:hAnsi="Arial" w:cs="Arial"/>
          <w:b/>
          <w:sz w:val="16"/>
          <w:szCs w:val="16"/>
          <w:lang w:val="cs-CZ"/>
        </w:rPr>
      </w:pPr>
      <w:r w:rsidRPr="00BF0AAA">
        <w:rPr>
          <w:rFonts w:ascii="Arial" w:hAnsi="Arial" w:cs="Arial"/>
          <w:b/>
          <w:sz w:val="16"/>
          <w:szCs w:val="16"/>
          <w:lang w:val="cs-CZ"/>
        </w:rPr>
        <w:t>Platba</w:t>
      </w:r>
    </w:p>
    <w:p w14:paraId="041586C8" w14:textId="77777777" w:rsidR="00263453" w:rsidRPr="00BF0AAA" w:rsidRDefault="00263453" w:rsidP="00263453">
      <w:pPr>
        <w:pStyle w:val="ListParagraph"/>
        <w:keepNext/>
        <w:numPr>
          <w:ilvl w:val="1"/>
          <w:numId w:val="12"/>
        </w:numPr>
        <w:jc w:val="both"/>
        <w:rPr>
          <w:rFonts w:ascii="Arial" w:hAnsi="Arial" w:cs="Arial"/>
          <w:b/>
          <w:color w:val="000000"/>
          <w:sz w:val="16"/>
          <w:szCs w:val="16"/>
          <w:lang w:val="cs-CZ"/>
        </w:rPr>
      </w:pPr>
      <w:r w:rsidRPr="00BF0AAA">
        <w:rPr>
          <w:rFonts w:ascii="Arial" w:hAnsi="Arial" w:cs="Arial"/>
          <w:b/>
          <w:color w:val="000000"/>
          <w:sz w:val="16"/>
          <w:szCs w:val="16"/>
          <w:lang w:val="cs-CZ"/>
        </w:rPr>
        <w:t>Výdaje</w:t>
      </w:r>
    </w:p>
    <w:p w14:paraId="48E04BAC" w14:textId="77777777" w:rsidR="00263453" w:rsidRPr="00BF0AAA" w:rsidRDefault="00263453" w:rsidP="00263453">
      <w:pPr>
        <w:pStyle w:val="ListParagraph"/>
        <w:jc w:val="both"/>
        <w:rPr>
          <w:rFonts w:ascii="Arial" w:hAnsi="Arial" w:cs="Arial"/>
          <w:color w:val="000000"/>
          <w:sz w:val="16"/>
          <w:szCs w:val="16"/>
          <w:lang w:val="cs-CZ"/>
        </w:rPr>
      </w:pPr>
      <w:r w:rsidRPr="00BF0AAA">
        <w:rPr>
          <w:rFonts w:ascii="Arial" w:hAnsi="Arial" w:cs="Arial"/>
          <w:color w:val="000000"/>
          <w:sz w:val="16"/>
          <w:szCs w:val="16"/>
          <w:lang w:val="cs-CZ"/>
        </w:rPr>
        <w:t>Vedle Honorářů a v souladu s požadavky platných místních právních předpisů uhradí společnost Lilly odůvodněné cestovní výdaje, výdaje na ubytování a stravování, které Zdravotnickému pracovníkovi vzniknou při poskytování Služeb. Veškeré letenky, hotelové ubytování a registrační poplatky na konferenci či setkání/jednání musejí být rezervovány a uhrazeny přímo společností Lilly třetí straně – letecké společnosti, příslušnému hotelu a organizátorovi konference nebo setkání/jednání. Cestovní záležitosti zorganizované Zdravotnickým pracovníkem nebudou hrazeny. Společnost Lilly uhradí Zdravotnickému pracovníkovi důvodné výdaje, jako jsou například náklady spojené s místní přepravou, po předložení vyplněného formuláře vyúčtování výdajů (včetně uvedení jednotlivých dokladů) a v případech, kdy je tak vyžadováno příslušným právem, po předložení faktury včetně příslušné daně. Formulář vyúčtování výdajů a faktura (pokud tak bude požadováno) musí být společnosti Lilly předloženy do třiceti (30) dnů od ukončení poskytování Služeb. Společnost Lilly neuhradí žádné výdaje bez příslušných dokladů.</w:t>
      </w:r>
    </w:p>
    <w:p w14:paraId="5FC3D4FB" w14:textId="77777777" w:rsidR="00263453" w:rsidRPr="00BF0AAA" w:rsidRDefault="00263453" w:rsidP="00263453">
      <w:pPr>
        <w:pStyle w:val="ListParagraph"/>
        <w:jc w:val="both"/>
        <w:rPr>
          <w:rFonts w:ascii="Arial" w:hAnsi="Arial" w:cs="Arial"/>
          <w:color w:val="000000"/>
          <w:sz w:val="16"/>
          <w:szCs w:val="16"/>
          <w:lang w:val="cs-CZ"/>
        </w:rPr>
      </w:pPr>
      <w:r w:rsidRPr="00BF0AAA">
        <w:rPr>
          <w:rFonts w:ascii="Arial" w:hAnsi="Arial" w:cs="Arial"/>
          <w:color w:val="000000"/>
          <w:sz w:val="16"/>
          <w:szCs w:val="16"/>
          <w:lang w:val="cs-CZ"/>
        </w:rPr>
        <w:t>Vedlejší/osobní výdaje (pokojová služba, telefonní hovory, internet, filmy, minibar, prádelna apod.) nebudou hrazeny.</w:t>
      </w:r>
    </w:p>
    <w:p w14:paraId="1766679A" w14:textId="1D93174F" w:rsidR="00263453" w:rsidRPr="00BF0AAA" w:rsidRDefault="00263453" w:rsidP="00263453">
      <w:pPr>
        <w:pStyle w:val="ListParagraph"/>
        <w:keepNext/>
        <w:numPr>
          <w:ilvl w:val="1"/>
          <w:numId w:val="12"/>
        </w:numPr>
        <w:tabs>
          <w:tab w:val="left" w:pos="720"/>
        </w:tabs>
        <w:rPr>
          <w:rFonts w:ascii="Arial" w:hAnsi="Arial" w:cs="Arial"/>
          <w:b/>
          <w:sz w:val="16"/>
          <w:szCs w:val="16"/>
          <w:lang w:val="cs-CZ"/>
        </w:rPr>
      </w:pPr>
      <w:r w:rsidRPr="00BF0AAA">
        <w:rPr>
          <w:rFonts w:ascii="Arial" w:hAnsi="Arial" w:cs="Arial"/>
          <w:b/>
          <w:sz w:val="16"/>
          <w:szCs w:val="16"/>
          <w:lang w:val="cs-CZ"/>
        </w:rPr>
        <w:t>Způsob provedení platby</w:t>
      </w:r>
    </w:p>
    <w:p w14:paraId="76CE96AB" w14:textId="4EA15051" w:rsidR="00263453" w:rsidRPr="00BF0AAA" w:rsidRDefault="00263453" w:rsidP="00263453">
      <w:pPr>
        <w:pStyle w:val="ListParagraph"/>
        <w:keepNext/>
        <w:tabs>
          <w:tab w:val="left" w:pos="720"/>
        </w:tabs>
        <w:jc w:val="both"/>
        <w:rPr>
          <w:rFonts w:ascii="Arial" w:hAnsi="Arial" w:cs="Arial"/>
          <w:sz w:val="16"/>
          <w:szCs w:val="16"/>
          <w:lang w:val="cs-CZ"/>
        </w:rPr>
      </w:pPr>
      <w:r w:rsidRPr="00BF0AAA">
        <w:rPr>
          <w:rFonts w:ascii="Arial" w:hAnsi="Arial" w:cs="Arial"/>
          <w:sz w:val="16"/>
          <w:szCs w:val="16"/>
          <w:lang w:val="cs-CZ"/>
        </w:rPr>
        <w:t>Společnost Lilly zaplatí  Příjemci platby Honorář a výdaje bezhotovostním převodem po ukončení poskytování Služeb a po předložení platného daňového dokladu (faktury) a příslušných účtů (potvrzení výdajů).</w:t>
      </w:r>
    </w:p>
    <w:p w14:paraId="6E771721" w14:textId="77777777" w:rsidR="00263453" w:rsidRPr="00BF0AAA" w:rsidRDefault="00263453" w:rsidP="00263453">
      <w:pPr>
        <w:keepNext/>
        <w:tabs>
          <w:tab w:val="left" w:pos="739"/>
        </w:tabs>
        <w:ind w:left="720" w:hanging="360"/>
        <w:jc w:val="both"/>
        <w:rPr>
          <w:rFonts w:ascii="Arial" w:hAnsi="Arial" w:cs="Arial"/>
          <w:b/>
          <w:sz w:val="16"/>
          <w:szCs w:val="16"/>
          <w:lang w:val="cs-CZ"/>
        </w:rPr>
      </w:pPr>
      <w:r w:rsidRPr="00BF0AAA">
        <w:rPr>
          <w:rFonts w:ascii="Arial" w:hAnsi="Arial" w:cs="Arial"/>
          <w:b/>
          <w:sz w:val="16"/>
          <w:szCs w:val="16"/>
          <w:lang w:val="cs-CZ"/>
        </w:rPr>
        <w:t>1.3</w:t>
      </w:r>
      <w:r w:rsidRPr="00BF0AAA">
        <w:rPr>
          <w:rFonts w:ascii="Arial" w:hAnsi="Arial" w:cs="Arial"/>
          <w:b/>
          <w:sz w:val="16"/>
          <w:szCs w:val="16"/>
          <w:lang w:val="cs-CZ"/>
        </w:rPr>
        <w:tab/>
        <w:t>Storno poplatky za akci</w:t>
      </w:r>
    </w:p>
    <w:p w14:paraId="69BF3450" w14:textId="77777777" w:rsidR="00263453" w:rsidRPr="00BF0AAA" w:rsidRDefault="00263453" w:rsidP="00263453">
      <w:pPr>
        <w:pStyle w:val="ListParagraph"/>
        <w:tabs>
          <w:tab w:val="left" w:pos="720"/>
        </w:tabs>
        <w:ind w:hanging="360"/>
        <w:jc w:val="both"/>
        <w:rPr>
          <w:rFonts w:ascii="Arial" w:hAnsi="Arial" w:cs="Arial"/>
          <w:sz w:val="16"/>
          <w:szCs w:val="16"/>
          <w:lang w:val="cs-CZ"/>
        </w:rPr>
      </w:pPr>
      <w:r w:rsidRPr="00BF0AAA">
        <w:rPr>
          <w:rFonts w:ascii="Arial" w:hAnsi="Arial" w:cs="Arial"/>
          <w:sz w:val="16"/>
          <w:szCs w:val="16"/>
          <w:lang w:val="cs-CZ"/>
        </w:rPr>
        <w:t xml:space="preserve">          Společnost Lilly si vyhrazuje právo dle vlastního uvážení zrušit akci, a to z jakéhokoliv důvodu. V případě, že jsou Služby Zdravotnického pracovníka související s akcí zrušeny bez jeho zavinění (jak je výhradně stanoveno pořadatelem akce společnosti Lilly), nebo pokud společnost Lilly zruší akci do 3 pracovních dnů před jejím konáním, zaplatí společnost Lilly 30 % Honoráře za Služby Zdravotnického pracovníka, vyjma případů, kdy Služby zahrnují (několik) samostatných činností; v takovém případě společnost Lilly zaplatí 30 % z Honoráře náležejícího pouze za první dvě činnosti. Veškeré předběžné práce, které Zdravotnický pracovník učinil v souvislosti se svými Službami na akci, budou hrazeny v plné výši.</w:t>
      </w:r>
    </w:p>
    <w:p w14:paraId="6746CD7B" w14:textId="77777777" w:rsidR="00263453" w:rsidRPr="00BF0AAA" w:rsidRDefault="00263453" w:rsidP="00263453">
      <w:pPr>
        <w:keepNext/>
        <w:tabs>
          <w:tab w:val="left" w:pos="720"/>
        </w:tabs>
        <w:ind w:left="360"/>
        <w:jc w:val="both"/>
        <w:rPr>
          <w:rFonts w:ascii="Arial" w:hAnsi="Arial" w:cs="Arial"/>
          <w:b/>
          <w:color w:val="000000"/>
          <w:sz w:val="16"/>
          <w:szCs w:val="16"/>
          <w:lang w:val="cs-CZ"/>
        </w:rPr>
      </w:pPr>
      <w:r w:rsidRPr="00BF0AAA">
        <w:rPr>
          <w:rFonts w:ascii="Arial" w:hAnsi="Arial" w:cs="Arial"/>
          <w:b/>
          <w:color w:val="000000"/>
          <w:sz w:val="16"/>
          <w:szCs w:val="16"/>
          <w:lang w:val="cs-CZ"/>
        </w:rPr>
        <w:t>1.4</w:t>
      </w:r>
      <w:r w:rsidRPr="00BF0AAA">
        <w:rPr>
          <w:rFonts w:ascii="Arial" w:hAnsi="Arial" w:cs="Arial"/>
          <w:b/>
          <w:color w:val="000000"/>
          <w:sz w:val="16"/>
          <w:szCs w:val="16"/>
          <w:lang w:val="cs-CZ"/>
        </w:rPr>
        <w:tab/>
        <w:t>Spolucestující osoby</w:t>
      </w:r>
    </w:p>
    <w:p w14:paraId="2245E185" w14:textId="77777777" w:rsidR="00263453" w:rsidRPr="00BF0AAA" w:rsidRDefault="00263453" w:rsidP="00263453">
      <w:pPr>
        <w:pStyle w:val="ListParagraph"/>
        <w:jc w:val="both"/>
        <w:rPr>
          <w:rFonts w:ascii="Arial" w:hAnsi="Arial" w:cs="Arial"/>
          <w:color w:val="000000"/>
          <w:sz w:val="16"/>
          <w:szCs w:val="16"/>
          <w:lang w:val="cs-CZ"/>
        </w:rPr>
      </w:pPr>
      <w:r w:rsidRPr="00BF0AAA">
        <w:rPr>
          <w:rFonts w:ascii="Arial" w:hAnsi="Arial" w:cs="Arial"/>
          <w:color w:val="000000"/>
          <w:sz w:val="16"/>
          <w:szCs w:val="16"/>
          <w:lang w:val="cs-CZ"/>
        </w:rPr>
        <w:t xml:space="preserve">Pokud tak umožňují místní právní předpisy a v souladu s vnitřními směrnicemi společnosti Lilly a místními oborovými kodexy, mohou Zdravotnického pracovníka při jeho cestě doprovázet další osoby, ty se však nesmějí zúčastnit akce společnosti Lilly. Celkovou částku nákladů na cestování spolucestujících osob ponese Zdravotnický pracovník a tato částka bude přímo splatná Zdravotnickým pracovníkem dodavateli. Tato částka zahrnuje náklady na letenky, transfery, větší pokoj nebo další pokoje, náklady na stravování, činnosti, vedlejší a různé poplatky vzniklé v souvislosti se </w:t>
      </w:r>
      <w:r w:rsidRPr="00BF0AAA">
        <w:rPr>
          <w:rFonts w:ascii="Arial" w:hAnsi="Arial" w:cs="Arial"/>
          <w:color w:val="000000"/>
          <w:sz w:val="16"/>
          <w:szCs w:val="16"/>
          <w:lang w:val="cs-CZ"/>
        </w:rPr>
        <w:lastRenderedPageBreak/>
        <w:t>spolucestujícími osobami. Pokud dojde ke zrušení akce nebo Služeb, nenese společnost Lilly odpovědnost za žádné náklady vzniklé v souvislosti se záležitostmi spolucestujících osob.</w:t>
      </w:r>
    </w:p>
    <w:p w14:paraId="2F3C8F87" w14:textId="77777777" w:rsidR="00263453" w:rsidRPr="00BF0AAA" w:rsidRDefault="00263453" w:rsidP="00263453">
      <w:pPr>
        <w:pStyle w:val="ListParagraph"/>
        <w:keepNext/>
        <w:numPr>
          <w:ilvl w:val="0"/>
          <w:numId w:val="11"/>
        </w:numPr>
        <w:tabs>
          <w:tab w:val="clear" w:pos="862"/>
          <w:tab w:val="num" w:pos="360"/>
        </w:tabs>
        <w:ind w:left="360" w:hanging="360"/>
        <w:jc w:val="both"/>
        <w:rPr>
          <w:rFonts w:ascii="Arial" w:hAnsi="Arial" w:cs="Arial"/>
          <w:b/>
          <w:sz w:val="16"/>
          <w:szCs w:val="16"/>
          <w:lang w:val="cs-CZ"/>
        </w:rPr>
      </w:pPr>
      <w:r w:rsidRPr="00BF0AAA">
        <w:rPr>
          <w:rFonts w:ascii="Arial" w:hAnsi="Arial" w:cs="Arial"/>
          <w:b/>
          <w:color w:val="000000"/>
          <w:sz w:val="16"/>
          <w:szCs w:val="16"/>
          <w:lang w:val="cs-CZ"/>
        </w:rPr>
        <w:t>Odborná licence</w:t>
      </w:r>
    </w:p>
    <w:p w14:paraId="2EE60C66" w14:textId="415AF467" w:rsidR="00263453" w:rsidRPr="00BF0AAA" w:rsidRDefault="00263453" w:rsidP="00263453">
      <w:pPr>
        <w:pStyle w:val="ListParagraph"/>
        <w:keepNext/>
        <w:ind w:left="360"/>
        <w:jc w:val="both"/>
        <w:rPr>
          <w:rFonts w:ascii="Arial" w:hAnsi="Arial" w:cs="Arial"/>
          <w:b/>
          <w:sz w:val="16"/>
          <w:szCs w:val="16"/>
          <w:lang w:val="cs-CZ"/>
        </w:rPr>
      </w:pPr>
      <w:r w:rsidRPr="00BF0AAA">
        <w:rPr>
          <w:rFonts w:ascii="Arial" w:hAnsi="Arial" w:cs="Arial"/>
          <w:color w:val="000000"/>
          <w:sz w:val="16"/>
          <w:szCs w:val="16"/>
          <w:lang w:val="cs-CZ"/>
        </w:rPr>
        <w:t>Protistrana prohlašuje, že Zdravotnický pracovník má platnou odbornou licenci odpovídající jeho postavení zdravotnického pracovníka, a souhlasí s tím, že společnost Lilly neprodleně uvědomí v případě, že dojde k pozastavení nebo zrušení této licence. V takovém případě bude společnost Lilly oprávněna na základě písemné výpovědi tuto Smlouvu okamžitě ukončit.</w:t>
      </w:r>
    </w:p>
    <w:p w14:paraId="39BC2F70" w14:textId="77777777" w:rsidR="00263453" w:rsidRPr="00BF0AAA" w:rsidRDefault="00263453" w:rsidP="00263453">
      <w:pPr>
        <w:pStyle w:val="ListParagraph"/>
        <w:keepNext/>
        <w:tabs>
          <w:tab w:val="num" w:pos="360"/>
        </w:tabs>
        <w:ind w:left="360"/>
        <w:rPr>
          <w:rFonts w:ascii="Arial" w:hAnsi="Arial" w:cs="Arial"/>
          <w:b/>
          <w:sz w:val="16"/>
          <w:szCs w:val="16"/>
          <w:lang w:val="cs-CZ"/>
        </w:rPr>
      </w:pPr>
    </w:p>
    <w:p w14:paraId="4A7679CC" w14:textId="77777777" w:rsidR="00263453" w:rsidRPr="00BF0AAA" w:rsidRDefault="00263453" w:rsidP="00263453">
      <w:pPr>
        <w:keepNext/>
        <w:numPr>
          <w:ilvl w:val="0"/>
          <w:numId w:val="11"/>
        </w:numPr>
        <w:tabs>
          <w:tab w:val="clear" w:pos="862"/>
          <w:tab w:val="num" w:pos="360"/>
          <w:tab w:val="num" w:pos="426"/>
        </w:tabs>
        <w:ind w:left="426" w:hanging="426"/>
        <w:jc w:val="both"/>
        <w:rPr>
          <w:rFonts w:ascii="Arial" w:hAnsi="Arial" w:cs="Arial"/>
          <w:b/>
          <w:sz w:val="16"/>
          <w:szCs w:val="16"/>
          <w:lang w:val="cs-CZ"/>
        </w:rPr>
      </w:pPr>
      <w:r w:rsidRPr="00BF0AAA">
        <w:rPr>
          <w:rFonts w:ascii="Arial" w:hAnsi="Arial" w:cs="Arial"/>
          <w:b/>
          <w:sz w:val="16"/>
          <w:szCs w:val="16"/>
          <w:lang w:val="cs-CZ"/>
        </w:rPr>
        <w:t>Doba trvání a ukončení Smlouvy</w:t>
      </w:r>
    </w:p>
    <w:p w14:paraId="3E2B71A8" w14:textId="77777777" w:rsidR="00263453" w:rsidRPr="00BF0AAA" w:rsidRDefault="00263453" w:rsidP="00263453">
      <w:pPr>
        <w:keepNext/>
        <w:ind w:left="360"/>
        <w:jc w:val="both"/>
        <w:rPr>
          <w:rFonts w:ascii="Arial" w:hAnsi="Arial" w:cs="Arial"/>
          <w:sz w:val="16"/>
          <w:szCs w:val="16"/>
          <w:lang w:val="cs-CZ"/>
        </w:rPr>
      </w:pPr>
      <w:r w:rsidRPr="00BF0AAA">
        <w:rPr>
          <w:rFonts w:ascii="Arial" w:hAnsi="Arial" w:cs="Arial"/>
          <w:sz w:val="16"/>
          <w:szCs w:val="16"/>
          <w:lang w:val="cs-CZ"/>
        </w:rPr>
        <w:t>Tato Smlouva je platná od data uvedeného na straně jedna Smlouvy. Může být kdykoliv ukončena písemným oznámením druhé straně či stranám s třicetidenní (30) výpovědní dobou. Články 4, 5, 7 a 8 těchto Všeobecných podmínek přetrvají v platnosti i po ukončení této Smlouvy. Každá Objednávka služeb začíná platit od data, kdy byla podepsána Protistranou a společností Lilly (ledaže by taková Objednávka služeb uváděla jiné datum začátku platnosti) a zůstává v platnosti po Dobu trvání této Smlouvy, nebude-li stanoveno jinak v Objednávce služeb, v kterémžto případě bude platit po dobu stanovenou v Objednávce služeb</w:t>
      </w:r>
      <w:r w:rsidRPr="00BF0AAA" w:rsidDel="00BC6491">
        <w:rPr>
          <w:rFonts w:ascii="Arial" w:hAnsi="Arial" w:cs="Arial"/>
          <w:sz w:val="16"/>
          <w:szCs w:val="16"/>
          <w:lang w:val="cs-CZ"/>
        </w:rPr>
        <w:t xml:space="preserve"> </w:t>
      </w:r>
      <w:r w:rsidRPr="00BF0AAA">
        <w:rPr>
          <w:rFonts w:ascii="Arial" w:hAnsi="Arial" w:cs="Arial"/>
          <w:sz w:val="16"/>
          <w:szCs w:val="16"/>
          <w:lang w:val="cs-CZ"/>
        </w:rPr>
        <w:t xml:space="preserve"> </w:t>
      </w:r>
    </w:p>
    <w:p w14:paraId="23B41F1D" w14:textId="77777777" w:rsidR="00263453" w:rsidRPr="00BF0AAA" w:rsidRDefault="00263453" w:rsidP="00263453">
      <w:pPr>
        <w:keepNext/>
        <w:tabs>
          <w:tab w:val="num" w:pos="426"/>
        </w:tabs>
        <w:ind w:left="426"/>
        <w:jc w:val="both"/>
        <w:rPr>
          <w:rFonts w:ascii="Arial" w:hAnsi="Arial" w:cs="Arial"/>
          <w:b/>
          <w:sz w:val="16"/>
          <w:szCs w:val="16"/>
          <w:lang w:val="cs-CZ"/>
        </w:rPr>
      </w:pPr>
    </w:p>
    <w:p w14:paraId="501A5049" w14:textId="77777777" w:rsidR="00263453" w:rsidRPr="00BF0AAA" w:rsidRDefault="00263453" w:rsidP="00263453">
      <w:pPr>
        <w:keepNext/>
        <w:ind w:left="360"/>
        <w:jc w:val="both"/>
        <w:rPr>
          <w:rFonts w:ascii="Arial" w:hAnsi="Arial" w:cs="Arial"/>
          <w:sz w:val="16"/>
          <w:szCs w:val="16"/>
          <w:lang w:val="cs-CZ"/>
        </w:rPr>
      </w:pPr>
    </w:p>
    <w:p w14:paraId="1C86D591" w14:textId="77777777" w:rsidR="00263453" w:rsidRPr="00BF0AAA" w:rsidRDefault="00263453" w:rsidP="00263453">
      <w:pPr>
        <w:keepNext/>
        <w:numPr>
          <w:ilvl w:val="0"/>
          <w:numId w:val="11"/>
        </w:numPr>
        <w:tabs>
          <w:tab w:val="clear" w:pos="862"/>
          <w:tab w:val="num" w:pos="360"/>
          <w:tab w:val="num" w:pos="426"/>
        </w:tabs>
        <w:ind w:left="720"/>
        <w:jc w:val="both"/>
        <w:rPr>
          <w:rFonts w:ascii="Arial" w:hAnsi="Arial" w:cs="Arial"/>
          <w:b/>
          <w:sz w:val="16"/>
          <w:szCs w:val="16"/>
          <w:lang w:val="cs-CZ"/>
        </w:rPr>
      </w:pPr>
      <w:r w:rsidRPr="00BF0AAA">
        <w:rPr>
          <w:rFonts w:ascii="Arial" w:hAnsi="Arial" w:cs="Arial"/>
          <w:b/>
          <w:sz w:val="16"/>
          <w:szCs w:val="16"/>
          <w:lang w:val="cs-CZ"/>
        </w:rPr>
        <w:t>Důvěrné informace</w:t>
      </w:r>
    </w:p>
    <w:p w14:paraId="7BBBD55E" w14:textId="77777777" w:rsidR="00263453" w:rsidRPr="00BF0AAA" w:rsidRDefault="00263453" w:rsidP="00263453">
      <w:pPr>
        <w:pStyle w:val="CommentText"/>
        <w:tabs>
          <w:tab w:val="num" w:pos="360"/>
        </w:tabs>
        <w:ind w:left="342"/>
        <w:jc w:val="both"/>
        <w:rPr>
          <w:rFonts w:ascii="Arial" w:hAnsi="Arial" w:cs="Arial"/>
          <w:sz w:val="16"/>
          <w:szCs w:val="16"/>
          <w:lang w:val="cs-CZ"/>
        </w:rPr>
      </w:pPr>
      <w:r w:rsidRPr="00BF0AAA">
        <w:rPr>
          <w:rFonts w:ascii="Arial" w:hAnsi="Arial" w:cs="Arial"/>
          <w:sz w:val="16"/>
          <w:szCs w:val="16"/>
          <w:lang w:val="cs-CZ"/>
        </w:rPr>
        <w:t>Protistrana bere na vědomí, že může od společnosti Lilly obdržet informace, které jsou důvěrné povahy. Z toho důvodu se Protistrana zavazuje, že s výjimkou informací, které jsou veřejně dostupné, jako jsou například zveřejněné údaje, nebude tyto informace používat jinak než pro účely poskytování Služeb společnosti Lilly a nebude je sdělovat žádné třetí osobě nebo straně bez předchozího písemného souhlasu společnosti Lilly.</w:t>
      </w:r>
    </w:p>
    <w:p w14:paraId="6FF5721A" w14:textId="77777777" w:rsidR="00263453" w:rsidRPr="00BF0AAA" w:rsidRDefault="00263453" w:rsidP="00263453">
      <w:pPr>
        <w:pStyle w:val="CommentText"/>
        <w:tabs>
          <w:tab w:val="num" w:pos="360"/>
        </w:tabs>
        <w:ind w:left="342"/>
        <w:rPr>
          <w:rFonts w:ascii="Arial" w:hAnsi="Arial" w:cs="Arial"/>
          <w:sz w:val="16"/>
          <w:szCs w:val="16"/>
          <w:lang w:val="cs-CZ"/>
        </w:rPr>
      </w:pPr>
    </w:p>
    <w:p w14:paraId="3627527F" w14:textId="77777777" w:rsidR="00263453" w:rsidRPr="00BF0AAA" w:rsidRDefault="00263453" w:rsidP="00263453">
      <w:pPr>
        <w:keepNext/>
        <w:numPr>
          <w:ilvl w:val="0"/>
          <w:numId w:val="11"/>
        </w:numPr>
        <w:tabs>
          <w:tab w:val="clear" w:pos="862"/>
          <w:tab w:val="num" w:pos="360"/>
          <w:tab w:val="num" w:pos="720"/>
        </w:tabs>
        <w:ind w:left="720"/>
        <w:jc w:val="both"/>
        <w:rPr>
          <w:rFonts w:ascii="Arial" w:hAnsi="Arial" w:cs="Arial"/>
          <w:b/>
          <w:sz w:val="16"/>
          <w:szCs w:val="16"/>
          <w:lang w:val="cs-CZ"/>
        </w:rPr>
      </w:pPr>
      <w:r w:rsidRPr="00BF0AAA">
        <w:rPr>
          <w:rFonts w:ascii="Arial" w:hAnsi="Arial" w:cs="Arial"/>
          <w:b/>
          <w:sz w:val="16"/>
          <w:szCs w:val="16"/>
          <w:lang w:val="cs-CZ"/>
        </w:rPr>
        <w:t>Použití osobních údajů</w:t>
      </w:r>
    </w:p>
    <w:p w14:paraId="1D94A024" w14:textId="77777777" w:rsidR="00263453" w:rsidRPr="00BF0AAA" w:rsidRDefault="00263453" w:rsidP="00263453">
      <w:pPr>
        <w:ind w:left="360"/>
        <w:jc w:val="both"/>
        <w:rPr>
          <w:rFonts w:ascii="Arial" w:hAnsi="Arial" w:cs="Arial"/>
          <w:b/>
          <w:sz w:val="16"/>
          <w:szCs w:val="16"/>
          <w:lang w:val="cs-CZ"/>
        </w:rPr>
      </w:pPr>
      <w:r w:rsidRPr="00BF0AAA">
        <w:rPr>
          <w:rFonts w:ascii="Arial" w:hAnsi="Arial" w:cs="Arial"/>
          <w:sz w:val="16"/>
          <w:szCs w:val="16"/>
          <w:lang w:val="cs-CZ"/>
        </w:rPr>
        <w:t xml:space="preserve">Společnost Lilly bude shromažďovat a uchovávat všechny osobní údaje, které shromáždí v souvislosti s podpisem této Smlouvy, v souladu s příslušnými místními zákony a předpisy na ochranu soukromí a osobních údajů. Pro účely této Smlouvy zahrnují osobní údaje také odměny zaplacené Zdravotnickému pracovníkovi. Zdravotnický pracovník souhlasí s tím, že společnost Lilly může uchovávat informace týkající se služeb Zdravotnického pracovníka podle této Smlouvy a může tyto informace používat pro účely související s léčivými přípravky a zdravotní péčí a sdělovat je pro regulatorní a/nebo právní účely. Zdravotnický pracovník je srozuměn a souhlasí s tím, že společnost Lilly nebude sdělovat jeho osobní informace jinak než dodavatelům společnosti Lilly, kteří se smluvně zaváží dodržovat stejná omezení. Uzavřením této Smlouvy dává Zdravotnický pracovník svůj souhlas s tímto použitím jeho osobních údajů a souhlasí, že společnost Lilly může v budoucnu Zdravotnického pracovníka kontaktovat za účelem obnovení nebo změny jeho souhlasu. Společnost Lilly bude osobní údaje Zdravotnického pracovníka uchovávat a v souladu s účely uvedenými výše může některé z nich poskytnout dalším svým spřízněným osobám, včetně Eli Lilly and Company v </w:t>
      </w:r>
      <w:r w:rsidRPr="00BF0AAA">
        <w:rPr>
          <w:rFonts w:ascii="Arial" w:hAnsi="Arial" w:cs="Arial"/>
          <w:sz w:val="16"/>
          <w:szCs w:val="16"/>
          <w:lang w:val="cs-CZ"/>
        </w:rPr>
        <w:lastRenderedPageBreak/>
        <w:t xml:space="preserve">Indianapolis, Indiana, USA. Podle příslušných zákonů USA mohou přístup k osobním údajům Zdravotnického pracovníka získat státní orgány USA. S dotazy týkajícími se shromažďování, používání nebo sdělování osobních údajů nebo s požadavky na zpřístupnění, opravu nebo vymazání osobních údajů, které má společnost Lilly o Zdravotnickém pracovníkovi v držení, se obracejte na vedoucího pracovníka společnosti Lilly pro oblast ochrany osobních údajů (Privacy Officer) na adresu/číslo </w:t>
      </w:r>
      <w:r w:rsidRPr="00BF0AAA">
        <w:rPr>
          <w:rFonts w:ascii="Arial" w:hAnsi="Arial" w:cs="Arial"/>
          <w:b/>
          <w:sz w:val="16"/>
          <w:szCs w:val="16"/>
          <w:lang w:val="cs-CZ"/>
        </w:rPr>
        <w:t>Eli Lilly ČR, s.r.o., Pobřežní 12, 18600, Praha 8.</w:t>
      </w:r>
    </w:p>
    <w:p w14:paraId="69D03BEC" w14:textId="77777777" w:rsidR="00263453" w:rsidRPr="00BF0AAA" w:rsidRDefault="00263453" w:rsidP="00263453">
      <w:pPr>
        <w:ind w:left="360"/>
        <w:jc w:val="both"/>
        <w:rPr>
          <w:rFonts w:ascii="Arial" w:hAnsi="Arial" w:cs="Arial"/>
          <w:sz w:val="16"/>
          <w:szCs w:val="16"/>
          <w:lang w:val="cs-CZ"/>
        </w:rPr>
      </w:pPr>
    </w:p>
    <w:p w14:paraId="7497CB6F" w14:textId="77777777" w:rsidR="00263453" w:rsidRPr="00BF0AAA" w:rsidRDefault="00263453" w:rsidP="00263453">
      <w:pPr>
        <w:pStyle w:val="ListParagraph"/>
        <w:keepNext/>
        <w:numPr>
          <w:ilvl w:val="0"/>
          <w:numId w:val="13"/>
        </w:numPr>
        <w:ind w:left="342" w:hanging="270"/>
        <w:jc w:val="both"/>
        <w:rPr>
          <w:rFonts w:ascii="Arial" w:hAnsi="Arial" w:cs="Arial"/>
          <w:b/>
          <w:sz w:val="16"/>
          <w:szCs w:val="16"/>
          <w:lang w:val="cs-CZ"/>
        </w:rPr>
      </w:pPr>
      <w:r w:rsidRPr="00BF0AAA">
        <w:rPr>
          <w:rFonts w:ascii="Arial" w:hAnsi="Arial" w:cs="Arial"/>
          <w:b/>
          <w:sz w:val="16"/>
          <w:szCs w:val="16"/>
          <w:lang w:val="cs-CZ"/>
        </w:rPr>
        <w:t>Konflikt zájmů</w:t>
      </w:r>
    </w:p>
    <w:p w14:paraId="7E646771" w14:textId="77777777" w:rsidR="00263453" w:rsidRPr="00BF0AAA" w:rsidRDefault="00263453" w:rsidP="00263453">
      <w:pPr>
        <w:ind w:left="342"/>
        <w:jc w:val="both"/>
        <w:rPr>
          <w:rFonts w:ascii="Arial" w:hAnsi="Arial" w:cs="Arial"/>
          <w:sz w:val="16"/>
          <w:szCs w:val="16"/>
          <w:lang w:val="cs-CZ"/>
        </w:rPr>
      </w:pPr>
      <w:r w:rsidRPr="00BF0AAA">
        <w:rPr>
          <w:rFonts w:ascii="Arial" w:hAnsi="Arial" w:cs="Arial"/>
          <w:sz w:val="16"/>
          <w:szCs w:val="16"/>
          <w:lang w:val="cs-CZ"/>
        </w:rPr>
        <w:t>Protistrana ujišťuje společnost Lilly, že neexistuje žádné právní omezení, smluvní závazek, pracovněprávní předpis, konflikt zájmů ani jiný profesní závazek, který by omezoval právo nebo možnost Protistrany uzavřít tuto Smlouvu, poskytovat Služby, přijmout platbu od společnosti Lilly nebo splnit jakýkoliv jiný závazek podle této Smlouvy.</w:t>
      </w:r>
    </w:p>
    <w:p w14:paraId="6CE15F7F" w14:textId="77777777" w:rsidR="00263453" w:rsidRPr="00BF0AAA" w:rsidRDefault="00263453" w:rsidP="00263453">
      <w:pPr>
        <w:keepNext/>
        <w:ind w:left="360"/>
        <w:jc w:val="both"/>
        <w:rPr>
          <w:rFonts w:ascii="Arial" w:hAnsi="Arial" w:cs="Arial"/>
          <w:sz w:val="16"/>
          <w:szCs w:val="16"/>
          <w:lang w:val="cs-CZ"/>
        </w:rPr>
      </w:pPr>
    </w:p>
    <w:p w14:paraId="1D19784F" w14:textId="77777777" w:rsidR="00263453" w:rsidRPr="00BF0AAA" w:rsidRDefault="00263453" w:rsidP="00263453">
      <w:pPr>
        <w:pStyle w:val="ListParagraph"/>
        <w:keepNext/>
        <w:numPr>
          <w:ilvl w:val="0"/>
          <w:numId w:val="13"/>
        </w:numPr>
        <w:tabs>
          <w:tab w:val="left" w:pos="357"/>
        </w:tabs>
        <w:ind w:left="342" w:hanging="270"/>
        <w:jc w:val="both"/>
        <w:rPr>
          <w:rFonts w:ascii="Arial" w:hAnsi="Arial" w:cs="Arial"/>
          <w:b/>
          <w:sz w:val="16"/>
          <w:szCs w:val="16"/>
          <w:lang w:val="cs-CZ"/>
        </w:rPr>
      </w:pPr>
      <w:r w:rsidRPr="00BF0AAA">
        <w:rPr>
          <w:rFonts w:ascii="Arial" w:hAnsi="Arial" w:cs="Arial"/>
          <w:b/>
          <w:sz w:val="16"/>
          <w:szCs w:val="16"/>
          <w:lang w:val="cs-CZ"/>
        </w:rPr>
        <w:t>Duševní vlastnictví</w:t>
      </w:r>
    </w:p>
    <w:p w14:paraId="248A056B" w14:textId="77777777" w:rsidR="00263453" w:rsidRPr="00BF0AAA" w:rsidRDefault="00263453" w:rsidP="00263453">
      <w:pPr>
        <w:ind w:left="342"/>
        <w:jc w:val="both"/>
        <w:rPr>
          <w:rFonts w:ascii="Arial" w:hAnsi="Arial" w:cs="Arial"/>
          <w:sz w:val="16"/>
          <w:szCs w:val="16"/>
          <w:lang w:val="cs-CZ"/>
        </w:rPr>
      </w:pPr>
      <w:r w:rsidRPr="00BF0AAA">
        <w:rPr>
          <w:rFonts w:ascii="Arial" w:hAnsi="Arial" w:cs="Arial"/>
          <w:sz w:val="16"/>
          <w:szCs w:val="16"/>
          <w:lang w:val="cs-CZ"/>
        </w:rPr>
        <w:t>Při poskytování Služeb může Zdravotnický pracovník využít své vlastní, již vytvořené materiály, dokumenty atd. (dále jen „Vlastní materiály“). V takovém případě si Zdravotnický pracovník podrží všechna práva k duševnímu vlastnictví náležející k jakýmkoliv takovým jeho Vlastním materiálům. Za jiných okolností mohou být Zdravotnickému pracovníkovi poskytnuty schválené materiály vytvořené společností Lilly (dále jen „Materiály Lilly“). Tyto Materiály Lilly zůstávají za všech okolností výhradním vlastnictvím společnosti Lilly a nesmějí být použity nad rámec vyžadovaný pro účely poskytování Služeb v souladu s touto Smlouvou. Veškeré odvozené materiály, dokumenty atd. vytvořené Zdravotnickým pracovníkem (dále jen „Odvozené materiály“) z Materiálů Lilly se stávají vlastnictvím společnosti Lilly a budou jí doručeny po skončení této Smlouvy.</w:t>
      </w:r>
    </w:p>
    <w:p w14:paraId="096D41EA" w14:textId="77777777" w:rsidR="00263453" w:rsidRPr="00BF0AAA" w:rsidRDefault="00263453" w:rsidP="00263453">
      <w:pPr>
        <w:ind w:left="342"/>
        <w:jc w:val="both"/>
        <w:rPr>
          <w:rFonts w:ascii="Arial" w:hAnsi="Arial" w:cs="Arial"/>
          <w:sz w:val="16"/>
          <w:szCs w:val="16"/>
          <w:lang w:val="cs-CZ"/>
        </w:rPr>
      </w:pPr>
    </w:p>
    <w:p w14:paraId="0DA24DAF" w14:textId="77777777" w:rsidR="00263453" w:rsidRPr="00BF0AAA" w:rsidRDefault="00263453" w:rsidP="00263453">
      <w:pPr>
        <w:pStyle w:val="ListParagraph"/>
        <w:keepNext/>
        <w:numPr>
          <w:ilvl w:val="0"/>
          <w:numId w:val="13"/>
        </w:numPr>
        <w:tabs>
          <w:tab w:val="left" w:pos="342"/>
        </w:tabs>
        <w:ind w:left="342" w:hanging="270"/>
        <w:jc w:val="both"/>
        <w:rPr>
          <w:rFonts w:ascii="Arial" w:hAnsi="Arial" w:cs="Arial"/>
          <w:b/>
          <w:sz w:val="16"/>
          <w:szCs w:val="16"/>
          <w:lang w:val="cs-CZ"/>
        </w:rPr>
      </w:pPr>
      <w:bookmarkStart w:id="1" w:name="_GoBack"/>
      <w:bookmarkEnd w:id="1"/>
      <w:r w:rsidRPr="00BF0AAA">
        <w:rPr>
          <w:rFonts w:ascii="Arial" w:hAnsi="Arial" w:cs="Arial"/>
          <w:b/>
          <w:sz w:val="16"/>
          <w:szCs w:val="16"/>
          <w:lang w:val="cs-CZ"/>
        </w:rPr>
        <w:t>Protikorupční zákony a dodržování právních předpisů</w:t>
      </w:r>
    </w:p>
    <w:p w14:paraId="268AEF6B" w14:textId="77777777" w:rsidR="00263453" w:rsidRPr="00BF0AAA" w:rsidRDefault="00263453" w:rsidP="00263453">
      <w:pPr>
        <w:pStyle w:val="ListParagraph"/>
        <w:keepNext/>
        <w:tabs>
          <w:tab w:val="left" w:pos="342"/>
        </w:tabs>
        <w:ind w:left="717" w:hanging="375"/>
        <w:jc w:val="both"/>
        <w:rPr>
          <w:rFonts w:ascii="Arial" w:hAnsi="Arial" w:cs="Arial"/>
          <w:sz w:val="16"/>
          <w:szCs w:val="16"/>
          <w:lang w:val="cs-CZ"/>
        </w:rPr>
      </w:pPr>
      <w:r w:rsidRPr="00BF0AAA">
        <w:rPr>
          <w:rFonts w:ascii="Arial" w:hAnsi="Arial" w:cs="Arial"/>
          <w:b/>
          <w:sz w:val="16"/>
          <w:szCs w:val="16"/>
          <w:lang w:val="cs-CZ"/>
        </w:rPr>
        <w:t>8.1</w:t>
      </w:r>
      <w:r w:rsidRPr="00BF0AAA">
        <w:rPr>
          <w:rFonts w:ascii="Arial" w:hAnsi="Arial" w:cs="Arial"/>
          <w:b/>
          <w:sz w:val="16"/>
          <w:szCs w:val="16"/>
          <w:lang w:val="cs-CZ"/>
        </w:rPr>
        <w:tab/>
      </w:r>
      <w:r w:rsidRPr="00BF0AAA">
        <w:rPr>
          <w:rFonts w:ascii="Arial" w:hAnsi="Arial" w:cs="Arial"/>
          <w:sz w:val="16"/>
          <w:szCs w:val="16"/>
          <w:lang w:val="cs-CZ"/>
        </w:rPr>
        <w:t>Protistrana zaručuje, že při uzavírání této Smlouvy a plnění svých povinností z této Smlouvy ona sama učiní nebo naopak nebude činit následující a zajistí, aby tak učinily nebo naopak nečinily i osoby s ní spojené nebo osoby poskytující Služby podle této Smlouvy:</w:t>
      </w:r>
    </w:p>
    <w:p w14:paraId="3B0FA23B" w14:textId="77777777" w:rsidR="00263453" w:rsidRPr="00BF0AAA" w:rsidRDefault="00263453" w:rsidP="00263453">
      <w:pPr>
        <w:pStyle w:val="ListParagraph"/>
        <w:keepNext/>
        <w:tabs>
          <w:tab w:val="left" w:pos="709"/>
        </w:tabs>
        <w:ind w:left="993" w:hanging="921"/>
        <w:jc w:val="both"/>
        <w:rPr>
          <w:rFonts w:ascii="Arial" w:hAnsi="Arial" w:cs="Arial"/>
          <w:sz w:val="16"/>
          <w:szCs w:val="16"/>
          <w:lang w:val="cs-CZ"/>
        </w:rPr>
      </w:pPr>
      <w:r w:rsidRPr="00BF0AAA">
        <w:rPr>
          <w:rFonts w:ascii="Arial" w:hAnsi="Arial" w:cs="Arial"/>
          <w:sz w:val="16"/>
          <w:szCs w:val="16"/>
          <w:lang w:val="cs-CZ"/>
        </w:rPr>
        <w:tab/>
        <w:t>(i)</w:t>
      </w:r>
      <w:r w:rsidRPr="00BF0AAA">
        <w:rPr>
          <w:rFonts w:ascii="Arial" w:hAnsi="Arial" w:cs="Arial"/>
          <w:sz w:val="16"/>
          <w:szCs w:val="16"/>
          <w:lang w:val="cs-CZ"/>
        </w:rPr>
        <w:tab/>
        <w:t xml:space="preserve">dodržovat všechny příslušné místní, národní i mezinárodní zákony, předpisy a oborové kodexy týkající se státních zakázek, konfliktu zájmů, korupce nebo úplatkářství, a to včetně zákona USA o zahraničních korupčních praktikách z roku 1977 (dále jen „FCPA“), v platném znění, [DOPLNIT MÍSTNÍ LEGISLATIVU, POKUD JE RELEVANTNÍ, tj. zákon o úplatkářství z roku 2010 pro Spojené království Velké Británie a Severního Irska] a jakýchkoliv zákonů přijatých v rámci realizace </w:t>
      </w:r>
      <w:r w:rsidRPr="00BF0AAA">
        <w:rPr>
          <w:rFonts w:ascii="Arial" w:hAnsi="Arial" w:cs="Arial"/>
          <w:bCs/>
          <w:sz w:val="16"/>
          <w:szCs w:val="16"/>
          <w:lang w:val="cs-CZ"/>
        </w:rPr>
        <w:t xml:space="preserve">Úmluvy Organizace pro hospodářskou spolupráci a rozvoj (OECD) o boji s podplácením veřejných činitelů v mezinárodních podnikatelských transakcích </w:t>
      </w:r>
      <w:r w:rsidRPr="00BF0AAA">
        <w:rPr>
          <w:rFonts w:ascii="Arial" w:hAnsi="Arial" w:cs="Arial"/>
          <w:sz w:val="16"/>
          <w:szCs w:val="16"/>
          <w:lang w:val="cs-CZ"/>
        </w:rPr>
        <w:t>(dále jen „Příslušné požadavky“);</w:t>
      </w:r>
    </w:p>
    <w:p w14:paraId="61CF7A69" w14:textId="77777777" w:rsidR="00263453" w:rsidRPr="00BF0AAA" w:rsidRDefault="00263453" w:rsidP="00263453">
      <w:pPr>
        <w:pStyle w:val="ListParagraph"/>
        <w:keepNext/>
        <w:tabs>
          <w:tab w:val="left" w:pos="709"/>
        </w:tabs>
        <w:ind w:left="993" w:hanging="921"/>
        <w:jc w:val="both"/>
        <w:rPr>
          <w:rFonts w:ascii="Arial" w:hAnsi="Arial" w:cs="Arial"/>
          <w:sz w:val="16"/>
          <w:szCs w:val="16"/>
          <w:lang w:val="cs-CZ"/>
        </w:rPr>
      </w:pPr>
      <w:r w:rsidRPr="00BF0AAA">
        <w:rPr>
          <w:rFonts w:ascii="Arial" w:hAnsi="Arial" w:cs="Arial"/>
          <w:sz w:val="16"/>
          <w:szCs w:val="16"/>
          <w:lang w:val="cs-CZ"/>
        </w:rPr>
        <w:tab/>
        <w:t>(ii)</w:t>
      </w:r>
      <w:r w:rsidRPr="00BF0AAA">
        <w:rPr>
          <w:rFonts w:ascii="Arial" w:hAnsi="Arial" w:cs="Arial"/>
          <w:sz w:val="16"/>
          <w:szCs w:val="16"/>
          <w:lang w:val="cs-CZ"/>
        </w:rPr>
        <w:tab/>
        <w:t xml:space="preserve">nepodílet se na žádné činnosti, praktikách nebo jednání, které by zakládalo porušení Příslušných požadavků, zejména přímo ani nepřímo neprovádět, nenabídnout, nedat, nepřislíbit dát nebo nepovolit žádný úplatek, </w:t>
      </w:r>
      <w:r w:rsidRPr="00BF0AAA">
        <w:rPr>
          <w:rFonts w:ascii="Arial" w:hAnsi="Arial" w:cs="Arial"/>
          <w:sz w:val="16"/>
          <w:szCs w:val="16"/>
          <w:lang w:val="cs-CZ"/>
        </w:rPr>
        <w:lastRenderedPageBreak/>
        <w:t>provizi, platbu nebo předání čehokoliv cenného Státnímu úředníkovi nebo úřední osobě za účelem nezákonného ovlivnění jakéhokoliv úkonu nebo rozhodnutí s cílem pomoci Zdravotnickému pracovníkovi nebo společnosti Lilly získat nebo si udržet zakázku nebo zajistit neoprávněnou výhodu. Pro účely této Smlouvy znamená pojem „Státní úředník nebo úřední osoba“ znamená: (i) jakéhokoliv úředníka, vedoucího pracovníka, zaměstnance, zástupce nebo jinou osobu jednající v úřední funkci jménem: (a) jakékoliv vlády nebo ministerstva či státní agentury, (b) jakékoliv veřejné mezinárodní organizace (například OSN, Mezinárodního měnového fondu, Mezinárodního červeného kříže nebo Světové zdravotnické organizace) nebo jakéhokoliv jejího úřadu, agentury nebo instituce nebo (c) jakékoliv státem vlastněné nebo ovládané společnosti, instituce či jiného subjektu, včetně státem vlastněného nemocničního zařízení nebo univerzity, (ii) jakoukoliv politickou stranu nebo jejího představitele a (iii) jakéhokoliv kandidáta na politickou funkci.</w:t>
      </w:r>
    </w:p>
    <w:p w14:paraId="6F980B33" w14:textId="77777777" w:rsidR="00263453" w:rsidRPr="00BF0AAA" w:rsidRDefault="00263453" w:rsidP="00263453">
      <w:pPr>
        <w:pStyle w:val="ListParagraph"/>
        <w:keepNext/>
        <w:tabs>
          <w:tab w:val="left" w:pos="709"/>
        </w:tabs>
        <w:ind w:left="993" w:hanging="1205"/>
        <w:jc w:val="both"/>
        <w:rPr>
          <w:rFonts w:ascii="Arial" w:hAnsi="Arial" w:cs="Arial"/>
          <w:sz w:val="16"/>
          <w:szCs w:val="16"/>
          <w:lang w:val="cs-CZ"/>
        </w:rPr>
      </w:pPr>
      <w:r w:rsidRPr="00BF0AAA">
        <w:rPr>
          <w:rFonts w:ascii="Arial" w:hAnsi="Arial" w:cs="Arial"/>
          <w:sz w:val="16"/>
          <w:szCs w:val="16"/>
          <w:lang w:val="cs-CZ"/>
        </w:rPr>
        <w:tab/>
        <w:t>(iii)</w:t>
      </w:r>
      <w:r w:rsidRPr="00BF0AAA">
        <w:rPr>
          <w:rFonts w:ascii="Arial" w:hAnsi="Arial" w:cs="Arial"/>
          <w:sz w:val="16"/>
          <w:szCs w:val="16"/>
          <w:lang w:val="cs-CZ"/>
        </w:rPr>
        <w:tab/>
        <w:t>neučinit nebo naopak neopomenout učinit jakýkoliv úkon, který by způsobil nebo vedl k tomu, že by společnost Lilly porušila kterýkoliv Příslušný požadavek.</w:t>
      </w:r>
    </w:p>
    <w:p w14:paraId="36F28370" w14:textId="77777777" w:rsidR="00263453" w:rsidRPr="00BF0AAA" w:rsidRDefault="00263453" w:rsidP="00263453">
      <w:pPr>
        <w:pStyle w:val="ListParagraph"/>
        <w:keepNext/>
        <w:tabs>
          <w:tab w:val="left" w:pos="342"/>
        </w:tabs>
        <w:ind w:left="342" w:hanging="270"/>
        <w:jc w:val="both"/>
        <w:rPr>
          <w:rFonts w:ascii="Arial" w:hAnsi="Arial" w:cs="Arial"/>
          <w:sz w:val="16"/>
          <w:szCs w:val="16"/>
          <w:lang w:val="cs-CZ"/>
        </w:rPr>
      </w:pPr>
    </w:p>
    <w:p w14:paraId="10A92659" w14:textId="77777777" w:rsidR="00263453" w:rsidRPr="00BF0AAA" w:rsidRDefault="00263453" w:rsidP="00263453">
      <w:pPr>
        <w:pStyle w:val="ListParagraph"/>
        <w:keepNext/>
        <w:tabs>
          <w:tab w:val="left" w:pos="342"/>
          <w:tab w:val="left" w:pos="612"/>
        </w:tabs>
        <w:ind w:left="612" w:hanging="270"/>
        <w:jc w:val="both"/>
        <w:rPr>
          <w:rFonts w:ascii="Arial" w:hAnsi="Arial" w:cs="Arial"/>
          <w:sz w:val="16"/>
          <w:szCs w:val="16"/>
          <w:lang w:val="cs-CZ"/>
        </w:rPr>
      </w:pPr>
      <w:r w:rsidRPr="00BF0AAA">
        <w:rPr>
          <w:rFonts w:ascii="Arial" w:hAnsi="Arial" w:cs="Arial"/>
          <w:b/>
          <w:sz w:val="16"/>
          <w:szCs w:val="16"/>
          <w:lang w:val="cs-CZ"/>
        </w:rPr>
        <w:t>8.2</w:t>
      </w:r>
      <w:r w:rsidRPr="00BF0AAA">
        <w:rPr>
          <w:rFonts w:ascii="Arial" w:hAnsi="Arial" w:cs="Arial"/>
          <w:b/>
          <w:sz w:val="16"/>
          <w:szCs w:val="16"/>
          <w:lang w:val="cs-CZ"/>
        </w:rPr>
        <w:tab/>
      </w:r>
      <w:r w:rsidRPr="00BF0AAA">
        <w:rPr>
          <w:rFonts w:ascii="Arial" w:hAnsi="Arial" w:cs="Arial"/>
          <w:sz w:val="16"/>
          <w:szCs w:val="16"/>
          <w:lang w:val="cs-CZ"/>
        </w:rPr>
        <w:t>Protistrana bude v obvyklém místě své činnosti uchovávat podrobné, přesné a aktuální údaje a účetní knihy vykazující všechny platby a výdaje Protistrany v souvislosti s touto Smlouvou a kroky učiněné Protistranou za účelem splnění Příslušných požadavků. Protistrana se dále zavazuje spolupracovat v dobré víře při šetření rozsahu jakýchkoliv potenciálních porušení zákona v souvislosti s touto Smlouvou a bere na vědomí, že společnost Lilly může informace ohledně této Smlouvy sdělit veřejnému orgánu.</w:t>
      </w:r>
    </w:p>
    <w:p w14:paraId="4430E2D3" w14:textId="77777777" w:rsidR="00263453" w:rsidRPr="00BF0AAA" w:rsidRDefault="00263453" w:rsidP="00263453">
      <w:pPr>
        <w:pStyle w:val="ListParagraph"/>
        <w:keepNext/>
        <w:tabs>
          <w:tab w:val="left" w:pos="342"/>
        </w:tabs>
        <w:ind w:left="342"/>
        <w:jc w:val="both"/>
        <w:rPr>
          <w:rFonts w:ascii="Arial" w:hAnsi="Arial" w:cs="Arial"/>
          <w:sz w:val="16"/>
          <w:szCs w:val="16"/>
          <w:lang w:val="cs-CZ"/>
        </w:rPr>
      </w:pPr>
    </w:p>
    <w:p w14:paraId="227A7EDD" w14:textId="77777777" w:rsidR="00263453" w:rsidRPr="00BF0AAA" w:rsidRDefault="00263453" w:rsidP="00263453">
      <w:pPr>
        <w:pStyle w:val="ListParagraph"/>
        <w:keepNext/>
        <w:tabs>
          <w:tab w:val="left" w:pos="567"/>
        </w:tabs>
        <w:ind w:left="567" w:hanging="297"/>
        <w:jc w:val="both"/>
        <w:rPr>
          <w:rFonts w:ascii="Arial" w:hAnsi="Arial" w:cs="Arial"/>
          <w:sz w:val="16"/>
          <w:szCs w:val="16"/>
          <w:lang w:val="cs-CZ"/>
        </w:rPr>
      </w:pPr>
      <w:r w:rsidRPr="00BF0AAA">
        <w:rPr>
          <w:rFonts w:ascii="Arial" w:hAnsi="Arial" w:cs="Arial"/>
          <w:b/>
          <w:sz w:val="16"/>
          <w:szCs w:val="16"/>
          <w:lang w:val="cs-CZ"/>
        </w:rPr>
        <w:t>8.3</w:t>
      </w:r>
      <w:r w:rsidRPr="00BF0AAA">
        <w:rPr>
          <w:rFonts w:ascii="Arial" w:hAnsi="Arial" w:cs="Arial"/>
          <w:b/>
          <w:sz w:val="16"/>
          <w:szCs w:val="16"/>
          <w:lang w:val="cs-CZ"/>
        </w:rPr>
        <w:tab/>
      </w:r>
      <w:r w:rsidRPr="00BF0AAA">
        <w:rPr>
          <w:rFonts w:ascii="Arial" w:hAnsi="Arial" w:cs="Arial"/>
          <w:sz w:val="16"/>
          <w:szCs w:val="16"/>
          <w:lang w:val="cs-CZ"/>
        </w:rPr>
        <w:t>Porušení kteréhokoliv ustanovení tohoto článku Smlouvy bude považováno za podstatné porušení Smlouvy a společnost Lilly bude oprávněna tuto Smlouvu ukončit s okamžitou účinností na základě písemné výpovědi Protistraně. V případě, že společnost Lily ukončí tuto Smlouvu z důvodu porušení tohoto článku, může společnost Lilly požadovat proplacení nebo vrácení jakýchkoliv poplatků, jiných náhrad nebo výdajů uhrazených společností Lilly Protistraně a Protistrana již nebude mít na základě této Smlouvy nárok na žádné další částky.</w:t>
      </w:r>
    </w:p>
    <w:p w14:paraId="50619F54" w14:textId="77777777" w:rsidR="00263453" w:rsidRPr="00BF0AAA" w:rsidRDefault="00263453" w:rsidP="00263453">
      <w:pPr>
        <w:pStyle w:val="ListParagraph"/>
        <w:keepNext/>
        <w:tabs>
          <w:tab w:val="left" w:pos="284"/>
        </w:tabs>
        <w:jc w:val="both"/>
        <w:rPr>
          <w:rFonts w:ascii="Arial" w:hAnsi="Arial" w:cs="Arial"/>
          <w:sz w:val="16"/>
          <w:szCs w:val="16"/>
          <w:lang w:val="cs-CZ"/>
        </w:rPr>
      </w:pPr>
    </w:p>
    <w:p w14:paraId="4C2A3873" w14:textId="77777777" w:rsidR="00263453" w:rsidRPr="00BF0AAA" w:rsidRDefault="00263453" w:rsidP="00263453">
      <w:pPr>
        <w:keepNext/>
        <w:tabs>
          <w:tab w:val="left" w:pos="284"/>
        </w:tabs>
        <w:ind w:left="567" w:hanging="720"/>
        <w:jc w:val="both"/>
        <w:rPr>
          <w:rFonts w:ascii="Arial" w:hAnsi="Arial" w:cs="Arial"/>
          <w:b/>
          <w:sz w:val="16"/>
          <w:szCs w:val="16"/>
          <w:lang w:val="cs-CZ"/>
        </w:rPr>
      </w:pPr>
      <w:r w:rsidRPr="00BF0AAA">
        <w:rPr>
          <w:rFonts w:ascii="Arial" w:hAnsi="Arial" w:cs="Arial"/>
          <w:b/>
          <w:sz w:val="16"/>
          <w:szCs w:val="16"/>
          <w:lang w:val="cs-CZ"/>
        </w:rPr>
        <w:tab/>
        <w:t>8.4</w:t>
      </w:r>
      <w:r w:rsidRPr="00BF0AAA">
        <w:rPr>
          <w:rFonts w:ascii="Arial" w:hAnsi="Arial" w:cs="Arial"/>
          <w:b/>
          <w:sz w:val="16"/>
          <w:szCs w:val="16"/>
          <w:lang w:val="cs-CZ"/>
        </w:rPr>
        <w:tab/>
      </w:r>
      <w:r w:rsidRPr="00BF0AAA">
        <w:rPr>
          <w:rFonts w:ascii="Arial" w:hAnsi="Arial" w:cs="Arial"/>
          <w:sz w:val="16"/>
          <w:szCs w:val="16"/>
          <w:lang w:val="cs-CZ"/>
        </w:rPr>
        <w:t>[</w:t>
      </w:r>
      <w:r w:rsidRPr="00BF0AAA">
        <w:rPr>
          <w:rFonts w:ascii="Arial" w:hAnsi="Arial" w:cs="Arial"/>
          <w:b/>
          <w:sz w:val="16"/>
          <w:szCs w:val="16"/>
          <w:lang w:val="cs-CZ"/>
        </w:rPr>
        <w:t>POZNÁMKA: Tento článek se týká především obchodních záležitostí a může být změněn nebo vypuštěn bez potřeby konzultace s právním zástupcem Lilly]</w:t>
      </w:r>
      <w:r w:rsidRPr="00BF0AAA">
        <w:rPr>
          <w:rFonts w:ascii="Arial" w:hAnsi="Arial" w:cs="Arial"/>
          <w:sz w:val="16"/>
          <w:szCs w:val="16"/>
          <w:lang w:val="cs-CZ"/>
        </w:rPr>
        <w:t xml:space="preserve"> Protistrana odškodní společnost Lilly za jakékoliv ztráty, závazky, škody, náklady (zejména náklady právního zastupování) a výdaje, které společnosti Lilly vzniknou nebo které bude společnost Lilly povinna uhradit v důsledku porušení kteréhokoliv ustanovení tohoto článku 8 Protistranou nebo osobami poskytujícími Služby podle této Smlouvy jménem Protistrany.</w:t>
      </w:r>
    </w:p>
    <w:p w14:paraId="7FC4E4DA" w14:textId="77777777" w:rsidR="00263453" w:rsidRPr="004C10AD" w:rsidRDefault="00263453" w:rsidP="004C10AD">
      <w:pPr>
        <w:keepNext/>
        <w:tabs>
          <w:tab w:val="left" w:pos="630"/>
        </w:tabs>
        <w:jc w:val="both"/>
        <w:rPr>
          <w:rFonts w:ascii="Arial" w:hAnsi="Arial" w:cs="Arial"/>
          <w:sz w:val="16"/>
          <w:szCs w:val="16"/>
          <w:lang w:val="cs-CZ"/>
        </w:rPr>
      </w:pPr>
    </w:p>
    <w:p w14:paraId="3F8C8086" w14:textId="77777777" w:rsidR="00263453" w:rsidRPr="00BF0AAA" w:rsidRDefault="00263453" w:rsidP="00263453">
      <w:pPr>
        <w:keepNext/>
        <w:jc w:val="both"/>
        <w:rPr>
          <w:rFonts w:ascii="Arial" w:hAnsi="Arial" w:cs="Arial"/>
          <w:b/>
          <w:sz w:val="16"/>
          <w:szCs w:val="16"/>
          <w:lang w:val="cs-CZ"/>
        </w:rPr>
      </w:pPr>
      <w:r w:rsidRPr="00BF0AAA">
        <w:rPr>
          <w:rFonts w:ascii="Arial" w:hAnsi="Arial" w:cs="Arial"/>
          <w:b/>
          <w:sz w:val="16"/>
          <w:szCs w:val="16"/>
          <w:lang w:val="cs-CZ"/>
        </w:rPr>
        <w:t xml:space="preserve">  9.  Obecné podmínky</w:t>
      </w:r>
    </w:p>
    <w:p w14:paraId="5883E2CE" w14:textId="0C2B5BCA" w:rsidR="00141B41" w:rsidRPr="0083342C" w:rsidRDefault="00263453" w:rsidP="00263453">
      <w:pPr>
        <w:keepNext/>
        <w:tabs>
          <w:tab w:val="left" w:pos="375"/>
        </w:tabs>
        <w:jc w:val="both"/>
        <w:rPr>
          <w:rFonts w:ascii="Arial" w:hAnsi="Arial" w:cs="Arial"/>
          <w:sz w:val="16"/>
          <w:szCs w:val="16"/>
          <w:lang w:val="sk-SK"/>
        </w:rPr>
      </w:pPr>
      <w:r w:rsidRPr="00BF0AAA">
        <w:rPr>
          <w:rFonts w:ascii="Arial" w:hAnsi="Arial" w:cs="Arial"/>
          <w:sz w:val="16"/>
          <w:szCs w:val="16"/>
          <w:lang w:val="cs-CZ"/>
        </w:rPr>
        <w:lastRenderedPageBreak/>
        <w:t>Při poskytování Služeb bude Zdravotnický pracovník vystupovat výhradně jako nezávislý dodavatel a nic z toho, co je obsaženo v této Smlouvě, nečiní ze Zdravotnického pracovníka zaměstnance, partnera nebo zástupce společnosti Lilly. Protistrana zajistí, že poskytování Služeb bude za všech okolností splňovat požadavky všech příslušných zákonů, včetně místních zákonů o reklamě a propagaci a směrnic týkajících se léčivých přípravků na lékařský předpis (zejména místních oborových kodexů). Toto rovněž zahrnuje povinnost předložit společnosti Lilly k interní kontrole a schválení veškeré materiály nebo sdělení týkající se výrobku společnosti Lilly, které jsou určeny třetí straně. Strany se tímto podřizují nevýhradní pravomoci soudu jurisdikce, v níž je založen subjekt Lilly uzavírající Smlouvu.</w:t>
      </w:r>
    </w:p>
    <w:sectPr w:rsidR="00141B41" w:rsidRPr="0083342C" w:rsidSect="00263453">
      <w:headerReference w:type="first" r:id="rId16"/>
      <w:type w:val="continuous"/>
      <w:pgSz w:w="11909" w:h="16834" w:code="9"/>
      <w:pgMar w:top="2376" w:right="1440" w:bottom="1440" w:left="1440" w:header="936" w:footer="357" w:gutter="0"/>
      <w:cols w:num="2"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D79D2" w14:textId="77777777" w:rsidR="00A92434" w:rsidRDefault="00A92434">
      <w:r>
        <w:separator/>
      </w:r>
    </w:p>
  </w:endnote>
  <w:endnote w:type="continuationSeparator" w:id="0">
    <w:p w14:paraId="303F9C0E" w14:textId="77777777" w:rsidR="00A92434" w:rsidRDefault="00A9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091680" w14:paraId="20FB869A" w14:textId="77777777" w:rsidTr="006D27DC">
      <w:tc>
        <w:tcPr>
          <w:tcW w:w="5637" w:type="dxa"/>
          <w:hideMark/>
        </w:tcPr>
        <w:p w14:paraId="3C4E72C7" w14:textId="386194F7" w:rsidR="00091680" w:rsidRDefault="006D27DC" w:rsidP="00126E8F">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110" w:type="dxa"/>
          <w:hideMark/>
        </w:tcPr>
        <w:p w14:paraId="289616F5" w14:textId="0E491554" w:rsidR="00091680" w:rsidRDefault="00091680" w:rsidP="00721DA9">
          <w:pPr>
            <w:pStyle w:val="Footer"/>
            <w:jc w:val="center"/>
            <w:rPr>
              <w:rFonts w:ascii="Arial" w:hAnsi="Arial" w:cs="Arial"/>
              <w:sz w:val="18"/>
              <w:szCs w:val="18"/>
              <w:lang w:val="en-US"/>
            </w:rPr>
          </w:pPr>
          <w:r>
            <w:rPr>
              <w:rFonts w:ascii="Arial" w:eastAsiaTheme="majorEastAsia" w:hAnsi="Arial" w:cs="Arial"/>
              <w:sz w:val="18"/>
              <w:szCs w:val="18"/>
              <w:lang w:val="en-US"/>
            </w:rPr>
            <w:br/>
          </w:r>
          <w:r w:rsidR="00721DA9">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4C10AD" w:rsidRPr="004C10AD">
            <w:rPr>
              <w:rFonts w:ascii="Arial" w:eastAsiaTheme="majorEastAsia" w:hAnsi="Arial" w:cs="Arial"/>
              <w:noProof/>
              <w:sz w:val="18"/>
              <w:szCs w:val="18"/>
              <w:lang w:val="en-US"/>
            </w:rPr>
            <w:t>6</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EFC9D" w14:textId="77777777" w:rsidR="00A92434" w:rsidRDefault="00A92434">
      <w:r>
        <w:separator/>
      </w:r>
    </w:p>
  </w:footnote>
  <w:footnote w:type="continuationSeparator" w:id="0">
    <w:p w14:paraId="20A2C7DC" w14:textId="77777777" w:rsidR="00A92434" w:rsidRDefault="00A92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A84A" w14:textId="752E6AE1" w:rsidR="00854FF2" w:rsidRDefault="00854FF2">
    <w:pPr>
      <w:pStyle w:val="Header"/>
    </w:pPr>
    <w:r>
      <w:rPr>
        <w:noProof/>
        <w:lang w:val="en-IE" w:eastAsia="en-IE"/>
      </w:rPr>
      <w:drawing>
        <wp:anchor distT="0" distB="0" distL="114300" distR="114300" simplePos="0" relativeHeight="251662336" behindDoc="1" locked="0" layoutInCell="1" allowOverlap="1" wp14:anchorId="10C7354C" wp14:editId="52CC32BF">
          <wp:simplePos x="0" y="0"/>
          <wp:positionH relativeFrom="page">
            <wp:posOffset>5616575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75219" w14:textId="18EB81AF" w:rsidR="00854FF2" w:rsidRDefault="00854FF2">
    <w:pPr>
      <w:pStyle w:val="Header"/>
    </w:pPr>
    <w:r>
      <w:rPr>
        <w:noProof/>
        <w:lang w:val="en-IE" w:eastAsia="en-IE"/>
      </w:rPr>
      <w:drawing>
        <wp:anchor distT="0" distB="0" distL="114300" distR="114300" simplePos="0" relativeHeight="251659264" behindDoc="1" locked="0" layoutInCell="1" allowOverlap="1" wp14:anchorId="085573A7" wp14:editId="1DDAD9DD">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4323C" w14:textId="1370FD1C" w:rsidR="00854FF2" w:rsidRDefault="00854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2B304F9E"/>
    <w:lvl w:ilvl="0" w:tplc="D4160DAA">
      <w:start w:val="1"/>
      <w:numFmt w:val="decimal"/>
      <w:lvlText w:val="%1."/>
      <w:lvlJc w:val="left"/>
      <w:pPr>
        <w:tabs>
          <w:tab w:val="num" w:pos="862"/>
        </w:tabs>
        <w:ind w:left="862" w:hanging="720"/>
      </w:pPr>
      <w:rPr>
        <w:b/>
        <w:sz w:val="20"/>
        <w:szCs w:val="20"/>
      </w:rPr>
    </w:lvl>
    <w:lvl w:ilvl="1" w:tplc="12440B00">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lvl>
    <w:lvl w:ilvl="1" w:tplc="04090019">
      <w:start w:val="1"/>
      <w:numFmt w:val="lowerLetter"/>
      <w:lvlText w:val="%2."/>
      <w:lvlJc w:val="left"/>
      <w:pPr>
        <w:ind w:left="1416" w:hanging="360"/>
      </w:pPr>
    </w:lvl>
    <w:lvl w:ilvl="2" w:tplc="0409001B">
      <w:start w:val="1"/>
      <w:numFmt w:val="lowerRoman"/>
      <w:lvlText w:val="%3."/>
      <w:lvlJc w:val="right"/>
      <w:pPr>
        <w:ind w:left="2136" w:hanging="180"/>
      </w:pPr>
    </w:lvl>
    <w:lvl w:ilvl="3" w:tplc="0409000F">
      <w:start w:val="1"/>
      <w:numFmt w:val="decimal"/>
      <w:lvlText w:val="%4."/>
      <w:lvlJc w:val="left"/>
      <w:pPr>
        <w:ind w:left="2856" w:hanging="360"/>
      </w:pPr>
    </w:lvl>
    <w:lvl w:ilvl="4" w:tplc="04090019">
      <w:start w:val="1"/>
      <w:numFmt w:val="lowerLetter"/>
      <w:lvlText w:val="%5."/>
      <w:lvlJc w:val="left"/>
      <w:pPr>
        <w:ind w:left="3576" w:hanging="360"/>
      </w:pPr>
    </w:lvl>
    <w:lvl w:ilvl="5" w:tplc="0409001B">
      <w:start w:val="1"/>
      <w:numFmt w:val="lowerRoman"/>
      <w:lvlText w:val="%6."/>
      <w:lvlJc w:val="right"/>
      <w:pPr>
        <w:ind w:left="4296" w:hanging="180"/>
      </w:pPr>
    </w:lvl>
    <w:lvl w:ilvl="6" w:tplc="0409000F">
      <w:start w:val="1"/>
      <w:numFmt w:val="decimal"/>
      <w:lvlText w:val="%7."/>
      <w:lvlJc w:val="left"/>
      <w:pPr>
        <w:ind w:left="5016" w:hanging="360"/>
      </w:pPr>
    </w:lvl>
    <w:lvl w:ilvl="7" w:tplc="04090019">
      <w:start w:val="1"/>
      <w:numFmt w:val="lowerLetter"/>
      <w:lvlText w:val="%8."/>
      <w:lvlJc w:val="left"/>
      <w:pPr>
        <w:ind w:left="5736" w:hanging="360"/>
      </w:pPr>
    </w:lvl>
    <w:lvl w:ilvl="8" w:tplc="0409001B">
      <w:start w:val="1"/>
      <w:numFmt w:val="lowerRoman"/>
      <w:lvlText w:val="%9."/>
      <w:lvlJc w:val="right"/>
      <w:pPr>
        <w:ind w:left="6456" w:hanging="180"/>
      </w:pPr>
    </w:lvl>
  </w:abstractNum>
  <w:abstractNum w:abstractNumId="6">
    <w:nsid w:val="36D95EB0"/>
    <w:multiLevelType w:val="multilevel"/>
    <w:tmpl w:val="3EDA8232"/>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80A5ED7"/>
    <w:multiLevelType w:val="hybridMultilevel"/>
    <w:tmpl w:val="51DE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2"/>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0D4F4C"/>
    <w:rsid w:val="00135E00"/>
    <w:rsid w:val="00141B41"/>
    <w:rsid w:val="00263453"/>
    <w:rsid w:val="00296E48"/>
    <w:rsid w:val="00317B0B"/>
    <w:rsid w:val="00376C7D"/>
    <w:rsid w:val="003F0A80"/>
    <w:rsid w:val="00451B12"/>
    <w:rsid w:val="00473AAF"/>
    <w:rsid w:val="004C10AD"/>
    <w:rsid w:val="00604D64"/>
    <w:rsid w:val="00621F7A"/>
    <w:rsid w:val="006430C8"/>
    <w:rsid w:val="006D27DC"/>
    <w:rsid w:val="007045D3"/>
    <w:rsid w:val="00720288"/>
    <w:rsid w:val="00721DA9"/>
    <w:rsid w:val="007C6325"/>
    <w:rsid w:val="007D04E0"/>
    <w:rsid w:val="008166CB"/>
    <w:rsid w:val="0083342C"/>
    <w:rsid w:val="00854FF2"/>
    <w:rsid w:val="00875F62"/>
    <w:rsid w:val="00881296"/>
    <w:rsid w:val="008B1DE2"/>
    <w:rsid w:val="008C7F2E"/>
    <w:rsid w:val="00915D8A"/>
    <w:rsid w:val="0093122E"/>
    <w:rsid w:val="009903ED"/>
    <w:rsid w:val="009D5048"/>
    <w:rsid w:val="009E417D"/>
    <w:rsid w:val="00A53910"/>
    <w:rsid w:val="00A55AFD"/>
    <w:rsid w:val="00A92434"/>
    <w:rsid w:val="00AB6B50"/>
    <w:rsid w:val="00AD5FB5"/>
    <w:rsid w:val="00B52352"/>
    <w:rsid w:val="00B65FB9"/>
    <w:rsid w:val="00B662FB"/>
    <w:rsid w:val="00BF0AAA"/>
    <w:rsid w:val="00C10170"/>
    <w:rsid w:val="00C23A95"/>
    <w:rsid w:val="00C30A4F"/>
    <w:rsid w:val="00CF31B7"/>
    <w:rsid w:val="00E92CB1"/>
    <w:rsid w:val="00EB665A"/>
    <w:rsid w:val="00ED65D1"/>
    <w:rsid w:val="00F311BF"/>
    <w:rsid w:val="00F53D44"/>
    <w:rsid w:val="00F57D07"/>
    <w:rsid w:val="00F96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854FF2"/>
    <w:rPr>
      <w:lang w:val="da-DK" w:eastAsia="da-DK" w:bidi="da-DK"/>
    </w:rPr>
  </w:style>
  <w:style w:type="character" w:customStyle="1" w:styleId="CommentTextChar">
    <w:name w:val="Comment Text Char"/>
    <w:basedOn w:val="DefaultParagraphFont"/>
    <w:link w:val="CommentText"/>
    <w:uiPriority w:val="99"/>
    <w:rsid w:val="00854FF2"/>
    <w:rPr>
      <w:lang w:val="da-DK" w:eastAsia="da-DK" w:bidi="da-DK"/>
    </w:rPr>
  </w:style>
  <w:style w:type="character" w:styleId="CommentReference">
    <w:name w:val="annotation reference"/>
    <w:basedOn w:val="DefaultParagraphFont"/>
    <w:uiPriority w:val="99"/>
    <w:semiHidden/>
    <w:rsid w:val="00E92CB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854FF2"/>
    <w:rPr>
      <w:lang w:val="da-DK" w:eastAsia="da-DK" w:bidi="da-DK"/>
    </w:rPr>
  </w:style>
  <w:style w:type="character" w:customStyle="1" w:styleId="CommentTextChar">
    <w:name w:val="Comment Text Char"/>
    <w:basedOn w:val="DefaultParagraphFont"/>
    <w:link w:val="CommentText"/>
    <w:uiPriority w:val="99"/>
    <w:rsid w:val="00854FF2"/>
    <w:rPr>
      <w:lang w:val="da-DK" w:eastAsia="da-DK" w:bidi="da-DK"/>
    </w:rPr>
  </w:style>
  <w:style w:type="character" w:styleId="CommentReference">
    <w:name w:val="annotation reference"/>
    <w:basedOn w:val="DefaultParagraphFont"/>
    <w:uiPriority w:val="99"/>
    <w:semiHidden/>
    <w:rsid w:val="00E92C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6070">
      <w:bodyDiv w:val="1"/>
      <w:marLeft w:val="0"/>
      <w:marRight w:val="0"/>
      <w:marTop w:val="0"/>
      <w:marBottom w:val="0"/>
      <w:divBdr>
        <w:top w:val="none" w:sz="0" w:space="0" w:color="auto"/>
        <w:left w:val="none" w:sz="0" w:space="0" w:color="auto"/>
        <w:bottom w:val="none" w:sz="0" w:space="0" w:color="auto"/>
        <w:right w:val="none" w:sz="0" w:space="0" w:color="auto"/>
      </w:divBdr>
    </w:div>
    <w:div w:id="293296028">
      <w:bodyDiv w:val="1"/>
      <w:marLeft w:val="0"/>
      <w:marRight w:val="0"/>
      <w:marTop w:val="0"/>
      <w:marBottom w:val="0"/>
      <w:divBdr>
        <w:top w:val="none" w:sz="0" w:space="0" w:color="auto"/>
        <w:left w:val="none" w:sz="0" w:space="0" w:color="auto"/>
        <w:bottom w:val="none" w:sz="0" w:space="0" w:color="auto"/>
        <w:right w:val="none" w:sz="0" w:space="0" w:color="auto"/>
      </w:divBdr>
    </w:div>
    <w:div w:id="821850678">
      <w:bodyDiv w:val="1"/>
      <w:marLeft w:val="0"/>
      <w:marRight w:val="0"/>
      <w:marTop w:val="0"/>
      <w:marBottom w:val="0"/>
      <w:divBdr>
        <w:top w:val="none" w:sz="0" w:space="0" w:color="auto"/>
        <w:left w:val="none" w:sz="0" w:space="0" w:color="auto"/>
        <w:bottom w:val="none" w:sz="0" w:space="0" w:color="auto"/>
        <w:right w:val="none" w:sz="0" w:space="0" w:color="auto"/>
      </w:divBdr>
    </w:div>
    <w:div w:id="861551620">
      <w:bodyDiv w:val="1"/>
      <w:marLeft w:val="0"/>
      <w:marRight w:val="0"/>
      <w:marTop w:val="0"/>
      <w:marBottom w:val="0"/>
      <w:divBdr>
        <w:top w:val="none" w:sz="0" w:space="0" w:color="auto"/>
        <w:left w:val="none" w:sz="0" w:space="0" w:color="auto"/>
        <w:bottom w:val="none" w:sz="0" w:space="0" w:color="auto"/>
        <w:right w:val="none" w:sz="0" w:space="0" w:color="auto"/>
      </w:divBdr>
    </w:div>
    <w:div w:id="920288468">
      <w:bodyDiv w:val="1"/>
      <w:marLeft w:val="0"/>
      <w:marRight w:val="0"/>
      <w:marTop w:val="0"/>
      <w:marBottom w:val="0"/>
      <w:divBdr>
        <w:top w:val="none" w:sz="0" w:space="0" w:color="auto"/>
        <w:left w:val="none" w:sz="0" w:space="0" w:color="auto"/>
        <w:bottom w:val="none" w:sz="0" w:space="0" w:color="auto"/>
        <w:right w:val="none" w:sz="0" w:space="0" w:color="auto"/>
      </w:divBdr>
    </w:div>
    <w:div w:id="1497257450">
      <w:bodyDiv w:val="1"/>
      <w:marLeft w:val="0"/>
      <w:marRight w:val="0"/>
      <w:marTop w:val="0"/>
      <w:marBottom w:val="0"/>
      <w:divBdr>
        <w:top w:val="none" w:sz="0" w:space="0" w:color="auto"/>
        <w:left w:val="none" w:sz="0" w:space="0" w:color="auto"/>
        <w:bottom w:val="none" w:sz="0" w:space="0" w:color="auto"/>
        <w:right w:val="none" w:sz="0" w:space="0" w:color="auto"/>
      </w:divBdr>
    </w:div>
    <w:div w:id="1583877337">
      <w:bodyDiv w:val="1"/>
      <w:marLeft w:val="0"/>
      <w:marRight w:val="0"/>
      <w:marTop w:val="0"/>
      <w:marBottom w:val="0"/>
      <w:divBdr>
        <w:top w:val="none" w:sz="0" w:space="0" w:color="auto"/>
        <w:left w:val="none" w:sz="0" w:space="0" w:color="auto"/>
        <w:bottom w:val="none" w:sz="0" w:space="0" w:color="auto"/>
        <w:right w:val="none" w:sz="0" w:space="0" w:color="auto"/>
      </w:divBdr>
    </w:div>
    <w:div w:id="1687096347">
      <w:bodyDiv w:val="1"/>
      <w:marLeft w:val="0"/>
      <w:marRight w:val="0"/>
      <w:marTop w:val="0"/>
      <w:marBottom w:val="0"/>
      <w:divBdr>
        <w:top w:val="none" w:sz="0" w:space="0" w:color="auto"/>
        <w:left w:val="none" w:sz="0" w:space="0" w:color="auto"/>
        <w:bottom w:val="none" w:sz="0" w:space="0" w:color="auto"/>
        <w:right w:val="none" w:sz="0" w:space="0" w:color="auto"/>
      </w:divBdr>
    </w:div>
    <w:div w:id="1703552668">
      <w:bodyDiv w:val="1"/>
      <w:marLeft w:val="0"/>
      <w:marRight w:val="0"/>
      <w:marTop w:val="0"/>
      <w:marBottom w:val="0"/>
      <w:divBdr>
        <w:top w:val="none" w:sz="0" w:space="0" w:color="auto"/>
        <w:left w:val="none" w:sz="0" w:space="0" w:color="auto"/>
        <w:bottom w:val="none" w:sz="0" w:space="0" w:color="auto"/>
        <w:right w:val="none" w:sz="0" w:space="0" w:color="auto"/>
      </w:divBdr>
    </w:div>
    <w:div w:id="1805928533">
      <w:bodyDiv w:val="1"/>
      <w:marLeft w:val="0"/>
      <w:marRight w:val="0"/>
      <w:marTop w:val="0"/>
      <w:marBottom w:val="0"/>
      <w:divBdr>
        <w:top w:val="none" w:sz="0" w:space="0" w:color="auto"/>
        <w:left w:val="none" w:sz="0" w:space="0" w:color="auto"/>
        <w:bottom w:val="none" w:sz="0" w:space="0" w:color="auto"/>
        <w:right w:val="none" w:sz="0" w:space="0" w:color="auto"/>
      </w:divBdr>
    </w:div>
    <w:div w:id="1955745465">
      <w:bodyDiv w:val="1"/>
      <w:marLeft w:val="0"/>
      <w:marRight w:val="0"/>
      <w:marTop w:val="0"/>
      <w:marBottom w:val="0"/>
      <w:divBdr>
        <w:top w:val="none" w:sz="0" w:space="0" w:color="auto"/>
        <w:left w:val="none" w:sz="0" w:space="0" w:color="auto"/>
        <w:bottom w:val="none" w:sz="0" w:space="0" w:color="auto"/>
        <w:right w:val="none" w:sz="0" w:space="0" w:color="auto"/>
      </w:divBdr>
    </w:div>
    <w:div w:id="2023239169">
      <w:bodyDiv w:val="1"/>
      <w:marLeft w:val="0"/>
      <w:marRight w:val="0"/>
      <w:marTop w:val="0"/>
      <w:marBottom w:val="0"/>
      <w:divBdr>
        <w:top w:val="none" w:sz="0" w:space="0" w:color="auto"/>
        <w:left w:val="none" w:sz="0" w:space="0" w:color="auto"/>
        <w:bottom w:val="none" w:sz="0" w:space="0" w:color="auto"/>
        <w:right w:val="none" w:sz="0" w:space="0" w:color="auto"/>
      </w:divBdr>
    </w:div>
    <w:div w:id="2084912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4C7C32BB-3622-458E-8936-930035AF4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DC0B7E-70E4-45E3-A9AB-28B81A9C7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17290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8</cp:revision>
  <cp:lastPrinted>2000-04-05T18:26:00Z</cp:lastPrinted>
  <dcterms:created xsi:type="dcterms:W3CDTF">2014-10-12T10:00:00Z</dcterms:created>
  <dcterms:modified xsi:type="dcterms:W3CDTF">2014-10-16T13:10:00Z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