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1249"/>
        <w:gridCol w:w="2977"/>
      </w:tblGrid>
      <w:tr w:rsidR="00A437D7" w:rsidRPr="008863DE" w14:paraId="0163D5B1" w14:textId="77777777" w:rsidTr="00644AA7">
        <w:trPr>
          <w:trHeight w:val="1843"/>
        </w:trPr>
        <w:tc>
          <w:tcPr>
            <w:tcW w:w="5947" w:type="dxa"/>
          </w:tcPr>
          <w:p w14:paraId="41F0BE46" w14:textId="77777777" w:rsidR="00E9543B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E9543B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4BC04CEF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68291928" w:rsidR="00A437D7" w:rsidRPr="008863DE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Cs w:val="22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</w:tc>
        <w:tc>
          <w:tcPr>
            <w:tcW w:w="1249" w:type="dxa"/>
          </w:tcPr>
          <w:p w14:paraId="4FEAA930" w14:textId="77777777" w:rsidR="00A437D7" w:rsidRPr="008863D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7869796A" w14:textId="77777777" w:rsidR="00A437D7" w:rsidRPr="008863D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8863DE" w14:paraId="1F259968" w14:textId="77777777" w:rsidTr="00644AA7">
        <w:trPr>
          <w:trHeight w:val="263"/>
        </w:trPr>
        <w:tc>
          <w:tcPr>
            <w:tcW w:w="5947" w:type="dxa"/>
          </w:tcPr>
          <w:p w14:paraId="6E099647" w14:textId="77777777" w:rsidR="00A437D7" w:rsidRPr="008863D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249" w:type="dxa"/>
          </w:tcPr>
          <w:p w14:paraId="00D71DBB" w14:textId="77777777" w:rsidR="00A437D7" w:rsidRPr="008863D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579C3838" w14:textId="77777777" w:rsidR="00A437D7" w:rsidRPr="008863DE" w:rsidRDefault="00A437D7" w:rsidP="00784566">
            <w:pPr>
              <w:rPr>
                <w:rFonts w:ascii="Arial" w:hAnsi="Arial" w:cs="Arial"/>
                <w:szCs w:val="22"/>
              </w:rPr>
            </w:pPr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8863DE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8863DE" w:rsidRDefault="00A437D7" w:rsidP="00BF1014">
      <w:pPr>
        <w:jc w:val="center"/>
        <w:rPr>
          <w:rFonts w:ascii="Arial" w:hAnsi="Arial" w:cs="Arial"/>
          <w:sz w:val="18"/>
        </w:rPr>
      </w:pPr>
    </w:p>
    <w:p w14:paraId="6E6AE45C" w14:textId="77777777" w:rsidR="00DD6B36" w:rsidRPr="008863DE" w:rsidRDefault="00DD6B36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492731BD" w14:textId="77777777" w:rsidR="00644AA7" w:rsidRDefault="00644AA7" w:rsidP="008F175E">
      <w:pPr>
        <w:tabs>
          <w:tab w:val="left" w:pos="720"/>
        </w:tabs>
        <w:spacing w:before="120" w:after="120"/>
        <w:jc w:val="center"/>
        <w:rPr>
          <w:rFonts w:ascii="Arial" w:hAnsi="Arial" w:cs="Arial"/>
          <w:b/>
          <w:caps/>
          <w:color w:val="000000" w:themeColor="text1"/>
          <w:sz w:val="22"/>
          <w:szCs w:val="22"/>
          <w:lang w:val="it-IT"/>
        </w:rPr>
      </w:pPr>
      <w:r w:rsidRPr="005D7810">
        <w:rPr>
          <w:rFonts w:ascii="Arial" w:hAnsi="Arial" w:cs="Arial"/>
          <w:b/>
          <w:caps/>
          <w:color w:val="000000" w:themeColor="text1"/>
          <w:sz w:val="22"/>
          <w:szCs w:val="22"/>
          <w:lang w:val="it-IT"/>
        </w:rPr>
        <w:t>Informativa e Consenso ex Art. 13 D. Lgs. 196/2003</w:t>
      </w:r>
    </w:p>
    <w:p w14:paraId="578C200F" w14:textId="35B6CC2C" w:rsidR="008F175E" w:rsidRPr="008F175E" w:rsidRDefault="008F175E" w:rsidP="008F175E">
      <w:pPr>
        <w:tabs>
          <w:tab w:val="left" w:pos="720"/>
        </w:tabs>
        <w:spacing w:before="120" w:after="120"/>
        <w:jc w:val="center"/>
        <w:rPr>
          <w:rFonts w:ascii="Arial" w:eastAsia="Calibri" w:hAnsi="Arial" w:cs="Arial"/>
          <w:caps/>
          <w:sz w:val="22"/>
          <w:szCs w:val="22"/>
          <w:lang w:val="it-IT" w:eastAsia="it-IT" w:bidi="it-IT"/>
        </w:rPr>
      </w:pPr>
      <w:r w:rsidRPr="008F175E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val="it-IT"/>
        </w:rPr>
        <w:t>(Consenso alla pubblicazione dei trasferimenti di valore)</w:t>
      </w:r>
    </w:p>
    <w:p w14:paraId="2B8C09C7" w14:textId="77777777" w:rsidR="008F175E" w:rsidRPr="006F4208" w:rsidRDefault="008F175E" w:rsidP="00644AA7">
      <w:pPr>
        <w:tabs>
          <w:tab w:val="left" w:pos="720"/>
        </w:tabs>
        <w:jc w:val="both"/>
        <w:rPr>
          <w:rFonts w:ascii="Arial" w:hAnsi="Arial"/>
          <w:sz w:val="22"/>
          <w:lang w:val="it-IT"/>
        </w:rPr>
      </w:pPr>
    </w:p>
    <w:p w14:paraId="7FABF85F" w14:textId="0451F491" w:rsidR="00644AA7" w:rsidRDefault="005D7810" w:rsidP="00644AA7">
      <w:pPr>
        <w:tabs>
          <w:tab w:val="left" w:pos="720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lang w:val="en-US"/>
        </w:rPr>
        <w:t>Gentile</w:t>
      </w:r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644AA7" w:rsidRPr="00E9543B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0364571E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3B6EBE17" w14:textId="77777777" w:rsidR="00644AA7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Desideriamo informarLa che il D. lgs. N. 196 del 30 Giugno 2003 (“Codice in materia di protezione dei dati personali”) prevede la tutela delle persone e di altri soggetti rispetto al trattamento dei dati personali.</w:t>
      </w:r>
    </w:p>
    <w:p w14:paraId="227F47EE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07F74B8F" w14:textId="77777777" w:rsidR="00644AA7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Secondo la normativa indicata, tale trattamento sarà improntato ai principi di correttezza, liceità e trasparenza e di tutela della Sua riservatezza e dei Suoi diritti.</w:t>
      </w:r>
    </w:p>
    <w:p w14:paraId="351A551D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4E3FFACC" w14:textId="77777777" w:rsidR="00644AA7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 xml:space="preserve">Ai sensi dell’ Articolo 13 del D. lgs. 196/2003, pertanto, Le forniamo le seguenti informazioni: </w:t>
      </w:r>
    </w:p>
    <w:p w14:paraId="078545F8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1ED9F71D" w14:textId="77777777" w:rsidR="00644AA7" w:rsidRPr="00E9543B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color w:val="808080" w:themeColor="background1" w:themeShade="80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I dati da Lei forniti verranno trattati per le seguenti finalità:</w:t>
      </w:r>
    </w:p>
    <w:p w14:paraId="2AE9D9F8" w14:textId="2D08D7F3" w:rsidR="00644AA7" w:rsidRPr="00E9543B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pubblicazione, ai sensi del punto 5.5. del Codice Deontologico di Farmindustria che dispone</w:t>
      </w:r>
      <w:r w:rsidR="004324F9">
        <w:rPr>
          <w:rFonts w:ascii="Arial" w:hAnsi="Arial" w:cs="Arial"/>
          <w:sz w:val="22"/>
          <w:szCs w:val="22"/>
          <w:lang w:val="it-IT"/>
        </w:rPr>
        <w:t xml:space="preserve"> che ogni azienda farmaceutica </w:t>
      </w:r>
      <w:r w:rsidRPr="00E9543B">
        <w:rPr>
          <w:rFonts w:ascii="Arial" w:hAnsi="Arial" w:cs="Arial"/>
          <w:sz w:val="22"/>
          <w:szCs w:val="22"/>
          <w:lang w:val="it-IT"/>
        </w:rPr>
        <w:t>dovrà rendere pubblico, su base individuale per ciascun destinatario, l’ammontare dei trasferimenti di valore effettuati nel corso dell’anno precedente con riferimento a:</w:t>
      </w:r>
    </w:p>
    <w:p w14:paraId="685BCF0A" w14:textId="77777777" w:rsidR="00644AA7" w:rsidRPr="00E9543B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2522AB92" w14:textId="77777777" w:rsidR="00644AA7" w:rsidRPr="00E9543B" w:rsidRDefault="00644AA7" w:rsidP="00644AA7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Arial" w:hAnsi="Arial" w:cs="Arial"/>
          <w:iCs/>
          <w:color w:val="808080" w:themeColor="background1" w:themeShade="80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spese </w:t>
      </w:r>
      <w:r w:rsidRPr="00E9543B">
        <w:rPr>
          <w:rFonts w:ascii="Arial" w:hAnsi="Arial" w:cs="Arial"/>
          <w:sz w:val="22"/>
          <w:szCs w:val="22"/>
          <w:lang w:val="it-IT"/>
        </w:rPr>
        <w:t>di partecipazione a convegni e congressi con riguardo a quota di iscrizione, viaggio ed ospitalità (esclusi pasti e bevande);</w:t>
      </w:r>
    </w:p>
    <w:p w14:paraId="3E1CB9F6" w14:textId="77777777" w:rsidR="00644AA7" w:rsidRPr="004324F9" w:rsidRDefault="00644AA7" w:rsidP="00644AA7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E9543B">
        <w:rPr>
          <w:rFonts w:ascii="Arial" w:hAnsi="Arial" w:cs="Arial"/>
          <w:iCs/>
          <w:sz w:val="22"/>
          <w:szCs w:val="22"/>
          <w:lang w:val="it-IT"/>
        </w:rPr>
        <w:t>spese per attività di consulenza e prestazioni professionali non rientranti  nelle attività di cui alla precedente lettera a), risultanti da uno specifico contratto tra l’azienda ed il singolo Oper</w:t>
      </w:r>
      <w:r w:rsidRPr="004324F9">
        <w:rPr>
          <w:rFonts w:ascii="Arial" w:hAnsi="Arial" w:cs="Arial"/>
          <w:iCs/>
          <w:sz w:val="22"/>
          <w:szCs w:val="22"/>
          <w:lang w:val="it-IT"/>
        </w:rPr>
        <w:t>atore da cui risulti la tipologia del servizio prestato.</w:t>
      </w:r>
    </w:p>
    <w:p w14:paraId="6F16D580" w14:textId="77777777" w:rsidR="00644AA7" w:rsidRPr="004324F9" w:rsidRDefault="00644AA7" w:rsidP="00644AA7">
      <w:pPr>
        <w:pStyle w:val="ListParagraph"/>
        <w:tabs>
          <w:tab w:val="left" w:pos="720"/>
        </w:tabs>
        <w:ind w:left="1080"/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5A09861C" w14:textId="1F0FA81E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ind w:right="22"/>
        <w:jc w:val="both"/>
        <w:rPr>
          <w:rFonts w:ascii="Arial" w:hAnsi="Arial" w:cs="Arial"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I dati verranno pubblicati sul sito aziendale </w:t>
      </w:r>
      <w:hyperlink r:id="rId13" w:history="1">
        <w:r w:rsidRPr="005D7810">
          <w:rPr>
            <w:rStyle w:val="Hyperlink"/>
            <w:rFonts w:ascii="Arial" w:hAnsi="Arial" w:cs="Arial"/>
            <w:iCs/>
            <w:color w:val="auto"/>
            <w:sz w:val="22"/>
            <w:szCs w:val="22"/>
            <w:u w:val="none"/>
            <w:lang w:val="it-IT"/>
          </w:rPr>
          <w:t>www.Lilly.it</w:t>
        </w:r>
      </w:hyperlink>
      <w:r w:rsidRPr="005D7810">
        <w:rPr>
          <w:rFonts w:ascii="Arial" w:hAnsi="Arial" w:cs="Arial"/>
          <w:iCs/>
          <w:sz w:val="22"/>
          <w:szCs w:val="22"/>
          <w:lang w:val="it-IT"/>
        </w:rPr>
        <w:t xml:space="preserve"> </w:t>
      </w:r>
      <w:r w:rsidRPr="004324F9">
        <w:rPr>
          <w:rFonts w:ascii="Arial" w:hAnsi="Arial" w:cs="Arial"/>
          <w:iCs/>
          <w:sz w:val="22"/>
          <w:szCs w:val="22"/>
          <w:lang w:val="it-IT"/>
        </w:rPr>
        <w:t>con le modalità previste dalla Deliberazione dell’Aut</w:t>
      </w:r>
      <w:r w:rsidR="0083192D" w:rsidRPr="004324F9">
        <w:rPr>
          <w:rFonts w:ascii="Arial" w:hAnsi="Arial" w:cs="Arial"/>
          <w:iCs/>
          <w:sz w:val="22"/>
          <w:szCs w:val="22"/>
          <w:lang w:val="it-IT"/>
        </w:rPr>
        <w:t>orità Garante per la protezione</w:t>
      </w: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 dei dati personali n. 88 del 2 Marzo 2011, in tema di non reperibilità dei dati mediante motori di ricerca esterni e l’adozione di misure idonee ad ostacolare operazioni di duplicazione massiva.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3A6ACEB1" w14:textId="77777777" w:rsidR="00644AA7" w:rsidRPr="004324F9" w:rsidRDefault="00644AA7" w:rsidP="00644AA7">
      <w:pPr>
        <w:tabs>
          <w:tab w:val="left" w:pos="720"/>
        </w:tabs>
        <w:ind w:right="22"/>
        <w:jc w:val="both"/>
        <w:rPr>
          <w:rFonts w:ascii="Arial" w:hAnsi="Arial" w:cs="Arial"/>
          <w:sz w:val="22"/>
          <w:szCs w:val="22"/>
          <w:lang w:val="it-IT"/>
        </w:rPr>
      </w:pPr>
    </w:p>
    <w:p w14:paraId="2E883312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ind w:right="22"/>
        <w:jc w:val="both"/>
        <w:rPr>
          <w:rFonts w:ascii="Arial" w:hAnsi="Arial" w:cs="Arial"/>
          <w:sz w:val="22"/>
          <w:szCs w:val="22"/>
          <w:lang w:val="it-IT"/>
        </w:rPr>
      </w:pPr>
      <w:r w:rsidRPr="004324F9">
        <w:rPr>
          <w:rFonts w:ascii="Arial" w:hAnsi="Arial" w:cs="Arial"/>
          <w:sz w:val="22"/>
          <w:szCs w:val="22"/>
          <w:lang w:val="it-IT"/>
        </w:rPr>
        <w:t>La pubblicazione viene eseguita su base annuale e ciascun periodo di rendicontazione coprirà un intero anno solare – partendo dai dati del 2015 pubblicati entro la metà del 2016. I dati rimarranno di pubblico dominio per un periodo di almeno 3 anni dal momento della pubblicazione.</w:t>
      </w:r>
    </w:p>
    <w:p w14:paraId="3A1BFA0E" w14:textId="77777777" w:rsidR="00644AA7" w:rsidRPr="004324F9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5E54AD9F" w14:textId="47D449A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Ci impegniamo a p</w:t>
      </w:r>
      <w:r w:rsidR="0083192D" w:rsidRPr="004324F9">
        <w:rPr>
          <w:rFonts w:ascii="Arial" w:hAnsi="Arial" w:cs="Arial"/>
          <w:iCs/>
          <w:sz w:val="22"/>
          <w:szCs w:val="22"/>
          <w:lang w:val="it-IT"/>
        </w:rPr>
        <w:t>roteggere i Suoi dati personali</w:t>
      </w: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 in conformità alle leggi vigenti in materia di protezione dei dati personali. Adempiremo agli obblighi sopra esposti solo dopo aver acquisito il Suo consenso.</w:t>
      </w:r>
    </w:p>
    <w:p w14:paraId="719591FD" w14:textId="77777777" w:rsidR="00644AA7" w:rsidRPr="004324F9" w:rsidRDefault="00644AA7" w:rsidP="00644AA7">
      <w:pPr>
        <w:pStyle w:val="ListParagraph"/>
        <w:rPr>
          <w:rFonts w:ascii="Arial" w:hAnsi="Arial" w:cs="Arial"/>
          <w:iCs/>
          <w:sz w:val="22"/>
          <w:szCs w:val="22"/>
          <w:lang w:val="it-IT"/>
        </w:rPr>
      </w:pPr>
    </w:p>
    <w:p w14:paraId="120E7FF6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Il conferimento dei dati è facoltativo.</w:t>
      </w:r>
    </w:p>
    <w:p w14:paraId="514FCD51" w14:textId="77777777" w:rsidR="00644AA7" w:rsidRPr="004324F9" w:rsidRDefault="00644AA7" w:rsidP="00644AA7">
      <w:pPr>
        <w:pStyle w:val="ListParagraph"/>
        <w:rPr>
          <w:rFonts w:ascii="Arial" w:hAnsi="Arial" w:cs="Arial"/>
          <w:iCs/>
          <w:sz w:val="22"/>
          <w:szCs w:val="22"/>
          <w:lang w:val="it-IT"/>
        </w:rPr>
      </w:pPr>
    </w:p>
    <w:p w14:paraId="7D848B2B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Sottoscrivendo questo modulo di consenso Lei autorizza Lilly a trattare i Suoi dati personali allo scopo di adempiere ai requisiti del Codice Deontologico di Farmindustria relativamente a tutti i dati inerenti le interazioni con  trasferimento di valore che Lilly puo’ avere con Lei adesso ed in futuro.</w:t>
      </w:r>
    </w:p>
    <w:p w14:paraId="60DBDC4B" w14:textId="77777777" w:rsidR="00644AA7" w:rsidRPr="004324F9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6D9F03D5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color w:val="808080" w:themeColor="background1" w:themeShade="80"/>
          <w:sz w:val="22"/>
          <w:szCs w:val="22"/>
          <w:lang w:val="it-IT"/>
        </w:rPr>
        <w:t xml:space="preserve"> </w:t>
      </w:r>
      <w:r w:rsidRPr="004324F9">
        <w:rPr>
          <w:rFonts w:ascii="Arial" w:hAnsi="Arial" w:cs="Arial"/>
          <w:iCs/>
          <w:sz w:val="22"/>
          <w:szCs w:val="22"/>
          <w:lang w:val="it-IT"/>
        </w:rPr>
        <w:t>Il consenso che Lei vorrà prestare per il trattamento dei dati si intende prestato a tempo indeterminato salvo il Suo diritto di revocarlo in qualsiasi momento in osservanza a quanto disposto dall’ Articolo 7 del Decreto Legislativo 196/ 2003 “Codice in materia di protezione dei dati personali” che per Sua comodità Le alleghiamo .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In tal caso, ove Lei non desideri piu’ dar luogo alla pubblicazione dei Suoi dati, questi non verranno più resi</w:t>
      </w:r>
      <w:r w:rsidRPr="004324F9">
        <w:rPr>
          <w:rFonts w:ascii="Arial" w:hAnsi="Arial" w:cs="Arial"/>
          <w:i/>
          <w:sz w:val="22"/>
          <w:szCs w:val="22"/>
          <w:lang w:val="it-IT"/>
        </w:rPr>
        <w:t xml:space="preserve"> </w:t>
      </w:r>
      <w:r w:rsidRPr="004324F9">
        <w:rPr>
          <w:rFonts w:ascii="Arial" w:hAnsi="Arial" w:cs="Arial"/>
          <w:sz w:val="22"/>
          <w:szCs w:val="22"/>
          <w:lang w:val="it-IT"/>
        </w:rPr>
        <w:t>disponibili in  futuro, a livello individuale.</w:t>
      </w:r>
    </w:p>
    <w:p w14:paraId="0862F360" w14:textId="77777777" w:rsidR="00644AA7" w:rsidRPr="004324F9" w:rsidRDefault="00644AA7" w:rsidP="00644AA7">
      <w:pPr>
        <w:pStyle w:val="ListParagraph"/>
        <w:rPr>
          <w:rFonts w:ascii="Arial" w:hAnsi="Arial" w:cs="Arial"/>
          <w:iCs/>
          <w:sz w:val="22"/>
          <w:szCs w:val="22"/>
          <w:lang w:val="it-IT"/>
        </w:rPr>
      </w:pPr>
    </w:p>
    <w:p w14:paraId="571F5A0E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Il titolare del trattamento dei dati è la società Eli Lilly Italia SpA, con sede in Via Gramsci 731 – 50019 Sesto Fiorentino (FI) nella persona del Legale Rappresentante pro-tempore.</w:t>
      </w:r>
    </w:p>
    <w:p w14:paraId="68CE9D0E" w14:textId="77777777" w:rsidR="00644AA7" w:rsidRPr="004324F9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596C1759" w14:textId="4AA10FA1" w:rsidR="00644AA7" w:rsidRPr="004324F9" w:rsidRDefault="00644AA7" w:rsidP="00644AA7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il Responsabile del trattamento dei dati in oggetto è il Dr. Massimo Verdilio per Lilly Oncologia, Dr. Vincenzo Navarra per Lilly Diabete e GH, Dr. Luca Martines per Lilly Andrologia e Salute mentale, Dr. Cristiana Caldarelli per Lilly Osteoporosi e Sindrome coronarica acuta,</w:t>
      </w:r>
      <w:r w:rsidR="00A17191">
        <w:rPr>
          <w:rFonts w:ascii="Arial" w:hAnsi="Arial" w:cs="Arial"/>
          <w:iCs/>
          <w:sz w:val="22"/>
          <w:szCs w:val="22"/>
          <w:lang w:val="it-IT"/>
        </w:rPr>
        <w:t xml:space="preserve"> Dr. Concetto Vasta per Corporate &amp; Public Affairs,</w:t>
      </w: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 in Via Gramsci 731 – 50019 Sesto Fiorentino.</w:t>
      </w:r>
    </w:p>
    <w:p w14:paraId="22C89570" w14:textId="77777777" w:rsidR="00644AA7" w:rsidRPr="004324F9" w:rsidRDefault="00644AA7" w:rsidP="00644AA7">
      <w:pPr>
        <w:pStyle w:val="ListParagraph"/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0419B6F1" w14:textId="1FE176C5" w:rsidR="00644AA7" w:rsidRPr="00E9543B" w:rsidRDefault="00644AA7" w:rsidP="00644AA7">
      <w:pPr>
        <w:jc w:val="both"/>
        <w:rPr>
          <w:rFonts w:ascii="Arial" w:hAnsi="Arial" w:cs="Arial"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In ogni momento potrà esercitare i Suoi diritti nei confronti del Titolare del trattamento ai sensi dell’articolo 7 del D. Lgs. 196/2003. In tal caso La invitiamo a contattare 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il Customer Meeting Services Team, incaricato al trattamento dei dati personali, al numero </w:t>
      </w:r>
      <w:r w:rsidRPr="004324F9">
        <w:rPr>
          <w:rFonts w:ascii="Arial" w:hAnsi="Arial" w:cs="Arial"/>
          <w:b/>
          <w:sz w:val="22"/>
          <w:szCs w:val="22"/>
          <w:lang w:val="it-IT"/>
        </w:rPr>
        <w:t>02 9129 489</w:t>
      </w:r>
      <w:r w:rsidR="00A17191">
        <w:rPr>
          <w:rFonts w:ascii="Arial" w:hAnsi="Arial" w:cs="Arial"/>
          <w:b/>
          <w:sz w:val="22"/>
          <w:szCs w:val="22"/>
          <w:lang w:val="it-IT"/>
        </w:rPr>
        <w:t>8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oppure all’indirizzo: </w:t>
      </w:r>
      <w:hyperlink r:id="rId14" w:history="1">
        <w:r w:rsidRPr="00A1719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it-IT"/>
          </w:rPr>
          <w:t>Lilly_Italia_CMS@lilly.com</w:t>
        </w:r>
      </w:hyperlink>
      <w:r w:rsidRPr="00F3384D">
        <w:rPr>
          <w:rFonts w:ascii="Arial" w:hAnsi="Arial" w:cs="Arial"/>
          <w:sz w:val="22"/>
          <w:szCs w:val="22"/>
          <w:lang w:val="it-IT"/>
        </w:rPr>
        <w:t xml:space="preserve"> (all’interno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</w:t>
      </w:r>
      <w:r w:rsidRPr="00E9543B">
        <w:rPr>
          <w:rFonts w:ascii="Arial" w:hAnsi="Arial" w:cs="Arial"/>
          <w:sz w:val="22"/>
          <w:szCs w:val="22"/>
          <w:lang w:val="it-IT"/>
        </w:rPr>
        <w:t xml:space="preserve">dell’Unione Europea) </w:t>
      </w:r>
      <w:r w:rsidRPr="00E9543B">
        <w:rPr>
          <w:rFonts w:ascii="Arial" w:hAnsi="Arial" w:cs="Arial"/>
          <w:iCs/>
          <w:sz w:val="22"/>
          <w:szCs w:val="22"/>
          <w:lang w:val="it-IT"/>
        </w:rPr>
        <w:t>o a seguire direttamente le istruzioni riportate sul nostri sito relativo al</w:t>
      </w:r>
      <w:r>
        <w:rPr>
          <w:rFonts w:ascii="Arial" w:hAnsi="Arial" w:cs="Arial"/>
          <w:iCs/>
          <w:sz w:val="22"/>
          <w:szCs w:val="22"/>
          <w:lang w:val="it-IT"/>
        </w:rPr>
        <w:t>la trasparenza.</w:t>
      </w:r>
    </w:p>
    <w:p w14:paraId="698BF970" w14:textId="77777777" w:rsidR="00644AA7" w:rsidRPr="00E9543B" w:rsidRDefault="00644AA7" w:rsidP="00644AA7">
      <w:pPr>
        <w:tabs>
          <w:tab w:val="left" w:pos="720"/>
        </w:tabs>
        <w:spacing w:after="240" w:line="288" w:lineRule="auto"/>
        <w:ind w:right="22"/>
        <w:jc w:val="both"/>
        <w:rPr>
          <w:rFonts w:ascii="Arial" w:hAnsi="Arial" w:cs="Arial"/>
          <w:sz w:val="22"/>
          <w:szCs w:val="22"/>
          <w:lang w:val="it-IT"/>
        </w:rPr>
      </w:pPr>
    </w:p>
    <w:p w14:paraId="39ED3F3D" w14:textId="77777777" w:rsidR="00644AA7" w:rsidRPr="008462AF" w:rsidRDefault="00644AA7" w:rsidP="00644AA7">
      <w:pPr>
        <w:pStyle w:val="Default"/>
        <w:jc w:val="center"/>
        <w:rPr>
          <w:rFonts w:ascii="Arial" w:hAnsi="Arial" w:cs="Arial"/>
          <w:b/>
          <w:iCs/>
          <w:color w:val="auto"/>
          <w:sz w:val="22"/>
          <w:szCs w:val="22"/>
          <w:u w:val="single"/>
        </w:rPr>
      </w:pPr>
      <w:r w:rsidRPr="008462AF">
        <w:rPr>
          <w:rFonts w:ascii="Arial" w:hAnsi="Arial" w:cs="Arial"/>
          <w:b/>
          <w:iCs/>
          <w:color w:val="auto"/>
          <w:sz w:val="22"/>
          <w:szCs w:val="22"/>
          <w:u w:val="single"/>
        </w:rPr>
        <w:t>Consenso</w:t>
      </w:r>
    </w:p>
    <w:p w14:paraId="59DAEAEC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3E7334B4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Il/la sottoscritto/a, acquisite le informazioni fornite dal titolare del trattamento ai sensi dell'articolo 13 del D.Lgs. 196/2003, esprime il proprio consenso per il trattamento, la comunicazione e la diffusione dei dati personali per le finalità e con le modalità indicate nell’informativa medesima. </w:t>
      </w:r>
    </w:p>
    <w:p w14:paraId="64B9B67A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439A6566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1530D64B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56360D59" w14:textId="1CFB6BE5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Luogo 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.................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Data 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...................</w:t>
      </w:r>
    </w:p>
    <w:p w14:paraId="5F43392D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30F54D90" w14:textId="43E756D8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Nome .......................................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Cognome 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</w:p>
    <w:p w14:paraId="4DAD5B76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0E9AA905" w14:textId="7466F858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Firma leggibile .....................................................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........</w:t>
      </w:r>
    </w:p>
    <w:p w14:paraId="5E52CE8D" w14:textId="77777777" w:rsidR="00644AA7" w:rsidRDefault="00644AA7" w:rsidP="00644AA7">
      <w:pPr>
        <w:pStyle w:val="Default"/>
        <w:jc w:val="both"/>
        <w:rPr>
          <w:rFonts w:ascii="Arial" w:hAnsi="Arial" w:cs="Arial"/>
          <w:iCs/>
          <w:color w:val="808080" w:themeColor="background1" w:themeShade="80"/>
          <w:sz w:val="22"/>
          <w:szCs w:val="22"/>
        </w:rPr>
      </w:pPr>
    </w:p>
    <w:p w14:paraId="29CAD7BB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>
        <w:rPr>
          <w:rFonts w:ascii="Arial" w:hAnsi="Arial" w:cs="Arial"/>
          <w:iCs/>
          <w:color w:val="808080" w:themeColor="background1" w:themeShade="80"/>
          <w:sz w:val="22"/>
          <w:szCs w:val="22"/>
        </w:rPr>
        <w:t>***</w:t>
      </w:r>
    </w:p>
    <w:p w14:paraId="65C2F8F9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Il/la sottoscritto/a, acquisite le informazioni fornite dal titolare del trattamento ai sensi dell'articolo 13 del D.Lgs. 196/2003, </w:t>
      </w:r>
      <w:r w:rsidRPr="008462AF">
        <w:rPr>
          <w:rFonts w:ascii="Arial" w:hAnsi="Arial" w:cs="Arial"/>
          <w:b/>
          <w:iCs/>
          <w:color w:val="auto"/>
          <w:sz w:val="22"/>
          <w:szCs w:val="22"/>
        </w:rPr>
        <w:t>NON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esprime il proprio consenso per il trattamento, la comunicazione e la diffusione dei dati personali per le finalità e con le modalità indicate nell’informativa medesima. </w:t>
      </w:r>
    </w:p>
    <w:p w14:paraId="03D652B6" w14:textId="77777777" w:rsidR="00644AA7" w:rsidRPr="008462AF" w:rsidRDefault="00644AA7" w:rsidP="00644AA7">
      <w:pPr>
        <w:pStyle w:val="Default"/>
        <w:rPr>
          <w:rFonts w:ascii="Arial" w:hAnsi="Arial" w:cs="Arial"/>
          <w:iCs/>
          <w:color w:val="auto"/>
          <w:sz w:val="22"/>
          <w:szCs w:val="22"/>
        </w:rPr>
      </w:pPr>
    </w:p>
    <w:p w14:paraId="502FB2F5" w14:textId="77777777" w:rsidR="00644AA7" w:rsidRPr="008462AF" w:rsidRDefault="00644AA7" w:rsidP="00644AA7">
      <w:pPr>
        <w:pStyle w:val="Default"/>
        <w:rPr>
          <w:rFonts w:ascii="Arial" w:hAnsi="Arial" w:cs="Arial"/>
          <w:iCs/>
          <w:color w:val="auto"/>
          <w:sz w:val="22"/>
          <w:szCs w:val="22"/>
        </w:rPr>
      </w:pPr>
    </w:p>
    <w:p w14:paraId="50F14C9A" w14:textId="77777777" w:rsidR="00644AA7" w:rsidRPr="008462AF" w:rsidRDefault="00644AA7" w:rsidP="00644AA7">
      <w:pPr>
        <w:pStyle w:val="Default"/>
        <w:rPr>
          <w:rFonts w:ascii="Arial" w:hAnsi="Arial" w:cs="Arial"/>
          <w:iCs/>
          <w:color w:val="auto"/>
          <w:sz w:val="22"/>
          <w:szCs w:val="22"/>
        </w:rPr>
      </w:pPr>
    </w:p>
    <w:p w14:paraId="165C2654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Luogo 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Data 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..................................................</w:t>
      </w:r>
    </w:p>
    <w:p w14:paraId="68372B19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277D3BF8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Nome .......................................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Cognome 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</w:p>
    <w:p w14:paraId="0A72636D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615D0744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Firma leggibile .....................................................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.......................................</w:t>
      </w:r>
    </w:p>
    <w:p w14:paraId="379F2C05" w14:textId="77777777" w:rsidR="00644AA7" w:rsidRDefault="00644AA7" w:rsidP="00644AA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48EC9E29" w14:textId="77777777" w:rsidR="00F3384D" w:rsidRPr="00E9543B" w:rsidRDefault="00F3384D" w:rsidP="00644AA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0689FC5" w14:textId="77777777" w:rsidR="00644AA7" w:rsidRPr="00E9543B" w:rsidRDefault="00644AA7" w:rsidP="00644AA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8C62E3E" w14:textId="77777777" w:rsidR="00644AA7" w:rsidRPr="00E9543B" w:rsidRDefault="00644AA7" w:rsidP="00644AA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>Decreto Legislativo n.196/2003,</w:t>
      </w:r>
    </w:p>
    <w:p w14:paraId="65E8ED18" w14:textId="77777777" w:rsidR="00644AA7" w:rsidRPr="00E9543B" w:rsidRDefault="00644AA7" w:rsidP="00644AA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>Art. 7 - Diritto di accesso ai dati personali ed altri diritti</w:t>
      </w:r>
    </w:p>
    <w:p w14:paraId="33DC9334" w14:textId="77777777" w:rsidR="00644AA7" w:rsidRPr="00E9543B" w:rsidRDefault="00644AA7" w:rsidP="00644AA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3007F16E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3BC5E400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1. L'interessato ha diritto di ottenere la conferma dell'esistenza o meno di dati personali che lo riguardano, anche se non ancora registrati, e la loro comunicazione in forma intelligibile. </w:t>
      </w:r>
    </w:p>
    <w:p w14:paraId="31C8A214" w14:textId="77777777" w:rsidR="00644AA7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8FE9714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2. L'interessato ha diritto di ottenere l'indicazione: </w:t>
      </w:r>
    </w:p>
    <w:p w14:paraId="59F6D4D9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a) dell'origine dei dati personali; </w:t>
      </w:r>
    </w:p>
    <w:p w14:paraId="6D5068F6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b) delle finalità e modalità del trattamento; </w:t>
      </w:r>
    </w:p>
    <w:p w14:paraId="40D7A74B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c) della logica applicata in caso di trattamento effettuato con l'ausilio di strumenti elettronici; </w:t>
      </w:r>
    </w:p>
    <w:p w14:paraId="2C39C0E3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d) degli estremi identificativi del titolare, dei responsabili e del rappresentante designato ai sensi dell'articolo 5, comma 2; </w:t>
      </w:r>
    </w:p>
    <w:p w14:paraId="3EA999BC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e) dei soggetti o delle categorie di soggetti ai quali i dati personali possono essere comunicati o che possono venirne a conoscenza in qualità di rappresentante designato nel territorio dello Stato, di responsabili o incaricati. </w:t>
      </w:r>
    </w:p>
    <w:p w14:paraId="0B7B8FE6" w14:textId="77777777" w:rsidR="00644AA7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1E4C32CA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3. L'interessato ha diritto di ottenere: </w:t>
      </w:r>
    </w:p>
    <w:p w14:paraId="6C4526C1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a) l'aggiornamento, la rettificazione ovvero, quando vi ha interesse, l'integrazione dei dati; </w:t>
      </w:r>
    </w:p>
    <w:p w14:paraId="33EC9CDF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b) la cancellazione, la trasformazione in forma anonima o il blocco dei dati trattati in violazione di legge, compresi quelli di cui non è necessaria la conservazione in relazione agli scopi per i quali i dati sono stati raccolti o successivamente trattati; </w:t>
      </w:r>
    </w:p>
    <w:p w14:paraId="174ADA13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c) l'attestazione che le operazioni di cui alle lettere a) e b) sono state portate a conoscenza, anche per quanto riguarda il loro contenuto, di coloro ai quali i dati sono stati comunicati o diffusi, eccettuato il caso in cui tale adempimento si rivela impossibile o comporta un impiego di mezzi manifestamente sproporzionato rispetto al diritto tutelato. </w:t>
      </w:r>
    </w:p>
    <w:p w14:paraId="2D9CD42F" w14:textId="77777777" w:rsidR="00644AA7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484DB46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4. L'interessato ha diritto di opporsi, in tutto o in parte: </w:t>
      </w:r>
    </w:p>
    <w:p w14:paraId="27DD0238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a) per motivi legittimi al trattamento dei dati personali che lo riguardano, ancorché pertinenti allo scopo della raccolta; </w:t>
      </w:r>
    </w:p>
    <w:p w14:paraId="3BA01723" w14:textId="64AAE67F" w:rsidR="00BF1014" w:rsidRPr="00DD6B36" w:rsidRDefault="00644AA7" w:rsidP="00644AA7">
      <w:pPr>
        <w:tabs>
          <w:tab w:val="left" w:pos="720"/>
        </w:tabs>
        <w:spacing w:after="240" w:line="288" w:lineRule="auto"/>
        <w:ind w:right="22"/>
        <w:jc w:val="both"/>
        <w:rPr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>b) al trattamento di dati personali che lo riguardano a fini di invio di materiale pubblicitario o di vendita diretta o per il compimento di ricerche di mercato o di comunicazione commerciale.</w:t>
      </w:r>
    </w:p>
    <w:sectPr w:rsidR="00BF1014" w:rsidRPr="00DD6B36" w:rsidSect="008319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26237" w14:textId="77777777" w:rsidR="008430E9" w:rsidRDefault="008430E9">
      <w:r>
        <w:separator/>
      </w:r>
    </w:p>
  </w:endnote>
  <w:endnote w:type="continuationSeparator" w:id="0">
    <w:p w14:paraId="0885F328" w14:textId="77777777" w:rsidR="008430E9" w:rsidRDefault="0084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DC707" w14:textId="77777777" w:rsidR="005C7264" w:rsidRDefault="005C72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1FF63" w14:textId="77777777" w:rsidR="009B65CC" w:rsidRDefault="009B65CC" w:rsidP="009B65CC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Account_Name</w:t>
    </w:r>
    <w:proofErr w:type="spellEnd"/>
    <w:r>
      <w:rPr>
        <w:rFonts w:ascii="Arial" w:hAnsi="Arial" w:cs="Arial"/>
        <w:sz w:val="18"/>
        <w:szCs w:val="18"/>
      </w:rPr>
      <w:t>&gt;&gt; - &lt;&lt;</w:t>
    </w:r>
    <w:proofErr w:type="spellStart"/>
    <w:r>
      <w:rPr>
        <w:rFonts w:ascii="Arial" w:hAnsi="Arial" w:cs="Arial"/>
        <w:sz w:val="18"/>
        <w:szCs w:val="18"/>
      </w:rPr>
      <w:t>Meeting_Participant_MERC_Name</w:t>
    </w:r>
    <w:proofErr w:type="spellEnd"/>
    <w:r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  <w:p w14:paraId="650F20EF" w14:textId="77777777" w:rsidR="009B65CC" w:rsidRDefault="009B65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180"/>
    </w:tblGrid>
    <w:tr w:rsidR="005C7264" w14:paraId="29120E17" w14:textId="77777777" w:rsidTr="009822DF">
      <w:tc>
        <w:tcPr>
          <w:tcW w:w="6062" w:type="dxa"/>
        </w:tcPr>
        <w:p w14:paraId="7DAD5715" w14:textId="77777777" w:rsidR="005C7264" w:rsidRDefault="005C7264" w:rsidP="009822D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1494D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Account_Name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180" w:type="dxa"/>
        </w:tcPr>
        <w:sdt>
          <w:sdtPr>
            <w:id w:val="-100065765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DF2BD62" w14:textId="77777777" w:rsidR="005C7264" w:rsidRDefault="005C7264" w:rsidP="009822DF">
              <w:pPr>
                <w:pStyle w:val="Footer"/>
                <w:jc w:val="right"/>
                <w:rPr>
                  <w:noProof/>
                  <w:sz w:val="20"/>
                </w:rPr>
              </w:pPr>
              <w:r w:rsidRPr="004F2A1E">
                <w:rPr>
                  <w:rFonts w:ascii="Arial" w:hAnsi="Arial" w:cs="Arial"/>
                </w:rPr>
                <w:fldChar w:fldCharType="begin"/>
              </w:r>
              <w:r w:rsidRPr="004F2A1E">
                <w:rPr>
                  <w:rFonts w:ascii="Arial" w:hAnsi="Arial" w:cs="Arial"/>
                </w:rPr>
                <w:instrText xml:space="preserve"> PAGE   \* MERGEFORMAT </w:instrText>
              </w:r>
              <w:r w:rsidRPr="004F2A1E">
                <w:rPr>
                  <w:rFonts w:ascii="Arial" w:hAnsi="Arial" w:cs="Arial"/>
                </w:rPr>
                <w:fldChar w:fldCharType="separate"/>
              </w:r>
              <w:r>
                <w:rPr>
                  <w:rFonts w:ascii="Arial" w:hAnsi="Arial" w:cs="Arial"/>
                  <w:noProof/>
                </w:rPr>
                <w:t>1</w:t>
              </w:r>
              <w:r w:rsidRPr="004F2A1E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  <w:p w14:paraId="64584313" w14:textId="77777777" w:rsidR="005C7264" w:rsidRDefault="005C7264" w:rsidP="009822D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560B336A" w14:textId="18688B1B" w:rsidR="009B65CC" w:rsidRDefault="009B65CC" w:rsidP="009B65CC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bookmarkStart w:id="0" w:name="_GoBack"/>
    <w:bookmarkEnd w:id="0"/>
  </w:p>
  <w:p w14:paraId="3EED111F" w14:textId="718D5538" w:rsidR="0051494D" w:rsidRPr="0051494D" w:rsidRDefault="0051494D" w:rsidP="0051494D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</w:p>
  <w:p w14:paraId="0FE8DB34" w14:textId="77777777" w:rsidR="0051494D" w:rsidRDefault="00514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9C989" w14:textId="77777777" w:rsidR="008430E9" w:rsidRDefault="008430E9">
      <w:r>
        <w:separator/>
      </w:r>
    </w:p>
  </w:footnote>
  <w:footnote w:type="continuationSeparator" w:id="0">
    <w:p w14:paraId="192C3A07" w14:textId="77777777" w:rsidR="008430E9" w:rsidRDefault="0084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7FB1E" w14:textId="77777777" w:rsidR="005C7264" w:rsidRDefault="005C72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81B9E" w14:textId="77777777" w:rsidR="005C7264" w:rsidRDefault="005C72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28CF1ED7" w:rsidR="00B52F2B" w:rsidRDefault="00234660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5385CC7B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442F7F56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0F77439" w14:textId="58328802" w:rsidR="004F07B1" w:rsidRDefault="004F07B1" w:rsidP="00234660">
                          <w:pPr>
                            <w:tabs>
                              <w:tab w:val="left" w:pos="709"/>
                              <w:tab w:val="left" w:pos="1843"/>
                            </w:tabs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4E4656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00325AB2" w14:textId="77777777" w:rsidR="004F07B1" w:rsidRDefault="004F07B1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26CE03AE" w14:textId="77777777" w:rsidR="004F07B1" w:rsidRDefault="004F07B1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486FF9B6" w14:textId="77777777" w:rsidR="004F07B1" w:rsidRDefault="004F07B1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ACB98A2" w14:textId="7B824710" w:rsidR="004F07B1" w:rsidRDefault="00E3632B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C172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3FAB2657" w14:textId="77777777" w:rsidR="004F07B1" w:rsidRDefault="004F07B1" w:rsidP="004F07B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0F77439" w14:textId="58328802" w:rsidR="004F07B1" w:rsidRDefault="004F07B1" w:rsidP="00234660">
                    <w:pPr>
                      <w:tabs>
                        <w:tab w:val="left" w:pos="709"/>
                        <w:tab w:val="left" w:pos="1843"/>
                      </w:tabs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4E4656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00325AB2" w14:textId="77777777" w:rsidR="004F07B1" w:rsidRDefault="004F07B1" w:rsidP="004F07B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26CE03AE" w14:textId="77777777" w:rsidR="004F07B1" w:rsidRDefault="004F07B1" w:rsidP="004F07B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486FF9B6" w14:textId="77777777" w:rsidR="004F07B1" w:rsidRDefault="004F07B1" w:rsidP="004F07B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ACB98A2" w14:textId="7B824710" w:rsidR="004F07B1" w:rsidRDefault="00E3632B" w:rsidP="004F07B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C17299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3FAB2657" w14:textId="77777777" w:rsidR="004F07B1" w:rsidRDefault="004F07B1" w:rsidP="004F07B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5F0B"/>
    <w:multiLevelType w:val="hybridMultilevel"/>
    <w:tmpl w:val="ECE80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D2EF3"/>
    <w:multiLevelType w:val="hybridMultilevel"/>
    <w:tmpl w:val="FD1000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039F2"/>
    <w:multiLevelType w:val="hybridMultilevel"/>
    <w:tmpl w:val="B38EEBE0"/>
    <w:lvl w:ilvl="0" w:tplc="A8EA93B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483D4E"/>
    <w:multiLevelType w:val="hybridMultilevel"/>
    <w:tmpl w:val="65AE2D1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7047"/>
    <w:rsid w:val="00072970"/>
    <w:rsid w:val="00125B37"/>
    <w:rsid w:val="00131F7E"/>
    <w:rsid w:val="00135E00"/>
    <w:rsid w:val="00146A08"/>
    <w:rsid w:val="00147AB9"/>
    <w:rsid w:val="00193801"/>
    <w:rsid w:val="001A0E8E"/>
    <w:rsid w:val="001E26B9"/>
    <w:rsid w:val="00234660"/>
    <w:rsid w:val="00267B96"/>
    <w:rsid w:val="00296E48"/>
    <w:rsid w:val="002B5AFA"/>
    <w:rsid w:val="002E2D8D"/>
    <w:rsid w:val="002E59FA"/>
    <w:rsid w:val="003C7F4E"/>
    <w:rsid w:val="004324F9"/>
    <w:rsid w:val="00451B12"/>
    <w:rsid w:val="004E4656"/>
    <w:rsid w:val="004F07B1"/>
    <w:rsid w:val="0051494D"/>
    <w:rsid w:val="00517857"/>
    <w:rsid w:val="005909C6"/>
    <w:rsid w:val="005B4393"/>
    <w:rsid w:val="005C7264"/>
    <w:rsid w:val="005D6FDA"/>
    <w:rsid w:val="005D7810"/>
    <w:rsid w:val="006426FD"/>
    <w:rsid w:val="00644AA7"/>
    <w:rsid w:val="006F4208"/>
    <w:rsid w:val="00720288"/>
    <w:rsid w:val="00770616"/>
    <w:rsid w:val="007C36AF"/>
    <w:rsid w:val="007C6325"/>
    <w:rsid w:val="007D04E0"/>
    <w:rsid w:val="007D1847"/>
    <w:rsid w:val="0083192D"/>
    <w:rsid w:val="00841351"/>
    <w:rsid w:val="008430E9"/>
    <w:rsid w:val="008455B9"/>
    <w:rsid w:val="0085134E"/>
    <w:rsid w:val="00852797"/>
    <w:rsid w:val="00870AF1"/>
    <w:rsid w:val="00872FC8"/>
    <w:rsid w:val="00881296"/>
    <w:rsid w:val="008863DE"/>
    <w:rsid w:val="008B0BEC"/>
    <w:rsid w:val="008B1DE2"/>
    <w:rsid w:val="008F175E"/>
    <w:rsid w:val="00915D8A"/>
    <w:rsid w:val="009A5B0B"/>
    <w:rsid w:val="009B65CC"/>
    <w:rsid w:val="009C7D1C"/>
    <w:rsid w:val="009E417D"/>
    <w:rsid w:val="009E43F7"/>
    <w:rsid w:val="00A17191"/>
    <w:rsid w:val="00A437D7"/>
    <w:rsid w:val="00A53910"/>
    <w:rsid w:val="00A55AFD"/>
    <w:rsid w:val="00A80A78"/>
    <w:rsid w:val="00AC10B3"/>
    <w:rsid w:val="00B31FA9"/>
    <w:rsid w:val="00B52352"/>
    <w:rsid w:val="00B52F2B"/>
    <w:rsid w:val="00B65C4F"/>
    <w:rsid w:val="00B662FB"/>
    <w:rsid w:val="00BF1014"/>
    <w:rsid w:val="00C14FB2"/>
    <w:rsid w:val="00C17299"/>
    <w:rsid w:val="00C23A95"/>
    <w:rsid w:val="00C30A4F"/>
    <w:rsid w:val="00C44285"/>
    <w:rsid w:val="00CD609F"/>
    <w:rsid w:val="00CF31B7"/>
    <w:rsid w:val="00D81AA3"/>
    <w:rsid w:val="00DD6B36"/>
    <w:rsid w:val="00E3632B"/>
    <w:rsid w:val="00E9543B"/>
    <w:rsid w:val="00E95E52"/>
    <w:rsid w:val="00E9672C"/>
    <w:rsid w:val="00E96F28"/>
    <w:rsid w:val="00EB665A"/>
    <w:rsid w:val="00ED655A"/>
    <w:rsid w:val="00ED65D1"/>
    <w:rsid w:val="00EF34F1"/>
    <w:rsid w:val="00F311BF"/>
    <w:rsid w:val="00F3384D"/>
    <w:rsid w:val="00F55A92"/>
    <w:rsid w:val="00F6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E9543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5C7264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E9543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5C7264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Lilly.i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Lilly_Italia_CMS@lilly.com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744476-693C-4C53-9D91-C1DCFA85E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4D25F0-63A9-413D-8FD9-D64202D8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7734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7</cp:revision>
  <cp:lastPrinted>2000-04-05T18:26:00Z</cp:lastPrinted>
  <dcterms:created xsi:type="dcterms:W3CDTF">2014-09-22T14:20:00Z</dcterms:created>
  <dcterms:modified xsi:type="dcterms:W3CDTF">2014-09-25T14:35:00Z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