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03595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F200C9" w14:paraId="7E11493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BBC8102" w14:textId="77777777" w:rsidR="007230ED" w:rsidRPr="007230ED" w:rsidRDefault="007230ED" w:rsidP="007230ED">
            <w:pPr>
              <w:jc w:val="center"/>
              <w:rPr>
                <w:rFonts w:ascii="Calibri" w:hAnsi="Calibri" w:cs="Arial"/>
                <w:b/>
                <w:sz w:val="40"/>
                <w:szCs w:val="40"/>
                <w:lang w:val="pl-PL"/>
              </w:rPr>
            </w:pPr>
            <w:r w:rsidRPr="007230ED">
              <w:rPr>
                <w:rFonts w:ascii="Calibri" w:hAnsi="Calibri" w:cs="Arial"/>
                <w:b/>
                <w:sz w:val="40"/>
                <w:szCs w:val="40"/>
                <w:lang w:val="pl-PL"/>
              </w:rPr>
              <w:lastRenderedPageBreak/>
              <w:t>Umowa o Świadczenie Usług</w:t>
            </w:r>
          </w:p>
          <w:p w14:paraId="30316562" w14:textId="18A528B5" w:rsidR="006426B5" w:rsidRPr="003F63A9" w:rsidRDefault="006426B5" w:rsidP="00864B00">
            <w:pPr>
              <w:jc w:val="center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</w:p>
          <w:p w14:paraId="720B1F3D" w14:textId="77777777" w:rsidR="006426B5" w:rsidRPr="007230ED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pl-PL"/>
              </w:rPr>
            </w:pPr>
          </w:p>
          <w:p w14:paraId="74105BB2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lang w:val="pl-PL"/>
              </w:rPr>
            </w:pPr>
            <w:r w:rsidRPr="006F0900">
              <w:rPr>
                <w:rFonts w:ascii="Arial" w:eastAsia="Calibri" w:hAnsi="Arial" w:cs="Arial"/>
                <w:lang w:val="pl-PL"/>
              </w:rPr>
              <w:t>zawarta pomiędzy następującymi stronami („Strony</w:t>
            </w:r>
            <w:bookmarkStart w:id="0" w:name="Text2"/>
            <w:r w:rsidRPr="006F0900">
              <w:rPr>
                <w:rFonts w:ascii="Arial" w:eastAsia="Calibri" w:hAnsi="Arial" w:cs="Arial"/>
                <w:lang w:val="pl-PL"/>
              </w:rPr>
              <w:t>‘’)</w:t>
            </w:r>
          </w:p>
          <w:p w14:paraId="329AA29E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highlight w:val="yellow"/>
                <w:lang w:val="pl-PL"/>
              </w:rPr>
            </w:pPr>
          </w:p>
          <w:p w14:paraId="715D510D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highlight w:val="lightGray"/>
                <w:lang w:val="pl-PL"/>
              </w:rPr>
            </w:pPr>
          </w:p>
          <w:p w14:paraId="23FB4EC5" w14:textId="77777777" w:rsidR="007230ED" w:rsidRPr="006F0900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Account_MERC_Title_Desc_GLBL</w:t>
            </w:r>
            <w:proofErr w:type="spellEnd"/>
            <w:r w:rsidRPr="006F0900">
              <w:rPr>
                <w:rFonts w:ascii="Arial" w:eastAsia="Calibri" w:hAnsi="Arial" w:cs="Arial"/>
              </w:rPr>
              <w:t>&gt;&gt;</w:t>
            </w:r>
          </w:p>
          <w:p w14:paraId="7B099688" w14:textId="77777777" w:rsidR="007230ED" w:rsidRPr="006F0900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Account_MERC_Sfx_Nm_GLBL</w:t>
            </w:r>
            <w:proofErr w:type="spellEnd"/>
            <w:r w:rsidRPr="006F0900">
              <w:rPr>
                <w:rFonts w:ascii="Arial" w:eastAsia="Calibri" w:hAnsi="Arial" w:cs="Arial"/>
              </w:rPr>
              <w:t>&gt;&gt;</w:t>
            </w:r>
          </w:p>
          <w:p w14:paraId="39E0DDBC" w14:textId="77777777" w:rsidR="007230ED" w:rsidRPr="006F0900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Account_MERC_Name</w:t>
            </w:r>
            <w:proofErr w:type="spellEnd"/>
            <w:r w:rsidRPr="006F0900">
              <w:rPr>
                <w:rFonts w:ascii="Arial" w:eastAsia="Calibri" w:hAnsi="Arial" w:cs="Arial"/>
              </w:rPr>
              <w:t>&gt;&gt;</w:t>
            </w:r>
          </w:p>
          <w:p w14:paraId="02A758BB" w14:textId="77777777" w:rsidR="007230ED" w:rsidRPr="006F0900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&lt;&lt;Address_GLBL_Line_1_Adrs_Txt_GLBL&gt;&gt;</w:t>
            </w:r>
          </w:p>
          <w:p w14:paraId="6903B2D5" w14:textId="77777777" w:rsidR="007230ED" w:rsidRPr="006F0900" w:rsidRDefault="007230ED" w:rsidP="007230ED">
            <w:pPr>
              <w:tabs>
                <w:tab w:val="right" w:pos="8823"/>
              </w:tabs>
              <w:spacing w:line="280" w:lineRule="exact"/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&lt;&lt;Address_GLBL_Line_2_Adrs_Txt_GLBL&gt;&gt;</w:t>
            </w:r>
          </w:p>
          <w:p w14:paraId="4DF0785C" w14:textId="77777777" w:rsidR="007230ED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Address_GLBL_Zip_Postal_Code_GLBL</w:t>
            </w:r>
            <w:proofErr w:type="spellEnd"/>
            <w:r w:rsidRPr="006F0900">
              <w:rPr>
                <w:rFonts w:ascii="Arial" w:eastAsia="Calibri" w:hAnsi="Arial" w:cs="Arial"/>
              </w:rPr>
              <w:t>&gt;&gt; &lt;&lt;</w:t>
            </w:r>
            <w:proofErr w:type="spellStart"/>
            <w:r w:rsidRPr="006F0900">
              <w:rPr>
                <w:rFonts w:ascii="Arial" w:eastAsia="Calibri" w:hAnsi="Arial" w:cs="Arial"/>
              </w:rPr>
              <w:t>Address_GLBL_City_GLBL</w:t>
            </w:r>
            <w:proofErr w:type="spellEnd"/>
            <w:r w:rsidRPr="006F0900">
              <w:rPr>
                <w:rFonts w:ascii="Arial" w:eastAsia="Calibri" w:hAnsi="Arial" w:cs="Arial"/>
              </w:rPr>
              <w:t>&gt;&gt;</w:t>
            </w:r>
          </w:p>
          <w:bookmarkEnd w:id="0"/>
          <w:p w14:paraId="1D46503E" w14:textId="77777777" w:rsidR="007230ED" w:rsidRPr="00817EFD" w:rsidRDefault="007230ED" w:rsidP="007230ED">
            <w:pPr>
              <w:rPr>
                <w:rFonts w:ascii="Arial" w:hAnsi="Arial" w:cs="Arial"/>
                <w:lang w:val="en-IE"/>
              </w:rPr>
            </w:pPr>
            <w:r w:rsidRPr="00817EFD">
              <w:rPr>
                <w:rFonts w:ascii="Arial" w:hAnsi="Arial" w:cs="Arial"/>
                <w:lang w:val="en-IE"/>
              </w:rPr>
              <w:t>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Payee_MERC_VAT_ID_MERC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 and 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Payee_MERC_Tax_Id_MERC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</w:t>
            </w:r>
          </w:p>
          <w:p w14:paraId="2D8126CD" w14:textId="77777777" w:rsidR="007230ED" w:rsidRPr="00817EFD" w:rsidRDefault="007230ED" w:rsidP="007230ED">
            <w:pPr>
              <w:jc w:val="both"/>
              <w:rPr>
                <w:rFonts w:ascii="Arial" w:eastAsia="Calibri" w:hAnsi="Arial" w:cs="Arial"/>
                <w:lang w:val="en-IE"/>
              </w:rPr>
            </w:pPr>
          </w:p>
          <w:p w14:paraId="4EBA5CDD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i/>
              </w:rPr>
            </w:pPr>
            <w:r w:rsidRPr="006F0900">
              <w:rPr>
                <w:rFonts w:ascii="Arial" w:eastAsia="Calibri" w:hAnsi="Arial" w:cs="Arial"/>
                <w:i/>
              </w:rPr>
              <w:t xml:space="preserve"> (</w:t>
            </w:r>
            <w:proofErr w:type="spellStart"/>
            <w:r w:rsidRPr="006F0900">
              <w:rPr>
                <w:rFonts w:ascii="Arial" w:eastAsia="Calibri" w:hAnsi="Arial" w:cs="Arial"/>
                <w:i/>
              </w:rPr>
              <w:t>i</w:t>
            </w:r>
            <w:proofErr w:type="spellEnd"/>
            <w:r w:rsidRPr="006F0900">
              <w:rPr>
                <w:rFonts w:ascii="Arial" w:eastAsia="Calibri" w:hAnsi="Arial" w:cs="Arial"/>
                <w:i/>
              </w:rPr>
              <w:t>/</w:t>
            </w:r>
            <w:proofErr w:type="spellStart"/>
            <w:r w:rsidRPr="006F0900">
              <w:rPr>
                <w:rFonts w:ascii="Arial" w:eastAsia="Calibri" w:hAnsi="Arial" w:cs="Arial"/>
                <w:i/>
              </w:rPr>
              <w:t>lub</w:t>
            </w:r>
            <w:proofErr w:type="spellEnd"/>
            <w:r w:rsidRPr="006F0900">
              <w:rPr>
                <w:rFonts w:ascii="Arial" w:eastAsia="Calibri" w:hAnsi="Arial" w:cs="Arial"/>
                <w:i/>
              </w:rPr>
              <w:t>)</w:t>
            </w:r>
          </w:p>
          <w:p w14:paraId="5E8974AF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i/>
              </w:rPr>
            </w:pPr>
          </w:p>
          <w:p w14:paraId="5A4E34B7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Form_HCP</w:t>
            </w:r>
            <w:proofErr w:type="spellEnd"/>
            <w:r w:rsidRPr="006F0900">
              <w:rPr>
                <w:rFonts w:ascii="Arial" w:eastAsia="Calibri" w:hAnsi="Arial" w:cs="Arial"/>
              </w:rPr>
              <w:t xml:space="preserve"> Company Name&gt;&gt; </w:t>
            </w:r>
          </w:p>
          <w:p w14:paraId="054933D7" w14:textId="77777777" w:rsidR="007230ED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Form_HCP</w:t>
            </w:r>
            <w:proofErr w:type="spellEnd"/>
            <w:r w:rsidRPr="006F0900">
              <w:rPr>
                <w:rFonts w:ascii="Arial" w:eastAsia="Calibri" w:hAnsi="Arial" w:cs="Arial"/>
              </w:rPr>
              <w:t xml:space="preserve"> Company Address&gt;&gt;</w:t>
            </w:r>
          </w:p>
          <w:p w14:paraId="64566D09" w14:textId="77777777" w:rsidR="007230ED" w:rsidRPr="00817EFD" w:rsidRDefault="007230ED" w:rsidP="007230ED">
            <w:pPr>
              <w:rPr>
                <w:rFonts w:ascii="Arial" w:hAnsi="Arial" w:cs="Arial"/>
                <w:lang w:val="en-IE"/>
              </w:rPr>
            </w:pPr>
            <w:r w:rsidRPr="00817EFD">
              <w:rPr>
                <w:rFonts w:ascii="Arial" w:hAnsi="Arial" w:cs="Arial"/>
                <w:lang w:val="en-IE"/>
              </w:rPr>
              <w:t>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Payee_MERC_VAT_ID_MERC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 and 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Payee_MERC_Tax_Id_MERC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</w:t>
            </w:r>
          </w:p>
          <w:p w14:paraId="62A1D95E" w14:textId="77777777" w:rsidR="007230ED" w:rsidRPr="00817EFD" w:rsidRDefault="007230ED" w:rsidP="007230ED">
            <w:pPr>
              <w:jc w:val="both"/>
              <w:rPr>
                <w:rFonts w:ascii="Arial" w:eastAsia="Calibri" w:hAnsi="Arial" w:cs="Arial"/>
                <w:lang w:val="en-IE"/>
              </w:rPr>
            </w:pPr>
          </w:p>
          <w:p w14:paraId="761CE8F3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</w:p>
          <w:p w14:paraId="4E21B181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(</w:t>
            </w:r>
            <w:proofErr w:type="spellStart"/>
            <w:r w:rsidRPr="006F0900">
              <w:rPr>
                <w:rFonts w:ascii="Arial" w:eastAsia="Calibri" w:hAnsi="Arial" w:cs="Arial"/>
                <w:i/>
              </w:rPr>
              <w:t>lub</w:t>
            </w:r>
            <w:proofErr w:type="spellEnd"/>
            <w:r w:rsidRPr="006F0900">
              <w:rPr>
                <w:rFonts w:ascii="Arial" w:eastAsia="Calibri" w:hAnsi="Arial" w:cs="Arial"/>
              </w:rPr>
              <w:t>)</w:t>
            </w:r>
          </w:p>
          <w:p w14:paraId="7DA38C2F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</w:p>
          <w:p w14:paraId="0645DD9D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Form_HCO</w:t>
            </w:r>
            <w:proofErr w:type="spellEnd"/>
            <w:r w:rsidRPr="006F0900">
              <w:rPr>
                <w:rFonts w:ascii="Arial" w:eastAsia="Calibri" w:hAnsi="Arial" w:cs="Arial"/>
              </w:rPr>
              <w:t xml:space="preserve"> Name&gt;&gt;</w:t>
            </w:r>
          </w:p>
          <w:p w14:paraId="4153914C" w14:textId="77777777" w:rsidR="007230ED" w:rsidRDefault="007230ED" w:rsidP="007230ED">
            <w:pPr>
              <w:jc w:val="both"/>
              <w:rPr>
                <w:rFonts w:ascii="Arial" w:eastAsia="Calibri" w:hAnsi="Arial" w:cs="Arial"/>
              </w:rPr>
            </w:pPr>
            <w:r w:rsidRPr="006F0900">
              <w:rPr>
                <w:rFonts w:ascii="Arial" w:eastAsia="Calibri" w:hAnsi="Arial" w:cs="Arial"/>
              </w:rPr>
              <w:t>&lt;&lt;</w:t>
            </w:r>
            <w:proofErr w:type="spellStart"/>
            <w:r w:rsidRPr="006F0900">
              <w:rPr>
                <w:rFonts w:ascii="Arial" w:eastAsia="Calibri" w:hAnsi="Arial" w:cs="Arial"/>
              </w:rPr>
              <w:t>Form_HCO</w:t>
            </w:r>
            <w:proofErr w:type="spellEnd"/>
            <w:r w:rsidRPr="006F0900">
              <w:rPr>
                <w:rFonts w:ascii="Arial" w:eastAsia="Calibri" w:hAnsi="Arial" w:cs="Arial"/>
              </w:rPr>
              <w:t xml:space="preserve"> Address&gt;&gt;</w:t>
            </w:r>
          </w:p>
          <w:p w14:paraId="3DF9F277" w14:textId="77777777" w:rsidR="007230ED" w:rsidRPr="00817EFD" w:rsidRDefault="007230ED" w:rsidP="007230ED">
            <w:pPr>
              <w:rPr>
                <w:rFonts w:ascii="Arial" w:hAnsi="Arial" w:cs="Arial"/>
                <w:lang w:val="en-IE"/>
              </w:rPr>
            </w:pPr>
            <w:r w:rsidRPr="00817EFD">
              <w:rPr>
                <w:rFonts w:ascii="Arial" w:hAnsi="Arial" w:cs="Arial"/>
                <w:lang w:val="en-IE"/>
              </w:rPr>
              <w:t>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Payee_MERC_VAT_ID_MERC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 and &lt;&lt;</w:t>
            </w:r>
            <w:proofErr w:type="spellStart"/>
            <w:r w:rsidRPr="00817EFD">
              <w:rPr>
                <w:rFonts w:ascii="Arial" w:hAnsi="Arial" w:cs="Arial"/>
                <w:lang w:val="en-IE"/>
              </w:rPr>
              <w:t>Payee_MERC_Tax_Id_MERC</w:t>
            </w:r>
            <w:proofErr w:type="spellEnd"/>
            <w:r w:rsidRPr="00817EFD">
              <w:rPr>
                <w:rFonts w:ascii="Arial" w:hAnsi="Arial" w:cs="Arial"/>
                <w:lang w:val="en-IE"/>
              </w:rPr>
              <w:t>&gt;&gt;</w:t>
            </w:r>
          </w:p>
          <w:p w14:paraId="38D7A19D" w14:textId="77777777" w:rsidR="007230ED" w:rsidRPr="00817EFD" w:rsidRDefault="007230ED" w:rsidP="007230ED">
            <w:pPr>
              <w:jc w:val="both"/>
              <w:rPr>
                <w:rFonts w:ascii="Arial" w:eastAsia="Calibri" w:hAnsi="Arial" w:cs="Arial"/>
                <w:lang w:val="en-IE"/>
              </w:rPr>
            </w:pPr>
          </w:p>
          <w:p w14:paraId="435FCA78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</w:rPr>
            </w:pPr>
          </w:p>
          <w:p w14:paraId="4CE72D8B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lang w:val="pl-PL"/>
              </w:rPr>
            </w:pPr>
            <w:r w:rsidRPr="006F0900">
              <w:rPr>
                <w:rFonts w:ascii="Arial" w:eastAsia="Calibri" w:hAnsi="Arial" w:cs="Arial"/>
                <w:lang w:val="pl-PL"/>
              </w:rPr>
              <w:t>zwany/zwana/zwani dalej Wykonawcą</w:t>
            </w:r>
          </w:p>
          <w:p w14:paraId="5BCB0011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lang w:val="pl-PL"/>
              </w:rPr>
            </w:pPr>
          </w:p>
          <w:p w14:paraId="15CE6C76" w14:textId="77777777" w:rsidR="007230ED" w:rsidRDefault="007230ED" w:rsidP="007230ED">
            <w:pPr>
              <w:jc w:val="both"/>
              <w:rPr>
                <w:rFonts w:ascii="Arial" w:eastAsia="Calibri" w:hAnsi="Arial" w:cs="Arial"/>
                <w:lang w:val="pl-PL"/>
              </w:rPr>
            </w:pPr>
            <w:r w:rsidRPr="006F0900">
              <w:rPr>
                <w:rFonts w:ascii="Arial" w:eastAsia="Calibri" w:hAnsi="Arial" w:cs="Arial"/>
                <w:lang w:val="pl-PL"/>
              </w:rPr>
              <w:t>oraz</w:t>
            </w:r>
          </w:p>
          <w:p w14:paraId="2B23AE01" w14:textId="77777777" w:rsidR="007230ED" w:rsidRPr="006F0900" w:rsidRDefault="007230ED" w:rsidP="007230ED">
            <w:pPr>
              <w:jc w:val="both"/>
              <w:rPr>
                <w:rFonts w:ascii="Arial" w:eastAsia="Calibri" w:hAnsi="Arial" w:cs="Arial"/>
                <w:lang w:val="pl-PL"/>
              </w:rPr>
            </w:pPr>
          </w:p>
          <w:p w14:paraId="63D74B1D" w14:textId="77777777" w:rsidR="007230ED" w:rsidRDefault="007230ED" w:rsidP="007230ED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D50D62">
              <w:rPr>
                <w:rFonts w:ascii="Calibri" w:hAnsi="Calibri" w:cs="Arial"/>
                <w:sz w:val="22"/>
                <w:szCs w:val="22"/>
                <w:lang w:val="pl-PL"/>
              </w:rPr>
              <w:t>z siedzibą w Warszawie (02-092) przy ul. Żwirki i Wigury 18a wpisaną do rejestru przedsiębiorców w Sądzie Rejonowym dla m.st Warszawa – XVI Wydział Gospodarczy Krajowego Rejestru Sądowego pod numerem 0000034645; nr NIP 526-10-12-594; z kapitałem zakładowym w wysokości 10 023 734,00 PLN(„Lilly”)</w:t>
            </w:r>
          </w:p>
          <w:p w14:paraId="4D6DD0A9" w14:textId="77777777" w:rsidR="007230ED" w:rsidRDefault="007230ED" w:rsidP="007230ED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</w:p>
          <w:p w14:paraId="329DDF1F" w14:textId="107DC86D" w:rsidR="007230ED" w:rsidRDefault="007230ED" w:rsidP="007230ED">
            <w:pPr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dnia: </w:t>
            </w:r>
            <w:r w:rsidRPr="00A1451F">
              <w:rPr>
                <w:rFonts w:ascii="Arial" w:hAnsi="Arial" w:cs="Arial"/>
                <w:lang w:val="nb-NO"/>
              </w:rPr>
              <w:t>&lt;&lt;Today__s&gt;&gt;</w:t>
            </w:r>
          </w:p>
          <w:p w14:paraId="447EBAAA" w14:textId="77777777" w:rsidR="007230ED" w:rsidRDefault="007230ED" w:rsidP="007230ED">
            <w:pPr>
              <w:jc w:val="both"/>
              <w:rPr>
                <w:rFonts w:ascii="Arial" w:hAnsi="Arial" w:cs="Arial"/>
                <w:lang w:val="nb-NO"/>
              </w:rPr>
            </w:pPr>
          </w:p>
          <w:p w14:paraId="4CCBE705" w14:textId="77777777" w:rsidR="007230ED" w:rsidRDefault="007230ED" w:rsidP="007230ED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</w:p>
          <w:p w14:paraId="08A37592" w14:textId="77777777" w:rsidR="007230ED" w:rsidRDefault="007230ED" w:rsidP="007230ED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Wykonawca będzie świadczyć na rzecz </w:t>
            </w:r>
            <w:r w:rsidRPr="00D50D62">
              <w:rPr>
                <w:rFonts w:ascii="Calibri" w:hAnsi="Calibri" w:cs="Arial"/>
                <w:sz w:val="22"/>
                <w:szCs w:val="22"/>
                <w:highlight w:val="yellow"/>
                <w:lang w:val="pl-PL"/>
              </w:rPr>
              <w:t>(</w:t>
            </w:r>
            <w:r w:rsidRPr="007230ED">
              <w:rPr>
                <w:rFonts w:ascii="Calibri" w:hAnsi="Calibri" w:cs="Arial"/>
                <w:sz w:val="22"/>
                <w:szCs w:val="22"/>
                <w:highlight w:val="magenta"/>
                <w:lang w:val="pl-PL"/>
              </w:rPr>
              <w:t>system to populate name of Lilly affiliate receiving the services)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poniższe usługi („Usługi”): </w:t>
            </w:r>
          </w:p>
          <w:p w14:paraId="41AB2E5C" w14:textId="77777777" w:rsidR="006426B5" w:rsidRPr="003F63A9" w:rsidRDefault="006426B5" w:rsidP="00864B00">
            <w:pPr>
              <w:jc w:val="both"/>
              <w:rPr>
                <w:rFonts w:ascii="Arial" w:hAnsi="Arial" w:cs="Arial"/>
                <w:sz w:val="22"/>
                <w:lang w:val="pl-PL"/>
              </w:rPr>
            </w:pPr>
          </w:p>
          <w:p w14:paraId="5F1E5297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highlight w:val="magenta"/>
                <w:lang w:val="en-US"/>
              </w:rPr>
            </w:pPr>
            <w:r>
              <w:rPr>
                <w:rFonts w:ascii="Arial" w:hAnsi="Arial" w:cs="Arial"/>
                <w:sz w:val="22"/>
                <w:highlight w:val="magenta"/>
                <w:lang w:val="en-US"/>
              </w:rPr>
              <w:t>Language in case the service is delivered to an affiliate different than the home affiliate: sy</w:t>
            </w:r>
            <w:r>
              <w:rPr>
                <w:rFonts w:ascii="Arial" w:hAnsi="Arial" w:cs="Arial"/>
                <w:sz w:val="22"/>
                <w:highlight w:val="magenta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highlight w:val="magenta"/>
                <w:lang w:val="en-US"/>
              </w:rPr>
              <w:t>tem to populate if relevant</w:t>
            </w:r>
          </w:p>
          <w:p w14:paraId="113E9709" w14:textId="77777777" w:rsidR="00A90631" w:rsidRDefault="00A90631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</w:pPr>
          </w:p>
          <w:p w14:paraId="23BFD441" w14:textId="77777777" w:rsidR="00A90631" w:rsidRPr="00A90631" w:rsidRDefault="00A90631" w:rsidP="00A90631">
            <w:pPr>
              <w:tabs>
                <w:tab w:val="left" w:pos="0"/>
              </w:tabs>
              <w:spacing w:afterLines="60" w:after="144"/>
              <w:ind w:right="-5"/>
              <w:rPr>
                <w:lang w:val="pl-PL"/>
              </w:rPr>
            </w:pPr>
            <w:r w:rsidRPr="00531B74">
              <w:rPr>
                <w:lang w:val="pl-PL"/>
              </w:rPr>
              <w:t xml:space="preserve">Ze względów logistycznych, stroną kontraktującą Usługi jest podmiot z grupy Lilly w kraju zamieszkania Wykonawcy, jednakże, usługi są zamawiane i świadczone na rzecz innego podmiotu z grupy Lilly, a mianowicie </w:t>
            </w:r>
            <w:r w:rsidRPr="00A90631">
              <w:rPr>
                <w:highlight w:val="magenta"/>
                <w:lang w:val="pl-PL"/>
              </w:rPr>
              <w:t>(insert name of affiliate receiving the services).</w:t>
            </w:r>
          </w:p>
          <w:p w14:paraId="29535C86" w14:textId="28D2381F" w:rsidR="006426B5" w:rsidRPr="00A90631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</w:p>
        </w:tc>
      </w:tr>
    </w:tbl>
    <w:p w14:paraId="78326FDC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"="Promotional"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599C6AE0" w14:textId="77777777" w:rsidTr="00E94D03">
        <w:tc>
          <w:tcPr>
            <w:tcW w:w="9180" w:type="dxa"/>
            <w:hideMark/>
          </w:tcPr>
          <w:p w14:paraId="14EF1768" w14:textId="77777777" w:rsidR="00E94D03" w:rsidRDefault="006426B5" w:rsidP="00864B0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45608277" w14:textId="0A40121A" w:rsidR="008E0A27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promocyjnym sponsorowanego przez Lilly</w:instrText>
            </w:r>
          </w:p>
          <w:p w14:paraId="1AE0E518" w14:textId="77777777" w:rsid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0631ABCF" w14:textId="109B4741" w:rsidR="006426B5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A98C8D7" w14:textId="28813B44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125DB321" w14:textId="0E287CFA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FADB65B" w14:textId="34D88A46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363991D5" w14:textId="7A2844DD" w:rsidR="006426B5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="006426B5"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  <w:r w:rsidR="006426B5">
              <w:rPr>
                <w:rFonts w:ascii="Arial" w:hAnsi="Arial" w:cs="Arial"/>
                <w:sz w:val="22"/>
                <w:szCs w:val="22"/>
                <w:highlight w:val="magenta"/>
              </w:rPr>
              <w:instrText xml:space="preserve"> </w:instrText>
            </w:r>
          </w:p>
        </w:tc>
      </w:tr>
    </w:tbl>
    <w:p w14:paraId="6F908C3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"="Health Education"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35895508" w14:textId="77777777" w:rsidTr="00E94D03">
        <w:tc>
          <w:tcPr>
            <w:tcW w:w="9180" w:type="dxa"/>
            <w:hideMark/>
          </w:tcPr>
          <w:p w14:paraId="175FB555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0D531431" w14:textId="01E88512" w:rsidR="008E0A27" w:rsidRDefault="008E0A27" w:rsidP="00E94D03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zdrowotno-edukacjnym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8E0A27">
              <w:rPr>
                <w:rFonts w:ascii="Arial" w:hAnsi="Arial" w:cs="Arial"/>
                <w:sz w:val="22"/>
                <w:szCs w:val="22"/>
              </w:rPr>
              <w:instrText>sponsorowanego przez Lilly</w:instrText>
            </w:r>
          </w:p>
          <w:p w14:paraId="7E7DB45D" w14:textId="77777777" w:rsid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35DD33ED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021DC8FE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BB46D19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63CA3418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5E1061EB" w14:textId="5F3D6FA8" w:rsidR="006426B5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708FD38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"="Scientific Exchange"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2082448C" w14:textId="77777777" w:rsidTr="00E94D03">
        <w:tc>
          <w:tcPr>
            <w:tcW w:w="9180" w:type="dxa"/>
            <w:hideMark/>
          </w:tcPr>
          <w:p w14:paraId="58B27752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1E9E2C4E" w14:textId="2CBAE2BD" w:rsidR="008E0A27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wymiany naukowej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8E0A27">
              <w:rPr>
                <w:rFonts w:ascii="Arial" w:hAnsi="Arial" w:cs="Arial"/>
                <w:sz w:val="22"/>
                <w:szCs w:val="22"/>
              </w:rPr>
              <w:instrText>sponsorowanego przez Lilly</w:instrText>
            </w:r>
          </w:p>
          <w:p w14:paraId="60D1715C" w14:textId="09DF01D9" w:rsidR="006426B5" w:rsidRP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13BAA78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7AB99851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3D15570F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6B9A932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228D444F" w14:textId="4B9CDFB2" w:rsidR="006426B5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408C6B07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"="Consultant"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1D4B4D10" w14:textId="77777777" w:rsidTr="00E94D03">
        <w:tc>
          <w:tcPr>
            <w:tcW w:w="9180" w:type="dxa"/>
            <w:hideMark/>
          </w:tcPr>
          <w:p w14:paraId="1D5B4433" w14:textId="77777777" w:rsidR="008E0A27" w:rsidRDefault="008E0A27" w:rsidP="00864B00">
            <w:pPr>
              <w:ind w:left="426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 xml:space="preserve">Usługi konsultacyjne związane z </w:instrText>
            </w:r>
          </w:p>
          <w:p w14:paraId="5934AECD" w14:textId="22E6F6CF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</w:p>
          <w:p w14:paraId="658CF2C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6B4A9648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277427C4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E265B5A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6BE7238A" w14:textId="108B5AAC" w:rsidR="006426B5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7E676B2" w14:textId="05E4C111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Chairman""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7B6A31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3F8B50E" w14:textId="77777777" w:rsidR="008E0A27" w:rsidRDefault="008E0A27" w:rsidP="00E94D03">
            <w:pPr>
              <w:ind w:left="425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 xml:space="preserve">Uczestnictwo w posiedzeniach Rady Doradczej </w:instrText>
            </w:r>
          </w:p>
          <w:p w14:paraId="7A56DE81" w14:textId="77469520" w:rsidR="006426B5" w:rsidRPr="00E94D03" w:rsidRDefault="008E0A27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Meeting: &lt;&lt;Meeting_MERC_Name&gt;&gt;</w:instrText>
            </w:r>
          </w:p>
          <w:p w14:paraId="3592704C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4DEAD1E0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482560B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572BAB67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0BF8ED5C" w14:textId="415B6C3A" w:rsidR="00E94D03" w:rsidRPr="00E94D03" w:rsidRDefault="008E0A27" w:rsidP="008E0A27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649B5377" w14:textId="77777777" w:rsidR="006426B5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35DDD938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"="Speaker Training""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14AD494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F5791" w14:textId="77777777" w:rsidR="008E0A27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>Szkolenie wykładowców</w:instrText>
            </w:r>
            <w:r w:rsidRPr="008E0A27">
              <w:rPr>
                <w:rFonts w:ascii="Arial" w:hAnsi="Arial" w:cs="Arial"/>
                <w:sz w:val="22"/>
              </w:rPr>
              <w:instrText xml:space="preserve"> </w:instrText>
            </w:r>
          </w:p>
          <w:p w14:paraId="364C208A" w14:textId="37BF23FA" w:rsidR="008E0A27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</w:rPr>
            </w:pPr>
            <w:r w:rsidRPr="008E0A27">
              <w:rPr>
                <w:rFonts w:ascii="Arial" w:hAnsi="Arial" w:cs="Arial"/>
                <w:sz w:val="22"/>
              </w:rPr>
              <w:instrText>(prosimy o wybranie jeśli znajduje zastosowanie)</w:instrText>
            </w:r>
          </w:p>
          <w:p w14:paraId="0A640EE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B9C6FC9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7B7950E0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8209FED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75C4A9A6" w14:textId="16A43F5C" w:rsidR="006426B5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56E01782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Participant""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4AD72218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DF2A858" w14:textId="7415FE92" w:rsidR="006426B5" w:rsidRDefault="008E0A27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>Uczestnictwo w posiedzeniach Rady Doradczej</w:instrText>
            </w:r>
            <w:r w:rsidR="006426B5">
              <w:rPr>
                <w:rFonts w:ascii="Arial" w:hAnsi="Arial" w:cs="Arial"/>
                <w:sz w:val="22"/>
              </w:rPr>
              <w:instrText xml:space="preserve"> </w:instrText>
            </w:r>
          </w:p>
          <w:p w14:paraId="494D0320" w14:textId="77777777" w:rsidR="008E0A27" w:rsidRDefault="008E0A27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</w:p>
          <w:p w14:paraId="6FC268CA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103AFC81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1F5A2BA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07708673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19C58DA1" w14:textId="02E2AB32" w:rsidR="006426B5" w:rsidRDefault="008E0A27" w:rsidP="008E0A27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A43CCEF" w14:textId="77777777" w:rsidR="006426B5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6426B5" w:rsidRPr="00F200C9" w14:paraId="3426CD9B" w14:textId="77777777" w:rsidTr="00864B00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38B8" w14:textId="03EA33D9" w:rsidR="00F200C9" w:rsidRPr="00880F1C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58B5F" wp14:editId="1C9E673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1.1pt;margin-top:20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D7clRv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Usługa będzie wykonana w ramach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umowy</w: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:</w:t>
            </w:r>
          </w:p>
          <w:p w14:paraId="2085B300" w14:textId="0B82F88B" w:rsidR="00F200C9" w:rsidRPr="00880F1C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607E93" wp14:editId="01AAAB8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259080</wp:posOffset>
                      </wp:positionV>
                      <wp:extent cx="152400" cy="114300"/>
                      <wp:effectExtent l="5080" t="11430" r="13970" b="762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1pt;margin-top:20.4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"/>
                  </w:pict>
                </mc:Fallback>
              </mc:AlternateConten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Zlecenie</w:t>
            </w:r>
          </w:p>
          <w:p w14:paraId="4430DDC4" w14:textId="77777777" w:rsidR="00F200C9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Dzieło</w:t>
            </w:r>
          </w:p>
          <w:p w14:paraId="21B88F15" w14:textId="1AAF69D3" w:rsidR="00F200C9" w:rsidRPr="00880F1C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E496B0" wp14:editId="7B8E3C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1pt;margin-top:20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0pHgIAADsEAAAOAAAAZHJzL2Uyb0RvYy54bWysU1Fv0zAQfkfiP1h+p0lKA1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PNFTrJJChXF4jXZ8QVRPV126MN7BQOLRs2RSk/gYn/rw5T6lJKK&#10;B6ObjTYmOdht1wbZXtBsbNJ3RPfnacayseaX5bxMyM9i/hwiT9/fIAYdaMiNHmp+cUoSVWTtnW2o&#10;TFEFoc1kU3fGHmmMzE0KbKF5IBYRpgmmjSOjB/zJ2UjTW3P/YydQcWY+WFLislgs4rgnZ1G+nZOD&#10;55HteURYSVA1D5xN5jpMK7JzqLueXipS7xauSb1WJ2ajslNVx2JpQpM2x22KK3Dup6xfO796BA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Apw40p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 xml:space="preserve"> Usługa będzie wykonana:</w:t>
            </w:r>
          </w:p>
          <w:p w14:paraId="4055DB2A" w14:textId="77777777" w:rsidR="00F200C9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 xml:space="preserve"> w ramach działalności gospodarczej prowadzonej przez Wykonawcę;</w:t>
            </w:r>
          </w:p>
          <w:p w14:paraId="38C5BF7D" w14:textId="5D3DD207" w:rsidR="00F200C9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7583C7" wp14:editId="0BFC9AC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977</wp:posOffset>
                      </wp:positionV>
                      <wp:extent cx="1524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1.4pt;margin-top:.1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EK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"/>
                  </w:pict>
                </mc:Fallback>
              </mc:AlternateConten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               </w:t>
            </w: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>poza działalnością gospodarczą prowadzoną przez Wykonawcę / albo / Wykonawca nie prowadzi działalności gospodarczej</w:t>
            </w:r>
          </w:p>
          <w:p w14:paraId="5619BAF9" w14:textId="25BF2822" w:rsidR="006426B5" w:rsidRPr="008E0A27" w:rsidRDefault="008E0A27" w:rsidP="008E0A27">
            <w:pPr>
              <w:spacing w:after="120"/>
              <w:rPr>
                <w:rFonts w:ascii="Calibri" w:hAnsi="Calibri" w:cs="Arial"/>
                <w:sz w:val="22"/>
                <w:szCs w:val="22"/>
                <w:lang w:val="pl-PL"/>
              </w:rPr>
            </w:pPr>
            <w:bookmarkStart w:id="1" w:name="_GoBack"/>
            <w:bookmarkEnd w:id="1"/>
            <w:r>
              <w:rPr>
                <w:rFonts w:ascii="Calibri" w:hAnsi="Calibri" w:cs="Arial"/>
                <w:color w:val="000000"/>
                <w:sz w:val="22"/>
                <w:szCs w:val="22"/>
                <w:lang w:val="pl-PL"/>
              </w:rPr>
              <w:t>Z tytułu wykonania Usługi przysługuje następujące Wynagrodzenie:</w:t>
            </w:r>
          </w:p>
        </w:tc>
      </w:tr>
    </w:tbl>
    <w:p w14:paraId="4FAA8368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"&lt;&lt;Meeting_Participant_MERC_Payment_Required_for_Meeting_MERC&gt;&gt;"="Yes"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0F86AB8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B800D4A" w14:textId="26492C7E" w:rsidR="006426B5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en-US"/>
              </w:rPr>
              <w:instrText>Nazwa Usługi</w:instrText>
            </w:r>
            <w:r w:rsidR="006426B5">
              <w:rPr>
                <w:rFonts w:ascii="Arial" w:hAnsi="Arial" w:cs="Arial"/>
                <w:sz w:val="22"/>
              </w:rPr>
              <w:instrText xml:space="preserve">:  </w:instrText>
            </w:r>
            <w:r w:rsidR="006426B5">
              <w:rPr>
                <w:rFonts w:ascii="Arial" w:hAnsi="Arial" w:cs="Arial"/>
                <w:sz w:val="22"/>
                <w:szCs w:val="22"/>
              </w:rPr>
              <w:instrText>&lt;&lt;Meeting_Participant_MERC_Proposed_Final_Fee_MERC&gt;&gt;</w:instrText>
            </w:r>
          </w:p>
          <w:p w14:paraId="1458F2FC" w14:textId="77777777" w:rsidR="006426B5" w:rsidRDefault="006426B5" w:rsidP="00E94D0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D83B7E" w14:textId="3D67DD34" w:rsidR="008E0A27" w:rsidRDefault="008E0A27" w:rsidP="00864B0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Rozliczenie kosztów podróży:</w:instrText>
            </w:r>
          </w:p>
          <w:p w14:paraId="2B6F23B8" w14:textId="77777777" w:rsidR="008E0A27" w:rsidRDefault="008E0A27" w:rsidP="00864B00">
            <w:pPr>
              <w:jc w:val="both"/>
              <w:rPr>
                <w:rFonts w:ascii="Arial" w:hAnsi="Arial" w:cs="Arial"/>
                <w:sz w:val="22"/>
              </w:rPr>
            </w:pPr>
          </w:p>
          <w:p w14:paraId="225E1CE1" w14:textId="71392CD2" w:rsidR="006426B5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Całkowita kwota płatności</w:instrText>
            </w:r>
            <w:r w:rsidR="006426B5">
              <w:rPr>
                <w:rFonts w:ascii="Arial" w:hAnsi="Arial" w:cs="Arial"/>
                <w:sz w:val="22"/>
              </w:rPr>
              <w:instrText>:</w:instrText>
            </w:r>
            <w:r w:rsidR="006426B5">
              <w:rPr>
                <w:rFonts w:ascii="Arial" w:hAnsi="Arial" w:cs="Arial"/>
                <w:sz w:val="22"/>
                <w:szCs w:val="22"/>
              </w:rPr>
              <w:instrText xml:space="preserve"> &lt;&lt;Meeting_Participant_MERC_Final_Fee_MERC&gt;&gt;</w:instrText>
            </w:r>
          </w:p>
        </w:tc>
      </w:tr>
    </w:tbl>
    <w:p w14:paraId="3C6EE79B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5B7FA6E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"&lt;&lt;Meeting_Participant_MERC_Payment_Required_for_Meeting_MERC&gt;&gt;"="No"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46BC893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A36C95E" w14:textId="77777777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1. Uzasadnione koszty zostaną zwrócone zgodnie z Punktem 1 Ogólnych warunków.</w:instrText>
            </w:r>
          </w:p>
          <w:p w14:paraId="52D80732" w14:textId="77777777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Przeniesienie na Lilly praw własności intelektualnej zgodnie z punktem 7 Ogólnych warunków:</w:instrText>
            </w:r>
          </w:p>
          <w:p w14:paraId="4498E028" w14:textId="26440878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4AD60" wp14:editId="02A2452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188595</wp:posOffset>
                      </wp:positionV>
                      <wp:extent cx="152400" cy="114300"/>
                      <wp:effectExtent l="5080" t="7620" r="13970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9pt;margin-top:14.85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"/>
                  </w:pict>
                </mc:Fallback>
              </mc:AlternateContent>
            </w: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tab/>
              <w:instrText>Tak, powstałe w toku wykonywania Usługi prawa własności intelektualnej zostają przeniesione na Lilly zgodnie z punktem 7 Ogólnych warunków;</w:instrText>
            </w:r>
          </w:p>
          <w:p w14:paraId="37DC33F3" w14:textId="7E4C239A" w:rsidR="008E0A27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3C0FCC" wp14:editId="2DB4707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152400" cy="114300"/>
                      <wp:effectExtent l="5080" t="6350" r="1397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.9pt;margin-top:14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6kHA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"/>
                  </w:pict>
                </mc:Fallback>
              </mc:AlternateContent>
            </w: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tab/>
              <w:instrText>Nie, powstałe w toku wykonywania Usługi prawa własności intelektualnej nie zostają przeniesione na Lilly zgodnie z punktem 7 Ogólnych warunków.</w:instrText>
            </w:r>
          </w:p>
          <w:p w14:paraId="15C1CDD1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08BC9C15" w14:textId="4178AB18" w:rsidR="006426B5" w:rsidRPr="008E0A27" w:rsidRDefault="008E0A27" w:rsidP="00864B00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Strony uzgadniają, że Wynagrodzenie będzie naliczane w oparciu o rzeczywistą wartość rynkową.</w:instrText>
            </w:r>
          </w:p>
        </w:tc>
      </w:tr>
    </w:tbl>
    <w:p w14:paraId="49E9475E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E0A27" w:rsidRPr="00F200C9" w14:paraId="674C737A" w14:textId="77777777" w:rsidTr="008E0A27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 w14:paraId="730A1A20" w14:textId="77777777" w:rsidR="008E0A27" w:rsidRPr="00387383" w:rsidRDefault="008E0A27" w:rsidP="008E0A27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 w:rsidRPr="00744844">
              <w:rPr>
                <w:rFonts w:ascii="Calibri" w:hAnsi="Calibri" w:cs="Calibri"/>
                <w:sz w:val="22"/>
                <w:szCs w:val="22"/>
                <w:lang w:val="pl-PL"/>
              </w:rPr>
              <w:t>Lilly dokona płatności po wykonaniu ww. Usługi oraz, o ile ma to zastosowanie,  po przedstawieniu ważnej faktury VAT., oraz Lilly wpłaci środki należne Wykonawcy z tytuły wykonania Usługi na rachunek bankowy wskazany w Formularzu Informacyjnym Wykonawcy lub na fakturze VAT. Prosimy o zawiadomienie Lilly o wszelkich zmianach danych dotyczących Pana/Pani rachunku bankowego. Za wyjątkiem obowiązków ciążących na Lilly z mocy prawa, wszelkie obowiązki podatkowe i fiskalne powstałe w związku z zawarciem niniejszej Umowy ciążą na Wykonawcy.</w:t>
            </w:r>
          </w:p>
          <w:p w14:paraId="65992FBD" w14:textId="77777777" w:rsidR="008E0A27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Lilly jest zobowiązana do przestrzegania Kodeksu Dobrych 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>Praktyk Przemysłu Farmaceutycznego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oraz Kodeksu Przejrzystości Związ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>k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u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 xml:space="preserve"> Pracodawców Innowacyjnych Firm Farmaceutycznych INFARMA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(„</w: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t>Kodeks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”), który wymaga zachowania przejrzystości w odniesieniu do  Transferów wartości dokonywanych przez Firmę farmaceutyczną na rzecz Pracowników Służby Zdrowia oraz Organizacji Służby Zdrowia. W celu spełnienia tego wymogu Lilly ma prawo podać do powszechnej wiadomości, z zachowaniem norm prawa ochrony danych osobowych, za pośrednictwem strony internetowej należącej do Lilly, i/lub INFARMA wartości przekazane na rzecz Wykonawcy.</w:t>
            </w:r>
          </w:p>
          <w:p w14:paraId="40C95813" w14:textId="77777777" w:rsidR="008E0A27" w:rsidRDefault="008E0A27" w:rsidP="008E0A27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0744B8C2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Takie ujawnienie, o którym mowa powyżej, odbywa się na podstawie zgody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Wykonawcy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. Lilly gromadzi otrzymane zgody wyrażone na odrębnym formularzu zgody. W przypadku udzielenia zgody przez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Wykonawcę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, informacje będą ujawniane raz do roku, a każdy okres sprawozdawczy obejmie pełny rok kalendarzowy („Okres Sprawozdawczy”). Pierwszym Okresem Sprawozdawczym będzie rok kalendarzowy 2015; w odniesieniu do danych z 2015 roku ujawnienie nastąpi do połowy 2016 roku, a w odniesieniu do danych za okres sprawozdawczy 2016, ujawnienie nastąpi do połowy roku 2017.</w:t>
            </w:r>
          </w:p>
          <w:p w14:paraId="72709482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3B848E1B" w14:textId="2B30551F" w:rsidR="008E0A27" w:rsidRPr="00A90631" w:rsidRDefault="008E0A27" w:rsidP="006426B5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Dodatkowo, w ramach Programu </w:t>
            </w:r>
            <w:r w:rsidRPr="00387383">
              <w:rPr>
                <w:rFonts w:ascii="Calibri" w:hAnsi="Calibri" w:cs="Calibri"/>
                <w:sz w:val="22"/>
                <w:szCs w:val="22"/>
                <w:lang w:val="pl-PL"/>
              </w:rPr>
              <w:t>Przejrzystości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 Lilly, fakt zawarcia niniejszej Umowy będzie podany do wiadomości następujących osób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wskazanych przez Wykonawcę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>: [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Imię, Nazwisko i Instytucja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]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oraz </w:t>
            </w:r>
            <w:r w:rsidRPr="006B5012">
              <w:rPr>
                <w:rFonts w:ascii="Calibri" w:hAnsi="Calibri" w:cs="Calibri"/>
                <w:sz w:val="22"/>
                <w:szCs w:val="22"/>
                <w:lang w:val="pl-PL"/>
              </w:rPr>
              <w:t>[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Imię, Nazwisko i Instytucja</w:t>
            </w:r>
            <w:r w:rsidRPr="006B5012">
              <w:rPr>
                <w:rFonts w:ascii="Calibri" w:hAnsi="Calibri" w:cs="Calibri"/>
                <w:sz w:val="22"/>
                <w:szCs w:val="22"/>
                <w:lang w:val="pl-PL"/>
              </w:rPr>
              <w:t>]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. </w:t>
            </w:r>
            <w:r w:rsidRPr="00387383">
              <w:rPr>
                <w:rFonts w:ascii="Calibri" w:hAnsi="Calibri" w:cs="Calibri"/>
                <w:sz w:val="22"/>
                <w:szCs w:val="22"/>
                <w:lang w:val="pl-PL"/>
              </w:rPr>
              <w:t xml:space="preserve">W przypadku zmiany 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powyższych informacji Wykonawca zawiadomi Lilly na następujący </w:t>
            </w:r>
            <w:r w:rsidRPr="00A90631">
              <w:rPr>
                <w:rFonts w:ascii="Calibri" w:hAnsi="Calibri" w:cs="Calibri"/>
                <w:sz w:val="22"/>
                <w:szCs w:val="22"/>
                <w:lang w:val="pl-PL"/>
              </w:rPr>
              <w:t xml:space="preserve">adres </w:t>
            </w:r>
            <w:r w:rsidR="00A90631" w:rsidRPr="00A90631">
              <w:rPr>
                <w:rFonts w:ascii="Calibri" w:hAnsi="Calibri" w:cs="Calibri"/>
                <w:sz w:val="22"/>
                <w:szCs w:val="22"/>
                <w:lang w:val="pl-PL"/>
              </w:rPr>
              <w:t xml:space="preserve">email: </w:t>
            </w:r>
            <w:r w:rsidR="00A90631">
              <w:rPr>
                <w:rFonts w:ascii="Calibri" w:hAnsi="Calibri" w:cs="Calibri"/>
                <w:sz w:val="22"/>
                <w:szCs w:val="22"/>
                <w:lang w:val="pl-PL"/>
              </w:rPr>
              <w:t>Lilly_Polska_CMS@lilly.com</w:t>
            </w:r>
          </w:p>
        </w:tc>
      </w:tr>
    </w:tbl>
    <w:p w14:paraId="54AA88F5" w14:textId="77777777" w:rsidR="008E0A27" w:rsidRDefault="008E0A27" w:rsidP="006426B5">
      <w:pPr>
        <w:jc w:val="both"/>
        <w:rPr>
          <w:rFonts w:ascii="Arial" w:hAnsi="Arial" w:cs="Arial"/>
          <w:sz w:val="22"/>
          <w:szCs w:val="22"/>
          <w:lang w:val="da-DK" w:eastAsia="da-DK" w:bidi="da-DK"/>
        </w:rPr>
      </w:pPr>
    </w:p>
    <w:p w14:paraId="1563BE10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737C16EC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19CB7278" w14:textId="77777777" w:rsidR="008E0A27" w:rsidRDefault="008E0A27" w:rsidP="008E0A27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znajdujące zastosowanie do Spotkań o charakterze promocyjnym</w:instrText>
            </w:r>
          </w:p>
          <w:p w14:paraId="2CF33565" w14:textId="77777777" w:rsidR="008E0A27" w:rsidRDefault="008E0A27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 przypadku, gdy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zobowiąże się do przeprowadzenia prezentacji na rzecz Lilly, oraz gdy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odpowiedzialny za opracowanie materiałów do prezentacji, materiały opracowane przez Wykonawcę:</w:instrText>
            </w:r>
          </w:p>
          <w:p w14:paraId="09542854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przekazane Lilly drogą elektroniczną na co najmniej [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wstaw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7C9BE0AD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zostać opracowane w sposób całkowicie zgodny z pozwoleniem na dopuszczenie do obrotu Produktu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(Product authorization)/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charakterystyką Produktu w kraju, w którym odbywa się prezentacja, oraz nie będą zawierać informacji dotyczących badanych cząsteczek (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investigational molecules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), nowych wskazań, rozszerzenia linii produktu (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line extensions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 itp.;</w:instrText>
            </w:r>
          </w:p>
          <w:p w14:paraId="0307359A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>muszą ujawniać wszelkie powiązania Wykonawcy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</w:p>
          <w:p w14:paraId="46A00606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mogą podlegać żadnym zmianom po ich weryfikacji przez Lilly; wszelkie zmiany wymagają ponownej weryfikacji materiałów przez Lilly przed ich wykorzystaniem.</w:instrText>
            </w:r>
          </w:p>
          <w:p w14:paraId="0413ED0D" w14:textId="77777777" w:rsidR="008E0A27" w:rsidRDefault="008E0A27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 przypadku, w którym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 się do słuchaczy o zapoznanie się z pozwoleniem na dopuszczenie do obrotu Produktu /charakterystyką Produktu.</w:instrText>
            </w:r>
          </w:p>
          <w:p w14:paraId="757A64DB" w14:textId="0B79C02D" w:rsidR="006426B5" w:rsidRDefault="008E0A27" w:rsidP="00B53514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Lilly zapewni sprzęt audio-wideo, niezbędny w celu przeprowadzenia prezentacji, który to sprzęt może obejmować laptop, rzutnik oraz mikrofon.</w:instrText>
            </w:r>
          </w:p>
        </w:tc>
      </w:tr>
    </w:tbl>
    <w:p w14:paraId="7A885531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1A13F217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C40FE" w14:textId="77777777" w:rsidR="00A90631" w:rsidRDefault="00A90631" w:rsidP="00A90631">
            <w:pPr>
              <w:spacing w:afterLines="60" w:after="144"/>
              <w:rPr>
                <w:rFonts w:ascii="Calibri" w:hAnsi="Calibri" w:cs="Arial"/>
                <w:b/>
                <w:bCs/>
                <w:color w:val="FF0000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dotyczące Spotkań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o charakterze edukacyjno- zdrowotnym</w:instrText>
            </w:r>
          </w:p>
          <w:p w14:paraId="6286319A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przypadku, gdy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zobowiąże się do przeprowadzenia prezentacji na Spotkaniu o charakterze edukacyjno-zdrowotnym (oraz gdy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odpowiedzialny za opracowanie materiałów dla celów ww. prezentacji), prezentacja:</w:instrText>
            </w:r>
          </w:p>
          <w:p w14:paraId="5129DF4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musi zostać przekazana Lilly drogą elektroniczną na co najmniej [wstaw]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4E6763B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może zawierać markowych elementów charakterystycznych dla produktu (np. nazw handlowych, znaków towarowych, kolorów i znaków wodnych produktu); jednakże, w przypadku, gdy mowa będzie o opcjach terapii, należy uwzględnić różne dopuszczone i ogólnie przyjęte oraz odpowiednie opcje leczenia terapeutycznego, zaś informacje dotyczące każdej opcji leczenia powinny być zgodne z pozwoleniem na dopuszczenie do obrotu Produktu / charakterystyką Produktu w kraju, w którym odbywa się prezentacja, właściwie wyważone pod względem treści, formatowania oraz czasu poświęconego na ich omawianie, a także nie powinny być przedstawiane w formie zestawienia (chyba, że w ramach bezpośredniego badania porównawczego (typu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head-to-head trial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));</w:instrText>
            </w:r>
          </w:p>
          <w:p w14:paraId="6F690A71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może zawierać informacji dotyczących badanych cząsteczek, nowych wskazań, rozszerzenia linii produktu itp. Krótka wzmianka o Badanych Cząsteczkach będących w fazie badań klinicznych może zostać zawarta w ramach Sympozjum Satelitarnego pod warunkiem spełnienia dodatkowych wymogów, które Lilly zapewni w ramach przygotowawczego spotkania informacyjnego, jeśli zajdzie taka potrzeba;</w:instrText>
            </w:r>
          </w:p>
          <w:p w14:paraId="2BC27C4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musi ujawniać wszelkie powiązania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</w:p>
          <w:p w14:paraId="5F266092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może podlegać żadnym zmianom po ich weryfikacji przez Lilly; wszelkie zmiany wymagają ponownej weryfikacji materiałów przez Lilly przed ich wykorzystaniem.</w:instrText>
            </w:r>
          </w:p>
          <w:p w14:paraId="5E53A464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Jeśli uczestnik spotkania, z własnej inicjatywy, zwróci się o informacje, które nie są zawarte w pozwoleniu na dopuszczenie do obrotu Produktu / charakterystyce Produktu lub są z nimi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 xml:space="preserve">niezgodne (włączając w to informacje dotyczące niezarejestrowanych produktów, wskazań, dawek, form podania, schematów dawkowania, terapii skojarzonej i bezpieczeństwa),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się do słuchaczy o zapoznanie się z pozwoleniem na dopuszczenie do obrotu Produktu /charakterystyką Produktu.</w:instrText>
            </w:r>
          </w:p>
          <w:p w14:paraId="49D68AF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0709B290" w14:textId="780B348F" w:rsidR="006426B5" w:rsidRDefault="006426B5" w:rsidP="00864B00">
            <w:pPr>
              <w:pStyle w:val="Default"/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</w:tr>
    </w:tbl>
    <w:p w14:paraId="0A3B238A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"="Scientific E</w:instrText>
      </w:r>
      <w:r>
        <w:rPr>
          <w:rFonts w:ascii="Arial" w:hAnsi="Arial" w:cs="Arial"/>
          <w:sz w:val="22"/>
          <w:szCs w:val="22"/>
        </w:rPr>
        <w:instrText>x</w:instrText>
      </w:r>
      <w:r>
        <w:rPr>
          <w:rFonts w:ascii="Arial" w:hAnsi="Arial" w:cs="Arial"/>
          <w:sz w:val="22"/>
          <w:szCs w:val="22"/>
        </w:rPr>
        <w:instrText>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0E1C68D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56C7408" w14:textId="77777777" w:rsidR="00A90631" w:rsidRDefault="00A90631" w:rsidP="00A90631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dotyczące wystąpień podczas Spotkań o charakterze wymiany naukowej</w:instrText>
            </w:r>
          </w:p>
          <w:p w14:paraId="1CAC249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opracuje własną prezentację zawierającą oświadczenia, stwierdzające, że: 1) poglądy zawarte w prezentacji są jego osobistymi poglądami i nie muszą odzwierciedlać poglądów Lilly; 2) zaangażowanie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spotkanie jest sponsorowane przez Lilly; które także 3) ujawnią wszelkie powiązania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>Wykonawca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 Lilly (takie jak: konsultant, doradca, badacz lub inwestor). Ponadto, zawartość prezentacji nie może zawierać markowych elementów charakterystycznych dla produktu (np. nazw handlowych, znaków towarowych, kolorów i znaków wodnych produktu); korporacyjne oznakowanie Lilly musi zostać zawarte w materiałach. Treść materiałów musi być obiektywna, oparta na dostępnych dowodach, zrównoważona oraz musi mieć charakter niepromocyjny. </w:instrText>
            </w:r>
          </w:p>
          <w:p w14:paraId="13053603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przekaże Lilly kopię prezentacji na co najmniej [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wstaw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] dni robocze / roboczych przed terminem prezentacji w celu umożliwienia Lilly weryfikacji naukowej poprawności wszelkich danych dotyczących Lilly i/lub zgodności prezentacji z lokalnym kodeksem branżowym, przepisami prawa i regulacjami.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wprowadzi wszelkie poprawki, zasadnie żądane przez Lilly, w celu odzwierciedlenia lokalnych wymogów.</w:instrText>
            </w:r>
          </w:p>
          <w:p w14:paraId="49F5D38D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zakresie, w jakim prezentacja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zawiera informacje dotyczące cząsteczek badanych przez </w:instrTex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pl-PL"/>
              </w:rPr>
              <w:instrText xml:space="preserve">Lilly lub produktów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Lilly, które nie są objęte pozwoleniem na dopuszczenie do obrotu Produktu / charakterystyką Produktu w kraju, w którym odbywa się prezentacja (tj. informacje niezawarte w charakterystyce produktu), informacje te muszą być nowe (nie więcej niż 12 miesięcy po pełnej publikacji w czasopiśmie naukowym), odzwierciedlające ostatnie postępy w danej dziedzinie.</w:instrText>
            </w:r>
          </w:p>
          <w:p w14:paraId="76C1A67B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101198B7" w14:textId="65FCFC6B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72EDE693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</w:instrText>
      </w:r>
      <w:r w:rsidRPr="00AB3509">
        <w:rPr>
          <w:rFonts w:ascii="Arial" w:hAnsi="Arial" w:cs="Arial"/>
          <w:sz w:val="22"/>
          <w:szCs w:val="22"/>
        </w:rPr>
        <w:instrText>t</w:instrText>
      </w:r>
      <w:r w:rsidRPr="00AB3509">
        <w:rPr>
          <w:rFonts w:ascii="Arial" w:hAnsi="Arial" w:cs="Arial"/>
          <w:sz w:val="22"/>
          <w:szCs w:val="22"/>
        </w:rPr>
        <w:instrText>ing_Participant_MERC_Types_of_Service_MERC&gt;&gt;</w:instrText>
      </w:r>
      <w:r>
        <w:rPr>
          <w:rFonts w:ascii="Arial" w:hAnsi="Arial" w:cs="Arial"/>
          <w:sz w:val="22"/>
          <w:szCs w:val="22"/>
        </w:rPr>
        <w:instrText>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5E5A27B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4EAF3CC" w14:textId="77777777" w:rsidR="00A90631" w:rsidRDefault="00A90631" w:rsidP="00A90631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6497A22A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Poprzez uczestniczenie w Radzie Doradczej,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283502E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 xml:space="preserve">W ramach pełnienia funkcji członka Rady Doradczej Lilly,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będzie uczestniczyć w posiedzeniach Rady Doradczej, przy czym będzie zawiadamiany o ich terminie i miejscu z wyprzedzeniem.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będzie mógł uczestniczyć w danym posiedzeniu, zawiadomi o tym Lilly najwcześniej, jak będzie to możliwe.</w:instrText>
            </w:r>
          </w:p>
          <w:p w14:paraId="14BDCD29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Ponadto,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zostanie poproszony o przygotowanie materiałów do wykorzystania na posiedzeniu Rady Doradczej Lilly, należy wziąć pod uwagę, że ww. materiały:</w:instrText>
            </w:r>
          </w:p>
          <w:p w14:paraId="507464ED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ujawniać wszelkie powiązania łączące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 prelegent, konsultant, doradca, badacz lub inwestor);</w:instrText>
            </w:r>
          </w:p>
          <w:p w14:paraId="1C50B96F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5FE688ED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2A1FCF61" w14:textId="77777777" w:rsidR="00A90631" w:rsidRPr="00B62CC3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36A47646" w14:textId="7E4B2C2F" w:rsidR="006426B5" w:rsidRDefault="006426B5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43B2212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</w:instrText>
      </w:r>
      <w:r w:rsidRPr="00AB3509">
        <w:rPr>
          <w:rFonts w:ascii="Arial" w:hAnsi="Arial" w:cs="Arial"/>
          <w:sz w:val="22"/>
          <w:szCs w:val="22"/>
        </w:rPr>
        <w:instrText>t</w:instrText>
      </w:r>
      <w:r w:rsidRPr="00AB3509">
        <w:rPr>
          <w:rFonts w:ascii="Arial" w:hAnsi="Arial" w:cs="Arial"/>
          <w:sz w:val="22"/>
          <w:szCs w:val="22"/>
        </w:rPr>
        <w:instrText>ing_Participant_MERC_Types_of_Service_MERC&gt;&gt;</w:instrText>
      </w:r>
      <w:r>
        <w:rPr>
          <w:rFonts w:ascii="Arial" w:hAnsi="Arial" w:cs="Arial"/>
          <w:sz w:val="22"/>
          <w:szCs w:val="22"/>
        </w:rPr>
        <w:instrText xml:space="preserve">"="Advisory Board - </w:instrText>
      </w:r>
      <w:r>
        <w:rPr>
          <w:rFonts w:ascii="Arial" w:hAnsi="Arial" w:cs="Arial"/>
          <w:b/>
          <w:sz w:val="22"/>
          <w:szCs w:val="22"/>
        </w:rPr>
        <w:instrText>Participant"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CDDB50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6102FD1" w14:textId="77777777" w:rsidR="00B53514" w:rsidRDefault="00B53514" w:rsidP="00B53514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3607194D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Poprzez uczestniczenie w Radzie Doradczej,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4962778A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ramach pełnienia funkcji członka Rady Doradczej Lilly,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będzie uczestniczyć w posiedzeniach Rady Doradczej, przy czym będzie zawiadamiany o ich terminie i miejscu z wyprzedzeniem.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będzie mógł uczestniczyć w danym posiedzeniu, zawiadomi o tym Lilly najwcześniej, jak będzie to możliwe.</w:instrText>
            </w:r>
          </w:p>
          <w:p w14:paraId="6190B76E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Ponadto,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zostanie poproszony o przygotowanie materiałów do wykorzystania na posiedzeniu Rady Doradczej Lilly, należy wziąć pod uwagę, że ww. materiały:</w:instrText>
            </w:r>
          </w:p>
          <w:p w14:paraId="07D9F00C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ujawniać wszelkie powiązania łączące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 prelegent, konsultant, doradca, badacz lub inwestor);</w:instrText>
            </w:r>
          </w:p>
          <w:p w14:paraId="4EDAC437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39A6533D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3CD41C28" w14:textId="77777777" w:rsidR="00B53514" w:rsidRPr="00B62CC3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101ABD52" w14:textId="77777777" w:rsidR="006426B5" w:rsidRDefault="006426B5" w:rsidP="00E94D03">
            <w:pPr>
              <w:shd w:val="clear" w:color="auto" w:fill="F5F5F5"/>
              <w:ind w:left="425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>• Be reviewed by Lilly prior to its use at the Advisory Board.</w:instrText>
            </w:r>
          </w:p>
        </w:tc>
      </w:tr>
    </w:tbl>
    <w:p w14:paraId="107696E7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  <w:lang w:val="da-DK" w:eastAsia="da-DK" w:bidi="da-DK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IF" 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</w:rPr>
        <w:instrText>"="Speaker training"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CDE9EB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42F32BE" w14:textId="3FD11EC9" w:rsidR="006426B5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4D5">
              <w:rPr>
                <w:rFonts w:ascii="Calibri" w:hAnsi="Calibri" w:cs="Calibri"/>
                <w:sz w:val="22"/>
                <w:szCs w:val="22"/>
                <w:lang w:val="pl-PL"/>
              </w:rPr>
              <w:instrText>Szczegółowe warunki odnoszące się do Szkolenia wykładowców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</w:p>
          <w:p w14:paraId="5496E6CD" w14:textId="77777777" w:rsidR="00B53514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BA8DCD" w14:textId="77777777" w:rsidR="006426B5" w:rsidRDefault="006426B5" w:rsidP="00864B00">
            <w:pPr>
              <w:jc w:val="both"/>
              <w:rPr>
                <w:rFonts w:ascii="Arial" w:hAnsi="Arial" w:cs="Arial"/>
                <w:sz w:val="18"/>
                <w:szCs w:val="18"/>
                <w:lang w:val="da-DK" w:eastAsia="da-DK" w:bidi="da-DK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>(Affiliates to insert any existing language if needed unless standard language for this avai</w:instrText>
            </w:r>
            <w:r>
              <w:rPr>
                <w:rFonts w:ascii="Arial" w:hAnsi="Arial" w:cs="Arial"/>
                <w:sz w:val="22"/>
                <w:szCs w:val="22"/>
              </w:rPr>
              <w:instrText>l</w:instrText>
            </w:r>
            <w:r>
              <w:rPr>
                <w:rFonts w:ascii="Arial" w:hAnsi="Arial" w:cs="Arial"/>
                <w:sz w:val="22"/>
                <w:szCs w:val="22"/>
              </w:rPr>
              <w:instrText>able)</w:instrText>
            </w:r>
          </w:p>
        </w:tc>
      </w:tr>
    </w:tbl>
    <w:p w14:paraId="337C3AB0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</w:p>
    <w:p w14:paraId="3FE438BF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3828AB64" w14:textId="77777777" w:rsidR="00B53514" w:rsidRDefault="00B53514" w:rsidP="00B53514">
      <w:pPr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lastRenderedPageBreak/>
        <w:t>Z poważaniem,</w:t>
      </w:r>
    </w:p>
    <w:p w14:paraId="0EA1E6E5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74239AFB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045"/>
        <w:gridCol w:w="3135"/>
      </w:tblGrid>
      <w:tr w:rsidR="006426B5" w14:paraId="04DDA423" w14:textId="77777777" w:rsidTr="00864B00">
        <w:trPr>
          <w:trHeight w:val="619"/>
        </w:trPr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851C1B" w14:textId="77777777" w:rsidR="00B53514" w:rsidRDefault="00B53514" w:rsidP="00B53514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>[Podpis przedstawiciela Lilly], Data</w:t>
            </w:r>
          </w:p>
          <w:p w14:paraId="14FD8D71" w14:textId="48918AC2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5E27DE13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  <w:p w14:paraId="3A7F5752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245A527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</w:tr>
      <w:tr w:rsidR="006426B5" w14:paraId="3A88CFDE" w14:textId="77777777" w:rsidTr="00864B00">
        <w:trPr>
          <w:trHeight w:val="794"/>
        </w:trPr>
        <w:tc>
          <w:tcPr>
            <w:tcW w:w="60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F261BA" w14:textId="77777777" w:rsidR="00B53514" w:rsidRDefault="00B53514" w:rsidP="00B53514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>Podpis Wykonawcy, Data</w:t>
            </w:r>
          </w:p>
          <w:p w14:paraId="45EE7375" w14:textId="1D92707E" w:rsidR="006426B5" w:rsidRDefault="006426B5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67D037CD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lang w:val="da-DK" w:eastAsia="da-DK" w:bidi="da-DK"/>
              </w:rPr>
            </w:pPr>
          </w:p>
          <w:p w14:paraId="39F9ADAE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</w:tr>
    </w:tbl>
    <w:p w14:paraId="2D9B4174" w14:textId="77777777" w:rsidR="006426B5" w:rsidRPr="00377CD2" w:rsidRDefault="006426B5" w:rsidP="006426B5"/>
    <w:p w14:paraId="0E0A05C9" w14:textId="60BCECB0" w:rsidR="00720288" w:rsidRPr="00376C7D" w:rsidRDefault="00720288" w:rsidP="006426B5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3971D" w14:textId="77777777" w:rsidR="00141A3E" w:rsidRDefault="00141A3E">
      <w:r>
        <w:separator/>
      </w:r>
    </w:p>
  </w:endnote>
  <w:endnote w:type="continuationSeparator" w:id="0">
    <w:p w14:paraId="34A266C4" w14:textId="77777777" w:rsidR="00141A3E" w:rsidRDefault="001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F200C9" w:rsidRPr="00F200C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8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B73D5" w14:textId="77777777" w:rsidR="00141A3E" w:rsidRDefault="00141A3E">
      <w:r>
        <w:separator/>
      </w:r>
    </w:p>
  </w:footnote>
  <w:footnote w:type="continuationSeparator" w:id="0">
    <w:p w14:paraId="5E0FF85B" w14:textId="77777777" w:rsidR="00141A3E" w:rsidRDefault="00141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C2154" w14:textId="77EF8930" w:rsidR="00303595" w:rsidRDefault="00303595">
    <w:pPr>
      <w:pStyle w:val="Header"/>
    </w:pPr>
    <w:r w:rsidRPr="003035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16042B" wp14:editId="32D32D3F">
          <wp:simplePos x="0" y="0"/>
          <wp:positionH relativeFrom="page">
            <wp:posOffset>5322570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3E4DCF"/>
    <w:multiLevelType w:val="hybridMultilevel"/>
    <w:tmpl w:val="F67A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oNotDisplayPageBoundaries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92C77"/>
    <w:rsid w:val="00135E00"/>
    <w:rsid w:val="00141A3E"/>
    <w:rsid w:val="001B584E"/>
    <w:rsid w:val="00296E48"/>
    <w:rsid w:val="00303595"/>
    <w:rsid w:val="00317B0B"/>
    <w:rsid w:val="00376C7D"/>
    <w:rsid w:val="003F63A9"/>
    <w:rsid w:val="00451B12"/>
    <w:rsid w:val="00621F7A"/>
    <w:rsid w:val="006426B5"/>
    <w:rsid w:val="00720288"/>
    <w:rsid w:val="007230ED"/>
    <w:rsid w:val="007C6325"/>
    <w:rsid w:val="007D04E0"/>
    <w:rsid w:val="00881296"/>
    <w:rsid w:val="008B1DE2"/>
    <w:rsid w:val="008E0A27"/>
    <w:rsid w:val="00915D8A"/>
    <w:rsid w:val="009903ED"/>
    <w:rsid w:val="009E417D"/>
    <w:rsid w:val="00A53910"/>
    <w:rsid w:val="00A55AFD"/>
    <w:rsid w:val="00A90631"/>
    <w:rsid w:val="00AD5FB5"/>
    <w:rsid w:val="00B52352"/>
    <w:rsid w:val="00B53514"/>
    <w:rsid w:val="00B662FB"/>
    <w:rsid w:val="00C06FA8"/>
    <w:rsid w:val="00C23A95"/>
    <w:rsid w:val="00C30A4F"/>
    <w:rsid w:val="00CB04FC"/>
    <w:rsid w:val="00CF31B7"/>
    <w:rsid w:val="00DA51CA"/>
    <w:rsid w:val="00E25A0F"/>
    <w:rsid w:val="00E94D03"/>
    <w:rsid w:val="00EB665A"/>
    <w:rsid w:val="00ED65D1"/>
    <w:rsid w:val="00F200C9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9C4DF038-702F-4804-BA25-FFAA528E14E8}"/>
</file>

<file path=customXml/itemProps5.xml><?xml version="1.0" encoding="utf-8"?>
<ds:datastoreItem xmlns:ds="http://schemas.openxmlformats.org/officeDocument/2006/customXml" ds:itemID="{D8A21302-BF9A-463F-9F05-639C28F7D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18519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8</cp:revision>
  <cp:lastPrinted>2000-04-05T18:26:00Z</cp:lastPrinted>
  <dcterms:created xsi:type="dcterms:W3CDTF">2014-10-08T12:27:00Z</dcterms:created>
  <dcterms:modified xsi:type="dcterms:W3CDTF">2014-10-09T10:27:00Z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