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gridCol w:w="2080"/>
      </w:tblGrid>
      <w:tr>
        <w:tc>
          <w:tcPr>
            <w:tcW w:type="dxa" w:w="2000"/>
            <w:tcBorders>
              <w:top w:val="none" w:color="FFFFFF" w:sz="0"/>
              <w:left w:val="none" w:color="FFFFFF" w:sz="0"/>
              <w:bottom w:val="none" w:color="FFFFFF" w:sz="0"/>
              <w:right w:val="none" w:color="FFFFFF" w:sz="0"/>
            </w:tcBorders>
            <w:shd w:fill="00B4D8" w:val="clear"/>
          </w:tcPr>
          <w:p>
            <w:r>
              <w:t xml:space="preserve"/>
            </w:r>
          </w:p>
        </w:tc>
        <w:tc>
          <w:tcPr>
            <w:tcW w:type="dxa" w:w="6000"/>
            <w:tcBorders>
              <w:top w:val="none" w:color="FFFFFF" w:sz="0"/>
              <w:left w:val="none" w:color="FFFFFF" w:sz="0"/>
              <w:bottom w:val="none" w:color="FFFFFF" w:sz="0"/>
              <w:right w:val="none" w:color="FFFFFF" w:sz="0"/>
            </w:tcBorders>
            <w:shd w:fill="0D1B2A" w:val="clear"/>
          </w:tcPr>
          <w:p>
            <w:r>
              <w:t xml:space="preserve"/>
            </w:r>
          </w:p>
        </w:tc>
        <w:tc>
          <w:tcPr>
            <w:tcW w:type="dxa" w:w="2080"/>
            <w:tcBorders>
              <w:top w:val="none" w:color="FFFFFF" w:sz="0"/>
              <w:left w:val="none" w:color="FFFFFF" w:sz="0"/>
              <w:bottom w:val="none" w:color="FFFFFF" w:sz="0"/>
              <w:right w:val="none" w:color="FFFFFF" w:sz="0"/>
            </w:tcBorders>
            <w:shd w:fill="F4A261" w:val="clear"/>
          </w:tcPr>
          <w:p>
            <w:r>
              <w:t xml:space="preserve"/>
            </w:r>
          </w:p>
        </w:tc>
      </w:tr>
    </w:tbl>
    <w:p>
      <w:pPr>
        <w:spacing w:before="320" w:after="320"/>
      </w:pPr>
      <w:r>
        <w:t xml:space="preserve"/>
      </w:r>
    </w:p>
    <w:p>
      <w:pPr>
        <w:spacing w:before="0" w:after="0" w:line="276"/>
        <w:jc w:val="center"/>
      </w:pPr>
      <w:r>
        <w:rPr>
          <w:rFonts w:ascii="Arial" w:cs="Arial" w:eastAsia="Arial" w:hAnsi="Arial"/>
          <w:b/>
          <w:bCs/>
          <w:color w:val="0D1B2A"/>
          <w:sz w:val="80"/>
          <w:szCs w:val="80"/>
        </w:rPr>
        <w:t xml:space="preserve">DIGITAL</w:t>
      </w:r>
    </w:p>
    <w:p>
      <w:pPr>
        <w:spacing w:before="0" w:after="20" w:line="276"/>
        <w:jc w:val="center"/>
      </w:pPr>
      <w:r>
        <w:rPr>
          <w:rFonts w:ascii="Arial" w:cs="Arial" w:eastAsia="Arial" w:hAnsi="Arial"/>
          <w:b/>
          <w:bCs/>
          <w:color w:val="00B4D8"/>
          <w:sz w:val="80"/>
          <w:szCs w:val="80"/>
        </w:rPr>
        <w:t xml:space="preserve">LITERACY</w:t>
      </w:r>
    </w:p>
    <w:p>
      <w:pPr>
        <w:spacing w:before="20" w:after="40" w:line="276"/>
        <w:jc w:val="center"/>
      </w:pPr>
      <w:r>
        <w:rPr>
          <w:rFonts w:ascii="Arial" w:cs="Arial" w:eastAsia="Arial" w:hAnsi="Arial"/>
          <w:color w:val="4A6274"/>
          <w:sz w:val="22"/>
          <w:szCs w:val="22"/>
        </w:rPr>
        <w:t xml:space="preserve">P  O  R  T  F  O  L  I  O</w:t>
      </w:r>
    </w:p>
    <w:p>
      <w:pPr>
        <w:spacing w:before="40" w:after="40"/>
      </w:pPr>
      <w:r>
        <w:t xml:space="preserve"/>
      </w:r>
    </w:p>
    <w:p>
      <w:pPr>
        <w:pBdr>
          <w:bottom w:val="single" w:color="B0CDD8" w:sz="4" w:space="1"/>
        </w:pBdr>
        <w:spacing w:before="100" w:after="100" w:line="276"/>
      </w:pPr>
      <w:r>
        <w:t xml:space="preserve"/>
      </w:r>
    </w:p>
    <w:p>
      <w:pPr>
        <w:spacing w:before="40" w:after="40"/>
      </w:pPr>
      <w:r>
        <w:t xml:space="preserve"/>
      </w:r>
    </w:p>
    <w:p>
      <w:pPr>
        <w:spacing w:before="0" w:after="80" w:line="276"/>
        <w:jc w:val="center"/>
      </w:pPr>
      <w:r>
        <w:rPr>
          <w:rFonts w:ascii="Arial" w:cs="Arial" w:eastAsia="Arial" w:hAnsi="Arial"/>
          <w:i/>
          <w:iCs/>
          <w:color w:val="0077A3"/>
          <w:sz w:val="24"/>
          <w:szCs w:val="24"/>
        </w:rPr>
        <w:t xml:space="preserve">CSE0001 — Digital Literacy  |  Project Report</w:t>
      </w:r>
    </w:p>
    <w:p>
      <w:pPr>
        <w:spacing w:before="160" w:after="1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B4D8" w:sz="6"/>
              <w:left w:val="single" w:color="00B4D8" w:sz="24"/>
              <w:bottom w:val="none" w:color="FFFFFF" w:sz="0"/>
              <w:right w:val="none" w:color="FFFFFF" w:sz="0"/>
            </w:tcBorders>
            <w:shd w:fill="ECF2F7" w:val="clear"/>
            <w:tcMar>
              <w:top w:type="dxa" w:w="200"/>
              <w:left w:type="dxa" w:w="360"/>
              <w:bottom w:type="dxa" w:w="200"/>
              <w:right w:type="dxa" w:w="280"/>
            </w:tcMar>
          </w:tcPr>
          <w:p>
            <w:pPr>
              <w:spacing w:before="0" w:after="40" w:line="276"/>
            </w:pPr>
            <w:r>
              <w:rPr>
                <w:rFonts w:ascii="Arial" w:cs="Arial" w:eastAsia="Arial" w:hAnsi="Arial"/>
                <w:b/>
                <w:bCs/>
                <w:color w:val="0D1B2A"/>
                <w:sz w:val="42"/>
                <w:szCs w:val="42"/>
              </w:rPr>
              <w:t xml:space="preserve">Dhruv Bajpai</w:t>
            </w:r>
          </w:p>
          <w:p>
            <w:pPr>
              <w:spacing w:before="0" w:after="60" w:line="276"/>
            </w:pPr>
            <w:r>
              <w:rPr>
                <w:rFonts w:ascii="Arial" w:cs="Arial" w:eastAsia="Arial" w:hAnsi="Arial"/>
                <w:color w:val="00B4D8"/>
                <w:sz w:val="24"/>
                <w:szCs w:val="24"/>
              </w:rPr>
              <w:t xml:space="preserve">23BAI10926</w:t>
            </w:r>
          </w:p>
          <w:p>
            <w:pPr>
              <w:spacing w:before="0" w:after="20" w:line="276"/>
            </w:pPr>
            <w:r>
              <w:rPr>
                <w:rFonts w:ascii="Arial" w:cs="Arial" w:eastAsia="Arial" w:hAnsi="Arial"/>
                <w:color w:val="4A6274"/>
                <w:sz w:val="21"/>
                <w:szCs w:val="21"/>
              </w:rPr>
              <w:t xml:space="preserve">B.Tech Computer Science &amp; Engineering  |  First Year</w:t>
            </w:r>
          </w:p>
          <w:p>
            <w:pPr>
              <w:spacing w:before="0" w:after="20" w:line="276"/>
            </w:pPr>
            <w:r>
              <w:rPr>
                <w:rFonts w:ascii="Arial" w:cs="Arial" w:eastAsia="Arial" w:hAnsi="Arial"/>
                <w:color w:val="4A6274"/>
                <w:sz w:val="21"/>
                <w:szCs w:val="21"/>
              </w:rPr>
              <w:t xml:space="preserve">VIT Bhopal University  |  Academic Year 2025–26</w:t>
            </w:r>
          </w:p>
        </w:tc>
      </w:tr>
      <w:tr>
        <w:tc>
          <w:tcPr>
            <w:tcW w:type="dxa" w:w="7200"/>
            <w:tcBorders>
              <w:top w:val="none" w:color="FFFFFF" w:sz="0"/>
              <w:left w:val="single" w:color="F4A261" w:sz="24"/>
              <w:bottom w:val="single" w:color="F4A261" w:sz="6"/>
              <w:right w:val="none" w:color="FFFFFF" w:sz="0"/>
            </w:tcBorders>
            <w:shd w:fill="FFF3E8" w:val="clear"/>
            <w:tcMar>
              <w:top w:type="dxa" w:w="140"/>
              <w:left w:type="dxa" w:w="360"/>
              <w:bottom w:type="dxa" w:w="140"/>
              <w:right w:type="dxa" w:w="280"/>
            </w:tcMar>
          </w:tcPr>
          <w:p>
            <w:r>
              <w:rPr>
                <w:rFonts w:ascii="Arial" w:cs="Arial" w:eastAsia="Arial" w:hAnsi="Arial"/>
                <w:b/>
                <w:bCs/>
                <w:color w:val="F4A261"/>
                <w:sz w:val="20"/>
                <w:szCs w:val="20"/>
              </w:rPr>
              <w:t xml:space="preserve">Student Digital Ambassador  </w:t>
            </w:r>
            <w:r>
              <w:rPr>
                <w:rFonts w:ascii="Arial" w:cs="Arial" w:eastAsia="Arial" w:hAnsi="Arial"/>
                <w:color w:val="4A6274"/>
                <w:sz w:val="20"/>
                <w:szCs w:val="20"/>
              </w:rPr>
              <w:t xml:space="preserve">—  AI/ML Enthusiast  |  Full-Stack Developer  |  Automation Architect</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CDD8" w:sz="4"/>
              <w:left w:val="single" w:color="B0CDD8" w:sz="4"/>
              <w:bottom w:val="single" w:color="B0CDD8" w:sz="4"/>
              <w:right w:val="single" w:color="B0CDD8" w:sz="4"/>
            </w:tcBorders>
            <w:shd w:fill="FFF3E8" w:val="clear"/>
            <w:tcMar>
              <w:top w:type="dxa" w:w="120"/>
              <w:left w:type="dxa" w:w="160"/>
              <w:bottom w:type="dxa" w:w="120"/>
              <w:right w:type="dxa" w:w="160"/>
            </w:tcMar>
            <w:vAlign w:val="center"/>
          </w:tcPr>
          <w:p>
            <w:pPr>
              <w:jc w:val="center"/>
            </w:pPr>
            <w:r>
              <w:rPr>
                <w:rFonts w:ascii="Arial" w:cs="Arial" w:eastAsia="Arial" w:hAnsi="Arial"/>
                <w:b/>
                <w:bCs/>
                <w:color w:val="F4A261"/>
                <w:sz w:val="36"/>
                <w:szCs w:val="36"/>
              </w:rPr>
              <w:t xml:space="preserve">5</w:t>
            </w:r>
          </w:p>
          <w:p>
            <w:pPr>
              <w:spacing w:before="40" w:after="0" w:line="276"/>
              <w:jc w:val="center"/>
            </w:pPr>
            <w:r>
              <w:rPr>
                <w:rFonts w:ascii="Arial" w:cs="Arial" w:eastAsia="Arial" w:hAnsi="Arial"/>
                <w:color w:val="4A6274"/>
                <w:sz w:val="18"/>
                <w:szCs w:val="18"/>
              </w:rPr>
              <w:t xml:space="preserve">Total Tasks</w:t>
            </w:r>
          </w:p>
        </w:tc>
        <w:tc>
          <w:tcPr>
            <w:tcW w:type="dxa" w:w="2340"/>
            <w:tcBorders>
              <w:top w:val="single" w:color="B0CDD8" w:sz="4"/>
              <w:left w:val="single" w:color="B0CDD8" w:sz="4"/>
              <w:bottom w:val="single" w:color="B0CDD8" w:sz="4"/>
              <w:right w:val="single" w:color="B0CDD8" w:sz="4"/>
            </w:tcBorders>
            <w:shd w:fill="FFF3E8" w:val="clear"/>
            <w:tcMar>
              <w:top w:type="dxa" w:w="120"/>
              <w:left w:type="dxa" w:w="160"/>
              <w:bottom w:type="dxa" w:w="120"/>
              <w:right w:type="dxa" w:w="160"/>
            </w:tcMar>
            <w:vAlign w:val="center"/>
          </w:tcPr>
          <w:p>
            <w:pPr>
              <w:jc w:val="center"/>
            </w:pPr>
            <w:r>
              <w:rPr>
                <w:rFonts w:ascii="Arial" w:cs="Arial" w:eastAsia="Arial" w:hAnsi="Arial"/>
                <w:b/>
                <w:bCs/>
                <w:color w:val="F4A261"/>
                <w:sz w:val="36"/>
                <w:szCs w:val="36"/>
              </w:rPr>
              <w:t xml:space="preserve">100</w:t>
            </w:r>
          </w:p>
          <w:p>
            <w:pPr>
              <w:spacing w:before="40" w:after="0" w:line="276"/>
              <w:jc w:val="center"/>
            </w:pPr>
            <w:r>
              <w:rPr>
                <w:rFonts w:ascii="Arial" w:cs="Arial" w:eastAsia="Arial" w:hAnsi="Arial"/>
                <w:color w:val="4A6274"/>
                <w:sz w:val="18"/>
                <w:szCs w:val="18"/>
              </w:rPr>
              <w:t xml:space="preserve">Total Marks</w:t>
            </w:r>
          </w:p>
        </w:tc>
        <w:tc>
          <w:tcPr>
            <w:tcW w:type="dxa" w:w="2340"/>
            <w:tcBorders>
              <w:top w:val="single" w:color="B0CDD8" w:sz="4"/>
              <w:left w:val="single" w:color="B0CDD8" w:sz="4"/>
              <w:bottom w:val="single" w:color="B0CDD8" w:sz="4"/>
              <w:right w:val="single" w:color="B0CDD8" w:sz="4"/>
            </w:tcBorders>
            <w:shd w:fill="FFF3E8" w:val="clear"/>
            <w:tcMar>
              <w:top w:type="dxa" w:w="120"/>
              <w:left w:type="dxa" w:w="160"/>
              <w:bottom w:type="dxa" w:w="120"/>
              <w:right w:type="dxa" w:w="160"/>
            </w:tcMar>
            <w:vAlign w:val="center"/>
          </w:tcPr>
          <w:p>
            <w:pPr>
              <w:jc w:val="center"/>
            </w:pPr>
            <w:r>
              <w:rPr>
                <w:rFonts w:ascii="Arial" w:cs="Arial" w:eastAsia="Arial" w:hAnsi="Arial"/>
                <w:b/>
                <w:bCs/>
                <w:color w:val="F4A261"/>
                <w:sz w:val="36"/>
                <w:szCs w:val="36"/>
              </w:rPr>
              <w:t xml:space="preserve">50</w:t>
            </w:r>
          </w:p>
          <w:p>
            <w:pPr>
              <w:spacing w:before="40" w:after="0" w:line="276"/>
              <w:jc w:val="center"/>
            </w:pPr>
            <w:r>
              <w:rPr>
                <w:rFonts w:ascii="Arial" w:cs="Arial" w:eastAsia="Arial" w:hAnsi="Arial"/>
                <w:color w:val="4A6274"/>
                <w:sz w:val="18"/>
                <w:szCs w:val="18"/>
              </w:rPr>
              <w:t xml:space="preserve">Pass Mark</w:t>
            </w:r>
          </w:p>
        </w:tc>
        <w:tc>
          <w:tcPr>
            <w:tcW w:type="dxa" w:w="2340"/>
            <w:tcBorders>
              <w:top w:val="single" w:color="B0CDD8" w:sz="4"/>
              <w:left w:val="single" w:color="B0CDD8" w:sz="4"/>
              <w:bottom w:val="single" w:color="B0CDD8" w:sz="4"/>
              <w:right w:val="single" w:color="B0CDD8" w:sz="4"/>
            </w:tcBorders>
            <w:shd w:fill="FFF3E8" w:val="clear"/>
            <w:tcMar>
              <w:top w:type="dxa" w:w="120"/>
              <w:left w:type="dxa" w:w="160"/>
              <w:bottom w:type="dxa" w:w="120"/>
              <w:right w:type="dxa" w:w="160"/>
            </w:tcMar>
            <w:vAlign w:val="center"/>
          </w:tcPr>
          <w:p>
            <w:pPr>
              <w:jc w:val="center"/>
            </w:pPr>
            <w:r>
              <w:rPr>
                <w:rFonts w:ascii="Arial" w:cs="Arial" w:eastAsia="Arial" w:hAnsi="Arial"/>
                <w:b/>
                <w:bCs/>
                <w:color w:val="F4A261"/>
                <w:sz w:val="36"/>
                <w:szCs w:val="36"/>
              </w:rPr>
              <w:t xml:space="preserve">1</w:t>
            </w:r>
          </w:p>
          <w:p>
            <w:pPr>
              <w:spacing w:before="40" w:after="0" w:line="276"/>
              <w:jc w:val="center"/>
            </w:pPr>
            <w:r>
              <w:rPr>
                <w:rFonts w:ascii="Arial" w:cs="Arial" w:eastAsia="Arial" w:hAnsi="Arial"/>
                <w:color w:val="4A6274"/>
                <w:sz w:val="18"/>
                <w:szCs w:val="18"/>
              </w:rPr>
              <w:t xml:space="preserve">Credits</w:t>
            </w:r>
          </w:p>
        </w:tc>
      </w:tr>
    </w:tbl>
    <w:p>
      <w:pPr>
        <w:spacing w:before="200"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pPr>
              <w:jc w:val="center"/>
            </w:pPr>
            <w:r>
              <w:rPr>
                <w:rFonts w:ascii="Arial" w:cs="Arial" w:eastAsia="Arial" w:hAnsi="Arial"/>
                <w:color w:val="00B4D8"/>
                <w:sz w:val="20"/>
                <w:szCs w:val="20"/>
              </w:rPr>
              <w:t xml:space="preserve">Submitted via VITyarthi Portal  |  29 March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D8" w:val="clear"/>
            <w:tcMar>
              <w:top w:type="dxa" w:w="100"/>
              <w:left w:type="dxa" w:w="140"/>
              <w:bottom w:type="dxa" w:w="100"/>
              <w:right w:type="dxa" w:w="80"/>
            </w:tcMar>
            <w:vAlign w:val="center"/>
          </w:tcPr>
          <w:p>
            <w:pPr>
              <w:jc w:val="center"/>
            </w:pPr>
            <w:r>
              <w:rPr>
                <w:rFonts w:ascii="Arial" w:cs="Arial" w:eastAsia="Arial" w:hAnsi="Arial"/>
                <w:b/>
                <w:bCs/>
                <w:color w:val="0D1B2A"/>
                <w:sz w:val="26"/>
                <w:szCs w:val="26"/>
              </w:rPr>
              <w:t xml:space="preserve">00</w:t>
            </w:r>
          </w:p>
        </w:tc>
        <w:tc>
          <w:tcPr>
            <w:tcW w:type="dxa" w:w="8640"/>
            <w:tcBorders>
              <w:top w:val="none" w:color="FFFFFF" w:sz="0"/>
              <w:left w:val="none" w:color="FFFFFF" w:sz="0"/>
              <w:bottom w:val="none" w:color="FFFFFF" w:sz="0"/>
              <w:right w:val="none" w:color="FFFFFF" w:sz="0"/>
            </w:tcBorders>
            <w:shd w:fill="0D1B2A" w:val="clear"/>
            <w:tcMar>
              <w:top w:type="dxa" w:w="100"/>
              <w:left w:type="dxa" w:w="200"/>
              <w:bottom w:type="dxa" w:w="100"/>
              <w:right w:type="dxa" w:w="120"/>
            </w:tcMar>
            <w:vAlign w:val="center"/>
          </w:tcPr>
          <w:p>
            <w:r>
              <w:rPr>
                <w:rFonts w:ascii="Arial" w:cs="Arial" w:eastAsia="Arial" w:hAnsi="Arial"/>
                <w:b/>
                <w:bCs/>
                <w:color w:val="FFFFFF"/>
                <w:sz w:val="28"/>
                <w:szCs w:val="28"/>
              </w:rPr>
              <w:t xml:space="preserve">Introduction</w:t>
            </w:r>
          </w:p>
        </w:tc>
      </w:tr>
    </w:tbl>
    <w:p>
      <w:pPr>
        <w:spacing w:before="120" w:after="120"/>
      </w:pPr>
      <w:r>
        <w:t xml:space="preserve"/>
      </w:r>
    </w:p>
    <w:p>
      <w:pPr>
        <w:spacing w:before="80" w:after="80" w:line="300"/>
      </w:pPr>
      <w:r>
        <w:rPr>
          <w:rFonts w:ascii="Arial" w:cs="Arial" w:eastAsia="Arial" w:hAnsi="Arial"/>
          <w:color w:val="1A1A2E"/>
          <w:sz w:val="22"/>
          <w:szCs w:val="22"/>
        </w:rPr>
        <w:t xml:space="preserve">As a Student Digital Ambassador for CSE0001 at VIT Bhopal University, I was tasked with building a complete Digital Literacy Portfolio spanning five modules — each covering a critical dimension of digital competency in today's technology-driven academic and professional landscape.</w:t>
      </w:r>
    </w:p>
    <w:p>
      <w:pPr>
        <w:spacing w:before="60" w:after="60"/>
      </w:pPr>
      <w:r>
        <w:t xml:space="preserve"/>
      </w:r>
    </w:p>
    <w:p>
      <w:pPr>
        <w:spacing w:before="80" w:after="80" w:line="300"/>
      </w:pPr>
      <w:r>
        <w:rPr>
          <w:rFonts w:ascii="Arial" w:cs="Arial" w:eastAsia="Arial" w:hAnsi="Arial"/>
          <w:color w:val="1A1A2E"/>
          <w:sz w:val="22"/>
          <w:szCs w:val="22"/>
        </w:rPr>
        <w:t xml:space="preserve">This report documents my work, decisions, and reflections across all five tasks: from designing an awareness infographic and building professional online profiles, to practising collaboration tools, professional communication, and cybercrime awareness. Every deliverable is organized in a single GitHub repository, which itself serves as a live demonstration of the skills covered in this course.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6"/>
              <w:left w:val="single" w:color="00B4D8" w:sz="24"/>
              <w:bottom w:val="single" w:color="00B4D8" w:sz="6"/>
              <w:right w:val="single" w:color="00B4D8" w:sz="6"/>
            </w:tcBorders>
            <w:shd w:fill="E0F7FC" w:val="clear"/>
            <w:tcMar>
              <w:top w:type="dxa" w:w="120"/>
              <w:left w:type="dxa" w:w="200"/>
              <w:bottom w:type="dxa" w:w="120"/>
              <w:right w:type="dxa" w:w="200"/>
            </w:tcMar>
          </w:tcPr>
          <w:p>
            <w:pPr>
              <w:spacing w:before="40" w:after="40" w:line="280"/>
            </w:pPr>
            <w:r>
              <w:rPr>
                <w:rFonts w:ascii="Arial" w:cs="Arial" w:eastAsia="Arial" w:hAnsi="Arial"/>
                <w:i/>
                <w:iCs/>
                <w:color w:val="1A1A2E"/>
                <w:sz w:val="22"/>
                <w:szCs w:val="22"/>
              </w:rPr>
              <w:t xml:space="preserve">"Digital literacy is not just knowing how to use tools — it is knowing how to use them responsibly, professionally, and safely. This project was a chance to put that into practice from day one."</w:t>
            </w:r>
          </w:p>
        </w:tc>
      </w:tr>
    </w:tbl>
    <w:p>
      <w:pPr>
        <w:spacing w:before="100" w:after="100"/>
      </w:pPr>
      <w:r>
        <w:t xml:space="preserve"/>
      </w:r>
    </w:p>
    <w:p>
      <w:pPr>
        <w:pBdr>
          <w:bottom w:val="single" w:color="B0CDD8" w:sz="4" w:space="1"/>
        </w:pBdr>
        <w:spacing w:before="100" w:after="100" w:line="276"/>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D8" w:val="clear"/>
            <w:tcMar>
              <w:top w:type="dxa" w:w="100"/>
              <w:left w:type="dxa" w:w="140"/>
              <w:bottom w:type="dxa" w:w="100"/>
              <w:right w:type="dxa" w:w="80"/>
            </w:tcMar>
            <w:vAlign w:val="center"/>
          </w:tcPr>
          <w:p>
            <w:pPr>
              <w:jc w:val="center"/>
            </w:pPr>
            <w:r>
              <w:rPr>
                <w:rFonts w:ascii="Arial" w:cs="Arial" w:eastAsia="Arial" w:hAnsi="Arial"/>
                <w:b/>
                <w:bCs/>
                <w:color w:val="0D1B2A"/>
                <w:sz w:val="26"/>
                <w:szCs w:val="26"/>
              </w:rPr>
              <w:t xml:space="preserve">01</w:t>
            </w:r>
          </w:p>
        </w:tc>
        <w:tc>
          <w:tcPr>
            <w:tcW w:type="dxa" w:w="8640"/>
            <w:tcBorders>
              <w:top w:val="none" w:color="FFFFFF" w:sz="0"/>
              <w:left w:val="none" w:color="FFFFFF" w:sz="0"/>
              <w:bottom w:val="none" w:color="FFFFFF" w:sz="0"/>
              <w:right w:val="none" w:color="FFFFFF" w:sz="0"/>
            </w:tcBorders>
            <w:shd w:fill="0D1B2A" w:val="clear"/>
            <w:tcMar>
              <w:top w:type="dxa" w:w="100"/>
              <w:left w:type="dxa" w:w="200"/>
              <w:bottom w:type="dxa" w:w="100"/>
              <w:right w:type="dxa" w:w="120"/>
            </w:tcMar>
            <w:vAlign w:val="center"/>
          </w:tcPr>
          <w:p>
            <w:r>
              <w:rPr>
                <w:rFonts w:ascii="Arial" w:cs="Arial" w:eastAsia="Arial" w:hAnsi="Arial"/>
                <w:b/>
                <w:bCs/>
                <w:color w:val="FFFFFF"/>
                <w:sz w:val="28"/>
                <w:szCs w:val="28"/>
              </w:rPr>
              <w:t xml:space="preserve">Task 1  —  Digital Literacy Awareness Infographic</w:t>
            </w:r>
          </w:p>
        </w:tc>
      </w:tr>
    </w:tbl>
    <w:p>
      <w:pPr>
        <w:spacing w:before="100" w:after="10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Overview</w:t>
      </w:r>
    </w:p>
    <w:p>
      <w:pPr>
        <w:spacing w:before="80" w:after="80" w:line="300"/>
      </w:pPr>
      <w:r>
        <w:rPr>
          <w:rFonts w:ascii="Arial" w:cs="Arial" w:eastAsia="Arial" w:hAnsi="Arial"/>
          <w:color w:val="1A1A2E"/>
          <w:sz w:val="22"/>
          <w:szCs w:val="22"/>
        </w:rPr>
        <w:t xml:space="preserve">For Task 1, I designed a single-page infographic using Canva — a free, browser-based design platform with a rich library of templates and drag-and-drop editing. The infographic was created for a first-year student audience as part of my Digital Ambassador role.</w:t>
      </w:r>
    </w:p>
    <w:p>
      <w:pPr>
        <w:spacing w:before="80" w:after="8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What the Infographic Covers</w:t>
      </w:r>
    </w:p>
    <w:p>
      <w:pPr>
        <w:spacing w:before="80" w:after="80" w:line="300"/>
      </w:pPr>
      <w:r>
        <w:rPr>
          <w:rFonts w:ascii="Arial" w:cs="Arial" w:eastAsia="Arial" w:hAnsi="Arial"/>
          <w:color w:val="1A1A2E"/>
          <w:sz w:val="22"/>
          <w:szCs w:val="22"/>
        </w:rPr>
        <w:t xml:space="preserve">The design deliberately focuses on three high-impact areas for incoming students:</w:t>
      </w:r>
    </w:p>
    <w:p>
      <w:pPr>
        <w:spacing w:before="40" w:after="40"/>
      </w:pPr>
      <w:r>
        <w:t xml:space="preserve"/>
      </w:r>
    </w:p>
    <w:p>
      <w:pPr>
        <w:pStyle w:val="ListParagraph"/>
        <w:numPr>
          <w:ilvl w:val="0"/>
          <w:numId w:val="2"/>
        </w:numPr>
        <w:spacing w:before="40" w:after="40" w:line="280"/>
      </w:pPr>
      <w:r>
        <w:rPr>
          <w:rFonts w:ascii="Arial" w:cs="Arial" w:eastAsia="Arial" w:hAnsi="Arial"/>
          <w:b/>
          <w:bCs/>
          <w:color w:val="1A1A2E"/>
          <w:sz w:val="22"/>
          <w:szCs w:val="22"/>
        </w:rPr>
        <w:t xml:space="preserve">What Digital Literacy Is — A plain-language definition establishing why digital competency matters in academics and beyond.</w:t>
      </w:r>
    </w:p>
    <w:p>
      <w:pPr>
        <w:pStyle w:val="ListParagraph"/>
        <w:numPr>
          <w:ilvl w:val="0"/>
          <w:numId w:val="2"/>
        </w:numPr>
        <w:spacing w:before="40" w:after="40" w:line="280"/>
      </w:pPr>
      <w:r>
        <w:rPr>
          <w:rFonts w:ascii="Arial" w:cs="Arial" w:eastAsia="Arial" w:hAnsi="Arial"/>
          <w:b/>
          <w:bCs/>
          <w:color w:val="1A1A2E"/>
          <w:sz w:val="22"/>
          <w:szCs w:val="22"/>
        </w:rPr>
        <w:t xml:space="preserve">Safe Internet Practices — Actionable tips: strong unique passwords, two-factor authentication, avoiding phishing links, and thinking before sharing personal data.</w:t>
      </w:r>
    </w:p>
    <w:p>
      <w:pPr>
        <w:pStyle w:val="ListParagraph"/>
        <w:numPr>
          <w:ilvl w:val="0"/>
          <w:numId w:val="2"/>
        </w:numPr>
        <w:spacing w:before="40" w:after="40" w:line="280"/>
      </w:pPr>
      <w:r>
        <w:rPr>
          <w:rFonts w:ascii="Arial" w:cs="Arial" w:eastAsia="Arial" w:hAnsi="Arial"/>
          <w:b/>
          <w:bCs/>
          <w:color w:val="1A1A2E"/>
          <w:sz w:val="22"/>
          <w:szCs w:val="22"/>
        </w:rPr>
        <w:t xml:space="preserve">Professional Online Presence — A quick guide to GitHub, LinkedIn, and Kaggle and why curating them early gives students a long-term advantage.</w:t>
      </w:r>
    </w:p>
    <w:p>
      <w:pPr>
        <w:spacing w:before="80" w:after="8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Reflection</w:t>
      </w:r>
    </w:p>
    <w:p>
      <w:pPr>
        <w:spacing w:before="80" w:after="80" w:line="300"/>
      </w:pPr>
      <w:r>
        <w:rPr>
          <w:rFonts w:ascii="Arial" w:cs="Arial" w:eastAsia="Arial" w:hAnsi="Arial"/>
          <w:color w:val="1A1A2E"/>
          <w:sz w:val="22"/>
          <w:szCs w:val="22"/>
        </w:rPr>
        <w:t xml:space="preserve">The most challenging aspect was balancing information density with visual clarity — a one-page infographic cannot hold everything. I had to ruthlessly prioritize the three areas most relevant to first-year students and trust the visual design to do the heavy lifting. Using Canva's icon library, I replaced blocks of text with recognizable symbols to make the poster scannable in under 30 seconds.</w:t>
      </w:r>
    </w:p>
    <w:p>
      <w:pPr>
        <w:spacing w:before="60" w:after="60"/>
      </w:pPr>
      <w:r>
        <w:t xml:space="preserve"/>
      </w:r>
    </w:p>
    <w:p>
      <w:pPr>
        <w:spacing w:before="80" w:after="80" w:line="300"/>
      </w:pPr>
      <w:r>
        <w:rPr>
          <w:rFonts w:ascii="Arial" w:cs="Arial" w:eastAsia="Arial" w:hAnsi="Arial"/>
          <w:color w:val="1A1A2E"/>
          <w:sz w:val="22"/>
          <w:szCs w:val="22"/>
        </w:rPr>
        <w:t xml:space="preserve">One surprising realization: choosing a good colour palette took almost as long as writing the content. Poor contrast between text and background makes an infographic useless, no matter how good the information is.</w:t>
      </w:r>
    </w:p>
    <w:p>
      <w:pPr>
        <w:spacing w:before="100" w:after="100"/>
      </w:pPr>
      <w:r>
        <w:t xml:space="preserve"/>
      </w:r>
    </w:p>
    <w:p>
      <w:pPr>
        <w:pBdr>
          <w:bottom w:val="single" w:color="B0CDD8" w:sz="4" w:space="1"/>
        </w:pBdr>
        <w:spacing w:before="100" w:after="100" w:line="276"/>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D8" w:val="clear"/>
            <w:tcMar>
              <w:top w:type="dxa" w:w="100"/>
              <w:left w:type="dxa" w:w="140"/>
              <w:bottom w:type="dxa" w:w="100"/>
              <w:right w:type="dxa" w:w="80"/>
            </w:tcMar>
            <w:vAlign w:val="center"/>
          </w:tcPr>
          <w:p>
            <w:pPr>
              <w:jc w:val="center"/>
            </w:pPr>
            <w:r>
              <w:rPr>
                <w:rFonts w:ascii="Arial" w:cs="Arial" w:eastAsia="Arial" w:hAnsi="Arial"/>
                <w:b/>
                <w:bCs/>
                <w:color w:val="0D1B2A"/>
                <w:sz w:val="26"/>
                <w:szCs w:val="26"/>
              </w:rPr>
              <w:t xml:space="preserve">02</w:t>
            </w:r>
          </w:p>
        </w:tc>
        <w:tc>
          <w:tcPr>
            <w:tcW w:type="dxa" w:w="8640"/>
            <w:tcBorders>
              <w:top w:val="none" w:color="FFFFFF" w:sz="0"/>
              <w:left w:val="none" w:color="FFFFFF" w:sz="0"/>
              <w:bottom w:val="none" w:color="FFFFFF" w:sz="0"/>
              <w:right w:val="none" w:color="FFFFFF" w:sz="0"/>
            </w:tcBorders>
            <w:shd w:fill="0D1B2A" w:val="clear"/>
            <w:tcMar>
              <w:top w:type="dxa" w:w="100"/>
              <w:left w:type="dxa" w:w="200"/>
              <w:bottom w:type="dxa" w:w="100"/>
              <w:right w:type="dxa" w:w="120"/>
            </w:tcMar>
            <w:vAlign w:val="center"/>
          </w:tcPr>
          <w:p>
            <w:r>
              <w:rPr>
                <w:rFonts w:ascii="Arial" w:cs="Arial" w:eastAsia="Arial" w:hAnsi="Arial"/>
                <w:b/>
                <w:bCs/>
                <w:color w:val="FFFFFF"/>
                <w:sz w:val="28"/>
                <w:szCs w:val="28"/>
              </w:rPr>
              <w:t xml:space="preserve">Task 2  —  Student Digital Portfolio</w:t>
            </w:r>
          </w:p>
        </w:tc>
      </w:tr>
    </w:tbl>
    <w:p>
      <w:pPr>
        <w:spacing w:before="100" w:after="10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Platforms Set Up</w:t>
      </w:r>
    </w:p>
    <w:p>
      <w:pPr>
        <w:spacing w:before="80" w:after="80" w:line="300"/>
      </w:pPr>
      <w:r>
        <w:rPr>
          <w:rFonts w:ascii="Arial" w:cs="Arial" w:eastAsia="Arial" w:hAnsi="Arial"/>
          <w:color w:val="1A1A2E"/>
          <w:sz w:val="22"/>
          <w:szCs w:val="22"/>
        </w:rPr>
        <w:t xml:space="preserve">I created and configured profiles on three platforms that together form a strong foundational digital identity for a CSE student:</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440"/>
        <w:gridCol w:w="4840"/>
      </w:tblGrid>
      <w:tr>
        <w:tc>
          <w:tcPr>
            <w:tcW w:type="dxa" w:w="1800"/>
            <w:tcBorders>
              <w:top w:val="single" w:color="B0CDD8" w:sz="4"/>
              <w:left w:val="single" w:color="B0CDD8" w:sz="4"/>
              <w:bottom w:val="single" w:color="B0CDD8" w:sz="4"/>
              <w:right w:val="single" w:color="B0CDD8" w:sz="4"/>
            </w:tcBorders>
            <w:shd w:fill="0D1B2A" w:val="clear"/>
            <w:tcMar>
              <w:top w:type="dxa" w:w="100"/>
              <w:left w:type="dxa" w:w="140"/>
              <w:bottom w:type="dxa" w:w="100"/>
              <w:right w:type="dxa" w:w="100"/>
            </w:tcMar>
          </w:tcPr>
          <w:p>
            <w:r>
              <w:rPr>
                <w:rFonts w:ascii="Arial" w:cs="Arial" w:eastAsia="Arial" w:hAnsi="Arial"/>
                <w:b/>
                <w:bCs/>
                <w:color w:val="00B4D8"/>
                <w:sz w:val="20"/>
                <w:szCs w:val="20"/>
              </w:rPr>
              <w:t xml:space="preserve">Platform</w:t>
            </w:r>
          </w:p>
        </w:tc>
        <w:tc>
          <w:tcPr>
            <w:tcW w:type="dxa" w:w="3440"/>
            <w:tcBorders>
              <w:top w:val="single" w:color="B0CDD8" w:sz="4"/>
              <w:left w:val="single" w:color="B0CDD8" w:sz="4"/>
              <w:bottom w:val="single" w:color="B0CDD8" w:sz="4"/>
              <w:right w:val="single" w:color="B0CDD8" w:sz="4"/>
            </w:tcBorders>
            <w:shd w:fill="0D1B2A" w:val="clear"/>
            <w:tcMar>
              <w:top w:type="dxa" w:w="100"/>
              <w:left w:type="dxa" w:w="140"/>
              <w:bottom w:type="dxa" w:w="100"/>
              <w:right w:type="dxa" w:w="100"/>
            </w:tcMar>
          </w:tcPr>
          <w:p>
            <w:r>
              <w:rPr>
                <w:rFonts w:ascii="Arial" w:cs="Arial" w:eastAsia="Arial" w:hAnsi="Arial"/>
                <w:b/>
                <w:bCs/>
                <w:color w:val="00B4D8"/>
                <w:sz w:val="20"/>
                <w:szCs w:val="20"/>
              </w:rPr>
              <w:t xml:space="preserve">What it is used for</w:t>
            </w:r>
          </w:p>
        </w:tc>
        <w:tc>
          <w:tcPr>
            <w:tcW w:type="dxa" w:w="4840"/>
            <w:tcBorders>
              <w:top w:val="single" w:color="B0CDD8" w:sz="4"/>
              <w:left w:val="single" w:color="B0CDD8" w:sz="4"/>
              <w:bottom w:val="single" w:color="B0CDD8" w:sz="4"/>
              <w:right w:val="single" w:color="B0CDD8" w:sz="4"/>
            </w:tcBorders>
            <w:shd w:fill="0D1B2A" w:val="clear"/>
            <w:tcMar>
              <w:top w:type="dxa" w:w="100"/>
              <w:left w:type="dxa" w:w="140"/>
              <w:bottom w:type="dxa" w:w="100"/>
              <w:right w:type="dxa" w:w="100"/>
            </w:tcMar>
          </w:tcPr>
          <w:p>
            <w:r>
              <w:rPr>
                <w:rFonts w:ascii="Arial" w:cs="Arial" w:eastAsia="Arial" w:hAnsi="Arial"/>
                <w:b/>
                <w:bCs/>
                <w:color w:val="00B4D8"/>
                <w:sz w:val="20"/>
                <w:szCs w:val="20"/>
              </w:rPr>
              <w:t xml:space="preserve">My plan for the next 4 years</w:t>
            </w:r>
          </w:p>
        </w:tc>
      </w:tr>
      <w:tr>
        <w:tc>
          <w:tcPr>
            <w:tcW w:type="dxa" w:w="1800"/>
            <w:tcBorders>
              <w:top w:val="single" w:color="B0CDD8" w:sz="4"/>
              <w:left w:val="single" w:color="B0CDD8" w:sz="4"/>
              <w:bottom w:val="single" w:color="B0CDD8" w:sz="4"/>
              <w:right w:val="single" w:color="B0CDD8" w:sz="4"/>
            </w:tcBorders>
            <w:shd w:fill="ECF2F7" w:val="clear"/>
            <w:tcMar>
              <w:top w:type="dxa" w:w="100"/>
              <w:left w:type="dxa" w:w="140"/>
              <w:bottom w:type="dxa" w:w="100"/>
              <w:right w:type="dxa" w:w="100"/>
            </w:tcMar>
          </w:tcPr>
          <w:p>
            <w:r>
              <w:rPr>
                <w:rFonts w:ascii="Arial" w:cs="Arial" w:eastAsia="Arial" w:hAnsi="Arial"/>
                <w:b/>
                <w:bCs/>
                <w:color w:val="0077A3"/>
                <w:sz w:val="21"/>
                <w:szCs w:val="21"/>
              </w:rPr>
              <w:t xml:space="preserve">GitHub</w:t>
            </w:r>
          </w:p>
        </w:tc>
        <w:tc>
          <w:tcPr>
            <w:tcW w:type="dxa" w:w="3440"/>
            <w:tcBorders>
              <w:top w:val="single" w:color="B0CDD8" w:sz="4"/>
              <w:left w:val="single" w:color="B0CDD8" w:sz="4"/>
              <w:bottom w:val="single" w:color="B0CDD8" w:sz="4"/>
              <w:right w:val="single" w:color="B0CDD8" w:sz="4"/>
            </w:tcBorders>
            <w:shd w:fill="ECF2F7" w:val="clear"/>
            <w:tcMar>
              <w:top w:type="dxa" w:w="100"/>
              <w:left w:type="dxa" w:w="140"/>
              <w:bottom w:type="dxa" w:w="100"/>
              <w:right w:type="dxa" w:w="100"/>
            </w:tcMar>
          </w:tcPr>
          <w:p>
            <w:r>
              <w:rPr>
                <w:rFonts w:ascii="Arial" w:cs="Arial" w:eastAsia="Arial" w:hAnsi="Arial"/>
                <w:color w:val="1A1A2E"/>
                <w:sz w:val="21"/>
                <w:szCs w:val="21"/>
              </w:rPr>
              <w:t xml:space="preserve">Project hosting, version control, open-source contributions</w:t>
            </w:r>
          </w:p>
        </w:tc>
        <w:tc>
          <w:tcPr>
            <w:tcW w:type="dxa" w:w="4840"/>
            <w:tcBorders>
              <w:top w:val="single" w:color="B0CDD8" w:sz="4"/>
              <w:left w:val="single" w:color="B0CDD8" w:sz="4"/>
              <w:bottom w:val="single" w:color="B0CDD8" w:sz="4"/>
              <w:right w:val="single" w:color="B0CDD8" w:sz="4"/>
            </w:tcBorders>
            <w:shd w:fill="ECF2F7" w:val="clear"/>
            <w:tcMar>
              <w:top w:type="dxa" w:w="100"/>
              <w:left w:type="dxa" w:w="140"/>
              <w:bottom w:type="dxa" w:w="100"/>
              <w:right w:type="dxa" w:w="100"/>
            </w:tcMar>
          </w:tcPr>
          <w:p>
            <w:r>
              <w:rPr>
                <w:rFonts w:ascii="Arial" w:cs="Arial" w:eastAsia="Arial" w:hAnsi="Arial"/>
                <w:color w:val="1A1A2E"/>
                <w:sz w:val="21"/>
                <w:szCs w:val="21"/>
              </w:rPr>
              <w:t xml:space="preserve">Upload every project — academic and personal. Keep the profile README actively updated to reflect current skills.</w:t>
            </w:r>
          </w:p>
        </w:tc>
      </w:tr>
      <w:tr>
        <w:tc>
          <w:tcPr>
            <w:tcW w:type="dxa" w:w="1800"/>
            <w:tcBorders>
              <w:top w:val="single" w:color="B0CDD8" w:sz="4"/>
              <w:left w:val="single" w:color="B0CDD8" w:sz="4"/>
              <w:bottom w:val="single" w:color="B0CDD8" w:sz="4"/>
              <w:right w:val="single" w:color="B0CDD8" w:sz="4"/>
            </w:tcBorders>
            <w:shd w:fill="FFFFFF" w:val="clear"/>
            <w:tcMar>
              <w:top w:type="dxa" w:w="100"/>
              <w:left w:type="dxa" w:w="140"/>
              <w:bottom w:type="dxa" w:w="100"/>
              <w:right w:type="dxa" w:w="100"/>
            </w:tcMar>
          </w:tcPr>
          <w:p>
            <w:r>
              <w:rPr>
                <w:rFonts w:ascii="Arial" w:cs="Arial" w:eastAsia="Arial" w:hAnsi="Arial"/>
                <w:b/>
                <w:bCs/>
                <w:color w:val="0077A3"/>
                <w:sz w:val="21"/>
                <w:szCs w:val="21"/>
              </w:rPr>
              <w:t xml:space="preserve">LinkedIn</w:t>
            </w:r>
          </w:p>
        </w:tc>
        <w:tc>
          <w:tcPr>
            <w:tcW w:type="dxa" w:w="3440"/>
            <w:tcBorders>
              <w:top w:val="single" w:color="B0CDD8" w:sz="4"/>
              <w:left w:val="single" w:color="B0CDD8" w:sz="4"/>
              <w:bottom w:val="single" w:color="B0CDD8" w:sz="4"/>
              <w:right w:val="single" w:color="B0CDD8" w:sz="4"/>
            </w:tcBorders>
            <w:shd w:fill="FFFFFF" w:val="clear"/>
            <w:tcMar>
              <w:top w:type="dxa" w:w="100"/>
              <w:left w:type="dxa" w:w="140"/>
              <w:bottom w:type="dxa" w:w="100"/>
              <w:right w:type="dxa" w:w="100"/>
            </w:tcMar>
          </w:tcPr>
          <w:p>
            <w:r>
              <w:rPr>
                <w:rFonts w:ascii="Arial" w:cs="Arial" w:eastAsia="Arial" w:hAnsi="Arial"/>
                <w:color w:val="1A1A2E"/>
                <w:sz w:val="21"/>
                <w:szCs w:val="21"/>
              </w:rPr>
              <w:t xml:space="preserve">Professional networking, internship discovery, industry news</w:t>
            </w:r>
          </w:p>
        </w:tc>
        <w:tc>
          <w:tcPr>
            <w:tcW w:type="dxa" w:w="4840"/>
            <w:tcBorders>
              <w:top w:val="single" w:color="B0CDD8" w:sz="4"/>
              <w:left w:val="single" w:color="B0CDD8" w:sz="4"/>
              <w:bottom w:val="single" w:color="B0CDD8" w:sz="4"/>
              <w:right w:val="single" w:color="B0CDD8" w:sz="4"/>
            </w:tcBorders>
            <w:shd w:fill="FFFFFF" w:val="clear"/>
            <w:tcMar>
              <w:top w:type="dxa" w:w="100"/>
              <w:left w:type="dxa" w:w="140"/>
              <w:bottom w:type="dxa" w:w="100"/>
              <w:right w:type="dxa" w:w="100"/>
            </w:tcMar>
          </w:tcPr>
          <w:p>
            <w:r>
              <w:rPr>
                <w:rFonts w:ascii="Arial" w:cs="Arial" w:eastAsia="Arial" w:hAnsi="Arial"/>
                <w:color w:val="1A1A2E"/>
                <w:sz w:val="21"/>
                <w:szCs w:val="21"/>
              </w:rPr>
              <w:t xml:space="preserve">Connect with alumni and senior students. Start actively applying for internships from Year 2 onwards.</w:t>
            </w:r>
          </w:p>
        </w:tc>
      </w:tr>
      <w:tr>
        <w:tc>
          <w:tcPr>
            <w:tcW w:type="dxa" w:w="1800"/>
            <w:tcBorders>
              <w:top w:val="single" w:color="B0CDD8" w:sz="4"/>
              <w:left w:val="single" w:color="B0CDD8" w:sz="4"/>
              <w:bottom w:val="single" w:color="B0CDD8" w:sz="4"/>
              <w:right w:val="single" w:color="B0CDD8" w:sz="4"/>
            </w:tcBorders>
            <w:shd w:fill="ECF2F7" w:val="clear"/>
            <w:tcMar>
              <w:top w:type="dxa" w:w="100"/>
              <w:left w:type="dxa" w:w="140"/>
              <w:bottom w:type="dxa" w:w="100"/>
              <w:right w:type="dxa" w:w="100"/>
            </w:tcMar>
          </w:tcPr>
          <w:p>
            <w:r>
              <w:rPr>
                <w:rFonts w:ascii="Arial" w:cs="Arial" w:eastAsia="Arial" w:hAnsi="Arial"/>
                <w:b/>
                <w:bCs/>
                <w:color w:val="0077A3"/>
                <w:sz w:val="21"/>
                <w:szCs w:val="21"/>
              </w:rPr>
              <w:t xml:space="preserve">Kaggle</w:t>
            </w:r>
          </w:p>
        </w:tc>
        <w:tc>
          <w:tcPr>
            <w:tcW w:type="dxa" w:w="3440"/>
            <w:tcBorders>
              <w:top w:val="single" w:color="B0CDD8" w:sz="4"/>
              <w:left w:val="single" w:color="B0CDD8" w:sz="4"/>
              <w:bottom w:val="single" w:color="B0CDD8" w:sz="4"/>
              <w:right w:val="single" w:color="B0CDD8" w:sz="4"/>
            </w:tcBorders>
            <w:shd w:fill="ECF2F7" w:val="clear"/>
            <w:tcMar>
              <w:top w:type="dxa" w:w="100"/>
              <w:left w:type="dxa" w:w="140"/>
              <w:bottom w:type="dxa" w:w="100"/>
              <w:right w:type="dxa" w:w="100"/>
            </w:tcMar>
          </w:tcPr>
          <w:p>
            <w:r>
              <w:rPr>
                <w:rFonts w:ascii="Arial" w:cs="Arial" w:eastAsia="Arial" w:hAnsi="Arial"/>
                <w:color w:val="1A1A2E"/>
                <w:sz w:val="21"/>
                <w:szCs w:val="21"/>
              </w:rPr>
              <w:t xml:space="preserve">ML/AI competitions, public datasets, community notebooks</w:t>
            </w:r>
          </w:p>
        </w:tc>
        <w:tc>
          <w:tcPr>
            <w:tcW w:type="dxa" w:w="4840"/>
            <w:tcBorders>
              <w:top w:val="single" w:color="B0CDD8" w:sz="4"/>
              <w:left w:val="single" w:color="B0CDD8" w:sz="4"/>
              <w:bottom w:val="single" w:color="B0CDD8" w:sz="4"/>
              <w:right w:val="single" w:color="B0CDD8" w:sz="4"/>
            </w:tcBorders>
            <w:shd w:fill="ECF2F7" w:val="clear"/>
            <w:tcMar>
              <w:top w:type="dxa" w:w="100"/>
              <w:left w:type="dxa" w:w="140"/>
              <w:bottom w:type="dxa" w:w="100"/>
              <w:right w:type="dxa" w:w="100"/>
            </w:tcMar>
          </w:tcPr>
          <w:p>
            <w:r>
              <w:rPr>
                <w:rFonts w:ascii="Arial" w:cs="Arial" w:eastAsia="Arial" w:hAnsi="Arial"/>
                <w:color w:val="1A1A2E"/>
                <w:sz w:val="21"/>
                <w:szCs w:val="21"/>
              </w:rPr>
              <w:t xml:space="preserve">Participate in beginner competitions. Study top public notebooks to accelerate learning in AI/ML.</w:t>
            </w:r>
          </w:p>
        </w:tc>
      </w:tr>
    </w:tbl>
    <w:p>
      <w:pPr>
        <w:spacing w:before="100" w:after="10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Reflection</w:t>
      </w:r>
    </w:p>
    <w:p>
      <w:pPr>
        <w:spacing w:before="80" w:after="80" w:line="300"/>
      </w:pPr>
      <w:r>
        <w:rPr>
          <w:rFonts w:ascii="Arial" w:cs="Arial" w:eastAsia="Arial" w:hAnsi="Arial"/>
          <w:color w:val="1A1A2E"/>
          <w:sz w:val="22"/>
          <w:szCs w:val="22"/>
        </w:rPr>
        <w:t xml:space="preserve">Setting up these three profiles in one sitting made the concept of a 'digital footprint' feel very real. GitHub already has my AI/ML projects — the ISL Recognition System and ToxPredict — and a polished profile README makes it immediately clear to any visitor who I am and what I build. LinkedIn felt more formal, but I understand its value as I approach internship season. Kaggle was entirely new to me; I discovered a surprisingly active community and a wealth of learning resources that will directly complement my Fundamentals of AI &amp; ML coursework. Over four years, these three platforms will be my most important professional assets outside the classroom.</w:t>
      </w:r>
    </w:p>
    <w:p>
      <w:pPr>
        <w:spacing w:before="100" w:after="100"/>
      </w:pPr>
      <w:r>
        <w:t xml:space="preserve"/>
      </w:r>
    </w:p>
    <w:p>
      <w:pPr>
        <w:pBdr>
          <w:bottom w:val="single" w:color="B0CDD8" w:sz="4" w:space="1"/>
        </w:pBdr>
        <w:spacing w:before="100" w:after="100" w:line="276"/>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D8" w:val="clear"/>
            <w:tcMar>
              <w:top w:type="dxa" w:w="100"/>
              <w:left w:type="dxa" w:w="140"/>
              <w:bottom w:type="dxa" w:w="100"/>
              <w:right w:type="dxa" w:w="80"/>
            </w:tcMar>
            <w:vAlign w:val="center"/>
          </w:tcPr>
          <w:p>
            <w:pPr>
              <w:jc w:val="center"/>
            </w:pPr>
            <w:r>
              <w:rPr>
                <w:rFonts w:ascii="Arial" w:cs="Arial" w:eastAsia="Arial" w:hAnsi="Arial"/>
                <w:b/>
                <w:bCs/>
                <w:color w:val="0D1B2A"/>
                <w:sz w:val="26"/>
                <w:szCs w:val="26"/>
              </w:rPr>
              <w:t xml:space="preserve">03</w:t>
            </w:r>
          </w:p>
        </w:tc>
        <w:tc>
          <w:tcPr>
            <w:tcW w:type="dxa" w:w="8640"/>
            <w:tcBorders>
              <w:top w:val="none" w:color="FFFFFF" w:sz="0"/>
              <w:left w:val="none" w:color="FFFFFF" w:sz="0"/>
              <w:bottom w:val="none" w:color="FFFFFF" w:sz="0"/>
              <w:right w:val="none" w:color="FFFFFF" w:sz="0"/>
            </w:tcBorders>
            <w:shd w:fill="0D1B2A" w:val="clear"/>
            <w:tcMar>
              <w:top w:type="dxa" w:w="100"/>
              <w:left w:type="dxa" w:w="200"/>
              <w:bottom w:type="dxa" w:w="100"/>
              <w:right w:type="dxa" w:w="120"/>
            </w:tcMar>
            <w:vAlign w:val="center"/>
          </w:tcPr>
          <w:p>
            <w:r>
              <w:rPr>
                <w:rFonts w:ascii="Arial" w:cs="Arial" w:eastAsia="Arial" w:hAnsi="Arial"/>
                <w:b/>
                <w:bCs/>
                <w:color w:val="FFFFFF"/>
                <w:sz w:val="28"/>
                <w:szCs w:val="28"/>
              </w:rPr>
              <w:t xml:space="preserve">Task 3  —  Coding &amp; Collaboration Platforms</w:t>
            </w:r>
          </w:p>
        </w:tc>
      </w:tr>
    </w:tbl>
    <w:p>
      <w:pPr>
        <w:spacing w:before="100" w:after="10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Part A — Coding Practice on HackerRank</w:t>
      </w:r>
    </w:p>
    <w:p>
      <w:pPr>
        <w:spacing w:before="80" w:after="80" w:line="300"/>
      </w:pPr>
      <w:r>
        <w:rPr>
          <w:rFonts w:ascii="Arial" w:cs="Arial" w:eastAsia="Arial" w:hAnsi="Arial"/>
          <w:color w:val="1A1A2E"/>
          <w:sz w:val="22"/>
          <w:szCs w:val="22"/>
        </w:rPr>
        <w:t xml:space="preserve">I created a HackerRank account and completed the 'Solve Me First' challenge — the platform's entry-level problem designed to familiarise users with the submission environment. The challenge required reading two integers and outputting their sum. I submitted a Python solution, received an Accepted verdict, and earned the Problem Solving badge at the Basic level.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6"/>
              <w:left w:val="single" w:color="00B4D8" w:sz="24"/>
              <w:bottom w:val="single" w:color="00B4D8" w:sz="6"/>
              <w:right w:val="single" w:color="00B4D8" w:sz="6"/>
            </w:tcBorders>
            <w:shd w:fill="E0F7FC" w:val="clear"/>
            <w:tcMar>
              <w:top w:type="dxa" w:w="120"/>
              <w:left w:type="dxa" w:w="200"/>
              <w:bottom w:type="dxa" w:w="120"/>
              <w:right w:type="dxa" w:w="200"/>
            </w:tcMar>
          </w:tcPr>
          <w:p>
            <w:pPr>
              <w:spacing w:before="40" w:after="40" w:line="280"/>
            </w:pPr>
            <w:r>
              <w:rPr>
                <w:rFonts w:ascii="Arial" w:cs="Arial" w:eastAsia="Arial" w:hAnsi="Arial"/>
                <w:i/>
                <w:iCs/>
                <w:color w:val="1A1A2E"/>
                <w:sz w:val="22"/>
                <w:szCs w:val="22"/>
              </w:rPr>
              <w:t xml:space="preserve">Challenge: Solve Me First  |  Language: Python 3  |  Status: Accepted  |  Badge: Problem Solving (Basic)</w:t>
            </w:r>
          </w:p>
        </w:tc>
      </w:tr>
    </w:tbl>
    <w:p>
      <w:pPr>
        <w:spacing w:before="80" w:after="8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Part B — Google Forms Quiz</w:t>
      </w:r>
    </w:p>
    <w:p>
      <w:pPr>
        <w:spacing w:before="80" w:after="80" w:line="300"/>
      </w:pPr>
      <w:r>
        <w:rPr>
          <w:rFonts w:ascii="Arial" w:cs="Arial" w:eastAsia="Arial" w:hAnsi="Arial"/>
          <w:color w:val="1A1A2E"/>
          <w:sz w:val="22"/>
          <w:szCs w:val="22"/>
        </w:rPr>
        <w:t xml:space="preserve">I built a 5-question Digital Literacy Awareness Quiz using Google Forms, designed to be deployed to my batchmates as part of the Digital Ambassador initiative. The quiz covers core concepts from the course:</w:t>
      </w:r>
    </w:p>
    <w:p>
      <w:pPr>
        <w:spacing w:before="40" w:after="40"/>
      </w:pPr>
      <w:r>
        <w:t xml:space="preserve"/>
      </w:r>
    </w:p>
    <w:p>
      <w:pPr>
        <w:pStyle w:val="ListParagraph"/>
        <w:numPr>
          <w:ilvl w:val="0"/>
          <w:numId w:val="2"/>
        </w:numPr>
        <w:spacing w:before="40" w:after="40" w:line="280"/>
      </w:pPr>
      <w:r>
        <w:rPr>
          <w:rFonts w:ascii="Arial" w:cs="Arial" w:eastAsia="Arial" w:hAnsi="Arial"/>
          <w:b w:val="false"/>
          <w:bCs w:val="false"/>
          <w:color w:val="1A1A2E"/>
          <w:sz w:val="22"/>
          <w:szCs w:val="22"/>
        </w:rPr>
        <w:t xml:space="preserve">Q1 (MCQ): What is the correct definition of digital literacy?</w:t>
      </w:r>
    </w:p>
    <w:p>
      <w:pPr>
        <w:pStyle w:val="ListParagraph"/>
        <w:numPr>
          <w:ilvl w:val="0"/>
          <w:numId w:val="2"/>
        </w:numPr>
        <w:spacing w:before="40" w:after="40" w:line="280"/>
      </w:pPr>
      <w:r>
        <w:rPr>
          <w:rFonts w:ascii="Arial" w:cs="Arial" w:eastAsia="Arial" w:hAnsi="Arial"/>
          <w:b w:val="false"/>
          <w:bCs w:val="false"/>
          <w:color w:val="1A1A2E"/>
          <w:sz w:val="22"/>
          <w:szCs w:val="22"/>
        </w:rPr>
        <w:t xml:space="preserve">Q2 (Short Answer): Name one practice that keeps your online accounts secure.</w:t>
      </w:r>
    </w:p>
    <w:p>
      <w:pPr>
        <w:pStyle w:val="ListParagraph"/>
        <w:numPr>
          <w:ilvl w:val="0"/>
          <w:numId w:val="2"/>
        </w:numPr>
        <w:spacing w:before="40" w:after="40" w:line="280"/>
      </w:pPr>
      <w:r>
        <w:rPr>
          <w:rFonts w:ascii="Arial" w:cs="Arial" w:eastAsia="Arial" w:hAnsi="Arial"/>
          <w:b w:val="false"/>
          <w:bCs w:val="false"/>
          <w:color w:val="1A1A2E"/>
          <w:sz w:val="22"/>
          <w:szCs w:val="22"/>
        </w:rPr>
        <w:t xml:space="preserve">Q3 (MCQ): Which platform is most appropriate for sharing code projects with employers?</w:t>
      </w:r>
    </w:p>
    <w:p>
      <w:pPr>
        <w:pStyle w:val="ListParagraph"/>
        <w:numPr>
          <w:ilvl w:val="0"/>
          <w:numId w:val="2"/>
        </w:numPr>
        <w:spacing w:before="40" w:after="40" w:line="280"/>
      </w:pPr>
      <w:r>
        <w:rPr>
          <w:rFonts w:ascii="Arial" w:cs="Arial" w:eastAsia="Arial" w:hAnsi="Arial"/>
          <w:b w:val="false"/>
          <w:bCs w:val="false"/>
          <w:color w:val="1A1A2E"/>
          <w:sz w:val="22"/>
          <w:szCs w:val="22"/>
        </w:rPr>
        <w:t xml:space="preserve">Q4 (MCQ): What should you do before clicking a link from an unknown sender?</w:t>
      </w:r>
    </w:p>
    <w:p>
      <w:pPr>
        <w:pStyle w:val="ListParagraph"/>
        <w:numPr>
          <w:ilvl w:val="0"/>
          <w:numId w:val="2"/>
        </w:numPr>
        <w:spacing w:before="40" w:after="40" w:line="280"/>
      </w:pPr>
      <w:r>
        <w:rPr>
          <w:rFonts w:ascii="Arial" w:cs="Arial" w:eastAsia="Arial" w:hAnsi="Arial"/>
          <w:b w:val="false"/>
          <w:bCs w:val="false"/>
          <w:color w:val="1A1A2E"/>
          <w:sz w:val="22"/>
          <w:szCs w:val="22"/>
        </w:rPr>
        <w:t xml:space="preserve">Q5 (Short Answer): Explain what two-factor authentication (2FA) does in one sentence.</w:t>
      </w:r>
    </w:p>
    <w:p>
      <w:pPr>
        <w:spacing w:before="60" w:after="60"/>
      </w:pPr>
      <w:r>
        <w:t xml:space="preserve"/>
      </w:r>
    </w:p>
    <w:p>
      <w:pPr>
        <w:spacing w:before="80" w:after="80" w:line="300"/>
      </w:pPr>
      <w:r>
        <w:rPr>
          <w:rFonts w:ascii="Arial" w:cs="Arial" w:eastAsia="Arial" w:hAnsi="Arial"/>
          <w:color w:val="1A1A2E"/>
          <w:sz w:val="22"/>
          <w:szCs w:val="22"/>
        </w:rPr>
        <w:t xml:space="preserve">The form is linked to a Google Sheet which automatically records and timestamps all responses, making it easy to review batch-wide performance and identify knowledge gaps.</w:t>
      </w:r>
    </w:p>
    <w:p>
      <w:pPr>
        <w:spacing w:before="80" w:after="8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Reflection</w:t>
      </w:r>
    </w:p>
    <w:p>
      <w:pPr>
        <w:spacing w:before="80" w:after="80" w:line="300"/>
      </w:pPr>
      <w:r>
        <w:rPr>
          <w:rFonts w:ascii="Arial" w:cs="Arial" w:eastAsia="Arial" w:hAnsi="Arial"/>
          <w:color w:val="1A1A2E"/>
          <w:sz w:val="22"/>
          <w:szCs w:val="22"/>
        </w:rPr>
        <w:t xml:space="preserve">HackerRank introduced me to the competitive programming format and gave me a baseline for measuring where my problem-solving skills stand. The Google Forms exercise was surprisingly practical — I had used forms before but had never considered the data pipeline aspect (form &gt; sheet &gt; analysis). Both tools will be directly useful: HackerRank for placement prep, Google Forms for collecting survey data in future project research.</w:t>
      </w:r>
    </w:p>
    <w:p>
      <w:pPr>
        <w:spacing w:before="100" w:after="100"/>
      </w:pPr>
      <w:r>
        <w:t xml:space="preserve"/>
      </w:r>
    </w:p>
    <w:p>
      <w:pPr>
        <w:pBdr>
          <w:bottom w:val="single" w:color="B0CDD8" w:sz="4" w:space="1"/>
        </w:pBdr>
        <w:spacing w:before="100" w:after="100" w:line="276"/>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D8" w:val="clear"/>
            <w:tcMar>
              <w:top w:type="dxa" w:w="100"/>
              <w:left w:type="dxa" w:w="140"/>
              <w:bottom w:type="dxa" w:w="100"/>
              <w:right w:type="dxa" w:w="80"/>
            </w:tcMar>
            <w:vAlign w:val="center"/>
          </w:tcPr>
          <w:p>
            <w:pPr>
              <w:jc w:val="center"/>
            </w:pPr>
            <w:r>
              <w:rPr>
                <w:rFonts w:ascii="Arial" w:cs="Arial" w:eastAsia="Arial" w:hAnsi="Arial"/>
                <w:b/>
                <w:bCs/>
                <w:color w:val="0D1B2A"/>
                <w:sz w:val="26"/>
                <w:szCs w:val="26"/>
              </w:rPr>
              <w:t xml:space="preserve">04</w:t>
            </w:r>
          </w:p>
        </w:tc>
        <w:tc>
          <w:tcPr>
            <w:tcW w:type="dxa" w:w="8640"/>
            <w:tcBorders>
              <w:top w:val="none" w:color="FFFFFF" w:sz="0"/>
              <w:left w:val="none" w:color="FFFFFF" w:sz="0"/>
              <w:bottom w:val="none" w:color="FFFFFF" w:sz="0"/>
              <w:right w:val="none" w:color="FFFFFF" w:sz="0"/>
            </w:tcBorders>
            <w:shd w:fill="0D1B2A" w:val="clear"/>
            <w:tcMar>
              <w:top w:type="dxa" w:w="100"/>
              <w:left w:type="dxa" w:w="200"/>
              <w:bottom w:type="dxa" w:w="100"/>
              <w:right w:type="dxa" w:w="120"/>
            </w:tcMar>
            <w:vAlign w:val="center"/>
          </w:tcPr>
          <w:p>
            <w:r>
              <w:rPr>
                <w:rFonts w:ascii="Arial" w:cs="Arial" w:eastAsia="Arial" w:hAnsi="Arial"/>
                <w:b/>
                <w:bCs/>
                <w:color w:val="FFFFFF"/>
                <w:sz w:val="28"/>
                <w:szCs w:val="28"/>
              </w:rPr>
              <w:t xml:space="preserve">Task 4  —  Professional Email &amp; Etiquette Guide</w:t>
            </w:r>
          </w:p>
        </w:tc>
      </w:tr>
    </w:tbl>
    <w:p>
      <w:pPr>
        <w:spacing w:before="100" w:after="10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Email 1 — Requesting an Assignment Extension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0CDD8" w:sz="4"/>
              <w:left w:val="single" w:color="B0CDD8" w:sz="4"/>
              <w:bottom w:val="single" w:color="B0CDD8" w:sz="4"/>
              <w:right w:val="single" w:color="B0CDD8" w:sz="4"/>
            </w:tcBorders>
            <w:shd w:fill="0D1B2A" w:val="clear"/>
            <w:tcMar>
              <w:top w:type="dxa" w:w="100"/>
              <w:left w:type="dxa" w:w="140"/>
              <w:bottom w:type="dxa" w:w="100"/>
              <w:right w:type="dxa" w:w="100"/>
            </w:tcMar>
            <w:vAlign w:val="center"/>
          </w:tcPr>
          <w:p>
            <w:r>
              <w:rPr>
                <w:rFonts w:ascii="Arial" w:cs="Arial" w:eastAsia="Arial" w:hAnsi="Arial"/>
                <w:b/>
                <w:bCs/>
                <w:color w:val="00B4D8"/>
                <w:sz w:val="20"/>
                <w:szCs w:val="20"/>
              </w:rPr>
              <w:t xml:space="preserve">To</w:t>
            </w:r>
          </w:p>
        </w:tc>
        <w:tc>
          <w:tcPr>
            <w:tcW w:type="dxa" w:w="7960"/>
            <w:tcBorders>
              <w:top w:val="single" w:color="B0CDD8" w:sz="4"/>
              <w:left w:val="single" w:color="B0CDD8" w:sz="4"/>
              <w:bottom w:val="single" w:color="B0CDD8" w:sz="4"/>
              <w:right w:val="single" w:color="B0CDD8" w:sz="4"/>
            </w:tcBorders>
            <w:shd w:fill="FFFFFF" w:val="clear"/>
            <w:tcMar>
              <w:top w:type="dxa" w:w="100"/>
              <w:left w:type="dxa" w:w="160"/>
              <w:bottom w:type="dxa" w:w="100"/>
              <w:right w:type="dxa" w:w="120"/>
            </w:tcMar>
          </w:tcPr>
          <w:p>
            <w:pPr>
              <w:spacing w:before="40" w:after="40" w:line="300"/>
            </w:pPr>
            <w:r>
              <w:rPr>
                <w:rFonts w:ascii="Arial" w:cs="Arial" w:eastAsia="Arial" w:hAnsi="Arial"/>
                <w:color w:val="1A1A2E"/>
                <w:sz w:val="21"/>
                <w:szCs w:val="21"/>
              </w:rPr>
              <w:t xml:space="preserve">professor.name@vitbhopal.ac.in</w:t>
            </w:r>
          </w:p>
        </w:tc>
      </w:tr>
      <w:tr>
        <w:tc>
          <w:tcPr>
            <w:tcW w:type="dxa" w:w="1400"/>
            <w:tcBorders>
              <w:top w:val="single" w:color="B0CDD8" w:sz="4"/>
              <w:left w:val="single" w:color="B0CDD8" w:sz="4"/>
              <w:bottom w:val="single" w:color="B0CDD8" w:sz="4"/>
              <w:right w:val="single" w:color="B0CDD8" w:sz="4"/>
            </w:tcBorders>
            <w:shd w:fill="0D1B2A" w:val="clear"/>
            <w:tcMar>
              <w:top w:type="dxa" w:w="100"/>
              <w:left w:type="dxa" w:w="140"/>
              <w:bottom w:type="dxa" w:w="100"/>
              <w:right w:type="dxa" w:w="100"/>
            </w:tcMar>
            <w:vAlign w:val="center"/>
          </w:tcPr>
          <w:p>
            <w:r>
              <w:rPr>
                <w:rFonts w:ascii="Arial" w:cs="Arial" w:eastAsia="Arial" w:hAnsi="Arial"/>
                <w:b/>
                <w:bCs/>
                <w:color w:val="00B4D8"/>
                <w:sz w:val="20"/>
                <w:szCs w:val="20"/>
              </w:rPr>
              <w:t xml:space="preserve">Subject</w:t>
            </w:r>
          </w:p>
        </w:tc>
        <w:tc>
          <w:tcPr>
            <w:tcW w:type="dxa" w:w="7960"/>
            <w:tcBorders>
              <w:top w:val="single" w:color="B0CDD8" w:sz="4"/>
              <w:left w:val="single" w:color="B0CDD8" w:sz="4"/>
              <w:bottom w:val="single" w:color="B0CDD8" w:sz="4"/>
              <w:right w:val="single" w:color="B0CDD8" w:sz="4"/>
            </w:tcBorders>
            <w:shd w:fill="FFFFFF" w:val="clear"/>
            <w:tcMar>
              <w:top w:type="dxa" w:w="100"/>
              <w:left w:type="dxa" w:w="160"/>
              <w:bottom w:type="dxa" w:w="100"/>
              <w:right w:type="dxa" w:w="120"/>
            </w:tcMar>
          </w:tcPr>
          <w:p>
            <w:pPr>
              <w:spacing w:before="40" w:after="40" w:line="300"/>
            </w:pPr>
            <w:r>
              <w:rPr>
                <w:rFonts w:ascii="Arial" w:cs="Arial" w:eastAsia="Arial" w:hAnsi="Arial"/>
                <w:color w:val="1A1A2E"/>
                <w:sz w:val="21"/>
                <w:szCs w:val="21"/>
              </w:rPr>
              <w:t xml:space="preserve">Request for Submission Extension — CSE0001 Digital Literacy Project</w:t>
            </w:r>
          </w:p>
        </w:tc>
      </w:tr>
      <w:tr>
        <w:tc>
          <w:tcPr>
            <w:tcW w:type="dxa" w:w="1400"/>
            <w:tcBorders>
              <w:top w:val="single" w:color="B0CDD8" w:sz="4"/>
              <w:left w:val="single" w:color="B0CDD8" w:sz="4"/>
              <w:bottom w:val="single" w:color="B0CDD8" w:sz="4"/>
              <w:right w:val="single" w:color="B0CDD8" w:sz="4"/>
            </w:tcBorders>
            <w:shd w:fill="0D1B2A" w:val="clear"/>
            <w:tcMar>
              <w:top w:type="dxa" w:w="100"/>
              <w:left w:type="dxa" w:w="140"/>
              <w:bottom w:type="dxa" w:w="100"/>
              <w:right w:type="dxa" w:w="100"/>
            </w:tcMar>
            <w:vAlign w:val="center"/>
          </w:tcPr>
          <w:p>
            <w:r>
              <w:rPr>
                <w:rFonts w:ascii="Arial" w:cs="Arial" w:eastAsia="Arial" w:hAnsi="Arial"/>
                <w:b/>
                <w:bCs/>
                <w:color w:val="00B4D8"/>
                <w:sz w:val="20"/>
                <w:szCs w:val="20"/>
              </w:rPr>
              <w:t xml:space="preserve">Body</w:t>
            </w:r>
          </w:p>
        </w:tc>
        <w:tc>
          <w:tcPr>
            <w:tcW w:type="dxa" w:w="7960"/>
            <w:tcBorders>
              <w:top w:val="single" w:color="B0CDD8" w:sz="4"/>
              <w:left w:val="single" w:color="B0CDD8" w:sz="4"/>
              <w:bottom w:val="single" w:color="B0CDD8" w:sz="4"/>
              <w:right w:val="single" w:color="B0CDD8" w:sz="4"/>
            </w:tcBorders>
            <w:shd w:fill="ECF2F7" w:val="clear"/>
            <w:tcMar>
              <w:top w:type="dxa" w:w="100"/>
              <w:left w:type="dxa" w:w="160"/>
              <w:bottom w:type="dxa" w:w="100"/>
              <w:right w:type="dxa" w:w="120"/>
            </w:tcMar>
          </w:tcPr>
          <w:p>
            <w:pPr>
              <w:spacing w:before="40" w:after="40" w:line="300"/>
            </w:pPr>
            <w:r>
              <w:rPr>
                <w:rFonts w:ascii="Arial" w:cs="Arial" w:eastAsia="Arial" w:hAnsi="Arial"/>
                <w:color w:val="1A1A2E"/>
                <w:sz w:val="21"/>
                <w:szCs w:val="21"/>
              </w:rPr>
              <w:t xml:space="preserve">Dear Professor [Name],
I hope this email finds you well. I am writing to respectfully request a three-day extension for the CSE0001 Digital Literacy Project, currently due on [date]. A concurrent lab examination cycle and an unforeseen health issue have impacted my timeline, and I want to ensure I submit work that genuinely reflects my understanding of the course.
I have completed Tasks 1 through 3 in full and am approximately 70% through the remaining tasks. I am requesting an extension to [revised date]. Should an extension not be feasible, I am fully prepared to submit my current work by the original deadline.
Thank you for your understanding and time.
Warm regards,
Dhruv Bajpai
B.Tech CSE, Year 1  |  23BAI10926
VIT Bhopal University</w:t>
            </w:r>
          </w:p>
        </w:tc>
      </w:tr>
    </w:tbl>
    <w:p>
      <w:pPr>
        <w:spacing w:before="100" w:after="10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Email 2 — Internship Interest Expression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0CDD8" w:sz="4"/>
              <w:left w:val="single" w:color="B0CDD8" w:sz="4"/>
              <w:bottom w:val="single" w:color="B0CDD8" w:sz="4"/>
              <w:right w:val="single" w:color="B0CDD8" w:sz="4"/>
            </w:tcBorders>
            <w:shd w:fill="0D1B2A" w:val="clear"/>
            <w:tcMar>
              <w:top w:type="dxa" w:w="100"/>
              <w:left w:type="dxa" w:w="140"/>
              <w:bottom w:type="dxa" w:w="100"/>
              <w:right w:type="dxa" w:w="100"/>
            </w:tcMar>
            <w:vAlign w:val="center"/>
          </w:tcPr>
          <w:p>
            <w:r>
              <w:rPr>
                <w:rFonts w:ascii="Arial" w:cs="Arial" w:eastAsia="Arial" w:hAnsi="Arial"/>
                <w:b/>
                <w:bCs/>
                <w:color w:val="00B4D8"/>
                <w:sz w:val="20"/>
                <w:szCs w:val="20"/>
              </w:rPr>
              <w:t xml:space="preserve">To</w:t>
            </w:r>
          </w:p>
        </w:tc>
        <w:tc>
          <w:tcPr>
            <w:tcW w:type="dxa" w:w="7960"/>
            <w:tcBorders>
              <w:top w:val="single" w:color="B0CDD8" w:sz="4"/>
              <w:left w:val="single" w:color="B0CDD8" w:sz="4"/>
              <w:bottom w:val="single" w:color="B0CDD8" w:sz="4"/>
              <w:right w:val="single" w:color="B0CDD8" w:sz="4"/>
            </w:tcBorders>
            <w:shd w:fill="FFFFFF" w:val="clear"/>
            <w:tcMar>
              <w:top w:type="dxa" w:w="100"/>
              <w:left w:type="dxa" w:w="160"/>
              <w:bottom w:type="dxa" w:w="100"/>
              <w:right w:type="dxa" w:w="120"/>
            </w:tcMar>
          </w:tcPr>
          <w:p>
            <w:pPr>
              <w:spacing w:before="40" w:after="40" w:line="300"/>
            </w:pPr>
            <w:r>
              <w:rPr>
                <w:rFonts w:ascii="Arial" w:cs="Arial" w:eastAsia="Arial" w:hAnsi="Arial"/>
                <w:color w:val="1A1A2E"/>
                <w:sz w:val="21"/>
                <w:szCs w:val="21"/>
              </w:rPr>
              <w:t xml:space="preserve">internships@company.com</w:t>
            </w:r>
          </w:p>
        </w:tc>
      </w:tr>
      <w:tr>
        <w:tc>
          <w:tcPr>
            <w:tcW w:type="dxa" w:w="1400"/>
            <w:tcBorders>
              <w:top w:val="single" w:color="B0CDD8" w:sz="4"/>
              <w:left w:val="single" w:color="B0CDD8" w:sz="4"/>
              <w:bottom w:val="single" w:color="B0CDD8" w:sz="4"/>
              <w:right w:val="single" w:color="B0CDD8" w:sz="4"/>
            </w:tcBorders>
            <w:shd w:fill="0D1B2A" w:val="clear"/>
            <w:tcMar>
              <w:top w:type="dxa" w:w="100"/>
              <w:left w:type="dxa" w:w="140"/>
              <w:bottom w:type="dxa" w:w="100"/>
              <w:right w:type="dxa" w:w="100"/>
            </w:tcMar>
            <w:vAlign w:val="center"/>
          </w:tcPr>
          <w:p>
            <w:r>
              <w:rPr>
                <w:rFonts w:ascii="Arial" w:cs="Arial" w:eastAsia="Arial" w:hAnsi="Arial"/>
                <w:b/>
                <w:bCs/>
                <w:color w:val="00B4D8"/>
                <w:sz w:val="20"/>
                <w:szCs w:val="20"/>
              </w:rPr>
              <w:t xml:space="preserve">Subject</w:t>
            </w:r>
          </w:p>
        </w:tc>
        <w:tc>
          <w:tcPr>
            <w:tcW w:type="dxa" w:w="7960"/>
            <w:tcBorders>
              <w:top w:val="single" w:color="B0CDD8" w:sz="4"/>
              <w:left w:val="single" w:color="B0CDD8" w:sz="4"/>
              <w:bottom w:val="single" w:color="B0CDD8" w:sz="4"/>
              <w:right w:val="single" w:color="B0CDD8" w:sz="4"/>
            </w:tcBorders>
            <w:shd w:fill="FFFFFF" w:val="clear"/>
            <w:tcMar>
              <w:top w:type="dxa" w:w="100"/>
              <w:left w:type="dxa" w:w="160"/>
              <w:bottom w:type="dxa" w:w="100"/>
              <w:right w:type="dxa" w:w="120"/>
            </w:tcMar>
          </w:tcPr>
          <w:p>
            <w:pPr>
              <w:spacing w:before="40" w:after="40" w:line="300"/>
            </w:pPr>
            <w:r>
              <w:rPr>
                <w:rFonts w:ascii="Arial" w:cs="Arial" w:eastAsia="Arial" w:hAnsi="Arial"/>
                <w:color w:val="1A1A2E"/>
                <w:sz w:val="21"/>
                <w:szCs w:val="21"/>
              </w:rPr>
              <w:t xml:space="preserve">Application for Summer Internship — B.Tech CSE, VIT Bhopal University</w:t>
            </w:r>
          </w:p>
        </w:tc>
      </w:tr>
      <w:tr>
        <w:tc>
          <w:tcPr>
            <w:tcW w:type="dxa" w:w="1400"/>
            <w:tcBorders>
              <w:top w:val="single" w:color="B0CDD8" w:sz="4"/>
              <w:left w:val="single" w:color="B0CDD8" w:sz="4"/>
              <w:bottom w:val="single" w:color="B0CDD8" w:sz="4"/>
              <w:right w:val="single" w:color="B0CDD8" w:sz="4"/>
            </w:tcBorders>
            <w:shd w:fill="0D1B2A" w:val="clear"/>
            <w:tcMar>
              <w:top w:type="dxa" w:w="100"/>
              <w:left w:type="dxa" w:w="140"/>
              <w:bottom w:type="dxa" w:w="100"/>
              <w:right w:type="dxa" w:w="100"/>
            </w:tcMar>
            <w:vAlign w:val="center"/>
          </w:tcPr>
          <w:p>
            <w:r>
              <w:rPr>
                <w:rFonts w:ascii="Arial" w:cs="Arial" w:eastAsia="Arial" w:hAnsi="Arial"/>
                <w:b/>
                <w:bCs/>
                <w:color w:val="00B4D8"/>
                <w:sz w:val="20"/>
                <w:szCs w:val="20"/>
              </w:rPr>
              <w:t xml:space="preserve">Body</w:t>
            </w:r>
          </w:p>
        </w:tc>
        <w:tc>
          <w:tcPr>
            <w:tcW w:type="dxa" w:w="7960"/>
            <w:tcBorders>
              <w:top w:val="single" w:color="B0CDD8" w:sz="4"/>
              <w:left w:val="single" w:color="B0CDD8" w:sz="4"/>
              <w:bottom w:val="single" w:color="B0CDD8" w:sz="4"/>
              <w:right w:val="single" w:color="B0CDD8" w:sz="4"/>
            </w:tcBorders>
            <w:shd w:fill="ECF2F7" w:val="clear"/>
            <w:tcMar>
              <w:top w:type="dxa" w:w="100"/>
              <w:left w:type="dxa" w:w="160"/>
              <w:bottom w:type="dxa" w:w="100"/>
              <w:right w:type="dxa" w:w="120"/>
            </w:tcMar>
          </w:tcPr>
          <w:p>
            <w:pPr>
              <w:spacing w:before="40" w:after="40" w:line="300"/>
            </w:pPr>
            <w:r>
              <w:rPr>
                <w:rFonts w:ascii="Arial" w:cs="Arial" w:eastAsia="Arial" w:hAnsi="Arial"/>
                <w:color w:val="1A1A2E"/>
                <w:sz w:val="21"/>
                <w:szCs w:val="21"/>
              </w:rPr>
              <w:t xml:space="preserve">Dear [Internship Coordinator's Name],
I am Dhruv Bajpai, a first-year B.Tech Computer Science student at VIT Bhopal University, writing to express my interest in a summer internship opportunity at [Company Name].
I am an AI/ML enthusiast and full-stack developer with hands-on project experience, including a Real-Time Indian Sign Language Recognition System (MediaPipe + Random Forest, 95%+ accuracy) and an AI Drug Toxicity Prediction tool built for a biohackathon at IIT BHU. I am eager to contribute to a professional environment where I can apply and further develop these skills.
I am available from [start date] and have attached my resume for your reference. My GitHub profile at github.com/[username] contains my recent project work.
Thank you for your time. I look forward to hearing from you.
Sincerely,
Dhruv Bajpai  |  23BAI10926
B.Tech CSE  |  VIT Bhopal University
Phone: [XXXXXXXXXX]  |  LinkedIn: linkedin.com/in/[username]</w:t>
            </w:r>
          </w:p>
        </w:tc>
      </w:tr>
    </w:tbl>
    <w:p>
      <w:pPr>
        <w:spacing w:before="100" w:after="10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Social Media Do's and Don'ts — College Students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0CDD8" w:sz="4"/>
              <w:left w:val="single" w:color="B0CDD8" w:sz="4"/>
              <w:bottom w:val="single" w:color="B0CDD8" w:sz="4"/>
              <w:right w:val="single" w:color="B0CDD8" w:sz="4"/>
            </w:tcBorders>
            <w:shd w:fill="00B4D8" w:val="clear"/>
            <w:tcMar>
              <w:top w:type="dxa" w:w="100"/>
              <w:left w:type="dxa" w:w="160"/>
              <w:bottom w:type="dxa" w:w="100"/>
              <w:right w:type="dxa" w:w="120"/>
            </w:tcMar>
          </w:tcPr>
          <w:p>
            <w:pPr>
              <w:jc w:val="center"/>
            </w:pPr>
            <w:r>
              <w:rPr>
                <w:rFonts w:ascii="Arial" w:cs="Arial" w:eastAsia="Arial" w:hAnsi="Arial"/>
                <w:b/>
                <w:bCs/>
                <w:color w:val="0D1B2A"/>
                <w:sz w:val="24"/>
                <w:szCs w:val="24"/>
              </w:rPr>
              <w:t xml:space="preserve">DO</w:t>
            </w:r>
          </w:p>
        </w:tc>
        <w:tc>
          <w:tcPr>
            <w:tcW w:type="dxa" w:w="5040"/>
            <w:tcBorders>
              <w:top w:val="single" w:color="B0CDD8" w:sz="4"/>
              <w:left w:val="single" w:color="B0CDD8" w:sz="4"/>
              <w:bottom w:val="single" w:color="B0CDD8" w:sz="4"/>
              <w:right w:val="single" w:color="B0CDD8" w:sz="4"/>
            </w:tcBorders>
            <w:shd w:fill="0D1B2A" w:val="clear"/>
            <w:tcMar>
              <w:top w:type="dxa" w:w="100"/>
              <w:left w:type="dxa" w:w="160"/>
              <w:bottom w:type="dxa" w:w="100"/>
              <w:right w:type="dxa" w:w="120"/>
            </w:tcMar>
          </w:tcPr>
          <w:p>
            <w:pPr>
              <w:jc w:val="center"/>
            </w:pPr>
            <w:r>
              <w:rPr>
                <w:rFonts w:ascii="Arial" w:cs="Arial" w:eastAsia="Arial" w:hAnsi="Arial"/>
                <w:b/>
                <w:bCs/>
                <w:color w:val="F4A261"/>
                <w:sz w:val="24"/>
                <w:szCs w:val="24"/>
              </w:rPr>
              <w:t xml:space="preserve">DON'T</w:t>
            </w:r>
          </w:p>
        </w:tc>
      </w:tr>
      <w:tr>
        <w:tc>
          <w:tcPr>
            <w:tcW w:type="dxa" w:w="5040"/>
            <w:tcBorders>
              <w:top w:val="single" w:color="B0CDD8" w:sz="4"/>
              <w:left w:val="single" w:color="B0CDD8" w:sz="4"/>
              <w:bottom w:val="single" w:color="B0CDD8" w:sz="4"/>
              <w:right w:val="single" w:color="B0CDD8" w:sz="4"/>
            </w:tcBorders>
            <w:shd w:fill="E0F7FC" w:val="clear"/>
            <w:tcMar>
              <w:top w:type="dxa" w:w="90"/>
              <w:left w:type="dxa" w:w="160"/>
              <w:bottom w:type="dxa" w:w="90"/>
              <w:right w:type="dxa" w:w="120"/>
            </w:tcMar>
          </w:tcPr>
          <w:p>
            <w:r>
              <w:rPr>
                <w:rFonts w:ascii="Arial" w:cs="Arial" w:eastAsia="Arial" w:hAnsi="Arial"/>
                <w:color w:val="1A1A2E"/>
                <w:sz w:val="20"/>
                <w:szCs w:val="20"/>
              </w:rPr>
              <w:t xml:space="preserve">Keep profiles professional — use a real photo and accurate information</w:t>
            </w:r>
          </w:p>
        </w:tc>
        <w:tc>
          <w:tcPr>
            <w:tcW w:type="dxa" w:w="5040"/>
            <w:tcBorders>
              <w:top w:val="single" w:color="B0CDD8" w:sz="4"/>
              <w:left w:val="single" w:color="B0CDD8" w:sz="4"/>
              <w:bottom w:val="single" w:color="B0CDD8" w:sz="4"/>
              <w:right w:val="single" w:color="B0CDD8" w:sz="4"/>
            </w:tcBorders>
            <w:shd w:fill="FFF3E8" w:val="clear"/>
            <w:tcMar>
              <w:top w:type="dxa" w:w="90"/>
              <w:left w:type="dxa" w:w="160"/>
              <w:bottom w:type="dxa" w:w="90"/>
              <w:right w:type="dxa" w:w="120"/>
            </w:tcMar>
          </w:tcPr>
          <w:p>
            <w:r>
              <w:rPr>
                <w:rFonts w:ascii="Arial" w:cs="Arial" w:eastAsia="Arial" w:hAnsi="Arial"/>
                <w:color w:val="1A1A2E"/>
                <w:sz w:val="20"/>
                <w:szCs w:val="20"/>
              </w:rPr>
              <w:t xml:space="preserve">Post content in the heat of emotion — always pause before publishing</w:t>
            </w:r>
          </w:p>
        </w:tc>
      </w:tr>
      <w:tr>
        <w:tc>
          <w:tcPr>
            <w:tcW w:type="dxa" w:w="5040"/>
            <w:tcBorders>
              <w:top w:val="single" w:color="B0CDD8" w:sz="4"/>
              <w:left w:val="single" w:color="B0CDD8" w:sz="4"/>
              <w:bottom w:val="single" w:color="B0CDD8" w:sz="4"/>
              <w:right w:val="single" w:color="B0CDD8" w:sz="4"/>
            </w:tcBorders>
            <w:shd w:fill="FFFFFF" w:val="clear"/>
            <w:tcMar>
              <w:top w:type="dxa" w:w="90"/>
              <w:left w:type="dxa" w:w="160"/>
              <w:bottom w:type="dxa" w:w="90"/>
              <w:right w:type="dxa" w:w="120"/>
            </w:tcMar>
          </w:tcPr>
          <w:p>
            <w:r>
              <w:rPr>
                <w:rFonts w:ascii="Arial" w:cs="Arial" w:eastAsia="Arial" w:hAnsi="Arial"/>
                <w:color w:val="1A1A2E"/>
                <w:sz w:val="20"/>
                <w:szCs w:val="20"/>
              </w:rPr>
              <w:t xml:space="preserve">Use privacy settings to control who sees personal content</w:t>
            </w:r>
          </w:p>
        </w:tc>
        <w:tc>
          <w:tcPr>
            <w:tcW w:type="dxa" w:w="5040"/>
            <w:tcBorders>
              <w:top w:val="single" w:color="B0CDD8" w:sz="4"/>
              <w:left w:val="single" w:color="B0CDD8" w:sz="4"/>
              <w:bottom w:val="single" w:color="B0CDD8" w:sz="4"/>
              <w:right w:val="single" w:color="B0CDD8" w:sz="4"/>
            </w:tcBorders>
            <w:shd w:fill="FFFFFF" w:val="clear"/>
            <w:tcMar>
              <w:top w:type="dxa" w:w="90"/>
              <w:left w:type="dxa" w:w="160"/>
              <w:bottom w:type="dxa" w:w="90"/>
              <w:right w:type="dxa" w:w="120"/>
            </w:tcMar>
          </w:tcPr>
          <w:p>
            <w:r>
              <w:rPr>
                <w:rFonts w:ascii="Arial" w:cs="Arial" w:eastAsia="Arial" w:hAnsi="Arial"/>
                <w:color w:val="1A1A2E"/>
                <w:sz w:val="20"/>
                <w:szCs w:val="20"/>
              </w:rPr>
              <w:t xml:space="preserve">Share your college ID, exam roll numbers, or location in real time</w:t>
            </w:r>
          </w:p>
        </w:tc>
      </w:tr>
      <w:tr>
        <w:tc>
          <w:tcPr>
            <w:tcW w:type="dxa" w:w="5040"/>
            <w:tcBorders>
              <w:top w:val="single" w:color="B0CDD8" w:sz="4"/>
              <w:left w:val="single" w:color="B0CDD8" w:sz="4"/>
              <w:bottom w:val="single" w:color="B0CDD8" w:sz="4"/>
              <w:right w:val="single" w:color="B0CDD8" w:sz="4"/>
            </w:tcBorders>
            <w:shd w:fill="E0F7FC" w:val="clear"/>
            <w:tcMar>
              <w:top w:type="dxa" w:w="90"/>
              <w:left w:type="dxa" w:w="160"/>
              <w:bottom w:type="dxa" w:w="90"/>
              <w:right w:type="dxa" w:w="120"/>
            </w:tcMar>
          </w:tcPr>
          <w:p>
            <w:r>
              <w:rPr>
                <w:rFonts w:ascii="Arial" w:cs="Arial" w:eastAsia="Arial" w:hAnsi="Arial"/>
                <w:color w:val="1A1A2E"/>
                <w:sz w:val="20"/>
                <w:szCs w:val="20"/>
              </w:rPr>
              <w:t xml:space="preserve">Cite sources before sharing news or statistics publicly</w:t>
            </w:r>
          </w:p>
        </w:tc>
        <w:tc>
          <w:tcPr>
            <w:tcW w:type="dxa" w:w="5040"/>
            <w:tcBorders>
              <w:top w:val="single" w:color="B0CDD8" w:sz="4"/>
              <w:left w:val="single" w:color="B0CDD8" w:sz="4"/>
              <w:bottom w:val="single" w:color="B0CDD8" w:sz="4"/>
              <w:right w:val="single" w:color="B0CDD8" w:sz="4"/>
            </w:tcBorders>
            <w:shd w:fill="FFF3E8" w:val="clear"/>
            <w:tcMar>
              <w:top w:type="dxa" w:w="90"/>
              <w:left w:type="dxa" w:w="160"/>
              <w:bottom w:type="dxa" w:w="90"/>
              <w:right w:type="dxa" w:w="120"/>
            </w:tcMar>
          </w:tcPr>
          <w:p>
            <w:r>
              <w:rPr>
                <w:rFonts w:ascii="Arial" w:cs="Arial" w:eastAsia="Arial" w:hAnsi="Arial"/>
                <w:color w:val="1A1A2E"/>
                <w:sz w:val="20"/>
                <w:szCs w:val="20"/>
              </w:rPr>
              <w:t xml:space="preserve">Participate in online arguments or pile-ons, even if you are right</w:t>
            </w:r>
          </w:p>
        </w:tc>
      </w:tr>
      <w:tr>
        <w:tc>
          <w:tcPr>
            <w:tcW w:type="dxa" w:w="5040"/>
            <w:tcBorders>
              <w:top w:val="single" w:color="B0CDD8" w:sz="4"/>
              <w:left w:val="single" w:color="B0CDD8" w:sz="4"/>
              <w:bottom w:val="single" w:color="B0CDD8" w:sz="4"/>
              <w:right w:val="single" w:color="B0CDD8" w:sz="4"/>
            </w:tcBorders>
            <w:shd w:fill="FFFFFF" w:val="clear"/>
            <w:tcMar>
              <w:top w:type="dxa" w:w="90"/>
              <w:left w:type="dxa" w:w="160"/>
              <w:bottom w:type="dxa" w:w="90"/>
              <w:right w:type="dxa" w:w="120"/>
            </w:tcMar>
          </w:tcPr>
          <w:p>
            <w:r>
              <w:rPr>
                <w:rFonts w:ascii="Arial" w:cs="Arial" w:eastAsia="Arial" w:hAnsi="Arial"/>
                <w:color w:val="1A1A2E"/>
                <w:sz w:val="20"/>
                <w:szCs w:val="20"/>
              </w:rPr>
              <w:t xml:space="preserve">Report harassment, hate speech, or cyberbullying using platform tools</w:t>
            </w:r>
          </w:p>
        </w:tc>
        <w:tc>
          <w:tcPr>
            <w:tcW w:type="dxa" w:w="5040"/>
            <w:tcBorders>
              <w:top w:val="single" w:color="B0CDD8" w:sz="4"/>
              <w:left w:val="single" w:color="B0CDD8" w:sz="4"/>
              <w:bottom w:val="single" w:color="B0CDD8" w:sz="4"/>
              <w:right w:val="single" w:color="B0CDD8" w:sz="4"/>
            </w:tcBorders>
            <w:shd w:fill="FFFFFF" w:val="clear"/>
            <w:tcMar>
              <w:top w:type="dxa" w:w="90"/>
              <w:left w:type="dxa" w:w="160"/>
              <w:bottom w:type="dxa" w:w="90"/>
              <w:right w:type="dxa" w:w="120"/>
            </w:tcMar>
          </w:tcPr>
          <w:p>
            <w:r>
              <w:rPr>
                <w:rFonts w:ascii="Arial" w:cs="Arial" w:eastAsia="Arial" w:hAnsi="Arial"/>
                <w:color w:val="1A1A2E"/>
                <w:sz w:val="20"/>
                <w:szCs w:val="20"/>
              </w:rPr>
              <w:t xml:space="preserve">Accept friend/follow requests from strangers without verifying their identity</w:t>
            </w:r>
          </w:p>
        </w:tc>
      </w:tr>
      <w:tr>
        <w:tc>
          <w:tcPr>
            <w:tcW w:type="dxa" w:w="5040"/>
            <w:tcBorders>
              <w:top w:val="single" w:color="B0CDD8" w:sz="4"/>
              <w:left w:val="single" w:color="B0CDD8" w:sz="4"/>
              <w:bottom w:val="single" w:color="B0CDD8" w:sz="4"/>
              <w:right w:val="single" w:color="B0CDD8" w:sz="4"/>
            </w:tcBorders>
            <w:shd w:fill="E0F7FC" w:val="clear"/>
            <w:tcMar>
              <w:top w:type="dxa" w:w="90"/>
              <w:left w:type="dxa" w:w="160"/>
              <w:bottom w:type="dxa" w:w="90"/>
              <w:right w:type="dxa" w:w="120"/>
            </w:tcMar>
          </w:tcPr>
          <w:p>
            <w:r>
              <w:rPr>
                <w:rFonts w:ascii="Arial" w:cs="Arial" w:eastAsia="Arial" w:hAnsi="Arial"/>
                <w:color w:val="1A1A2E"/>
                <w:sz w:val="20"/>
                <w:szCs w:val="20"/>
              </w:rPr>
              <w:t xml:space="preserve">Think: 'Would I be comfortable if my professor saw this?' before posting</w:t>
            </w:r>
          </w:p>
        </w:tc>
        <w:tc>
          <w:tcPr>
            <w:tcW w:type="dxa" w:w="5040"/>
            <w:tcBorders>
              <w:top w:val="single" w:color="B0CDD8" w:sz="4"/>
              <w:left w:val="single" w:color="B0CDD8" w:sz="4"/>
              <w:bottom w:val="single" w:color="B0CDD8" w:sz="4"/>
              <w:right w:val="single" w:color="B0CDD8" w:sz="4"/>
            </w:tcBorders>
            <w:shd w:fill="FFF3E8" w:val="clear"/>
            <w:tcMar>
              <w:top w:type="dxa" w:w="90"/>
              <w:left w:type="dxa" w:w="160"/>
              <w:bottom w:type="dxa" w:w="90"/>
              <w:right w:type="dxa" w:w="120"/>
            </w:tcMar>
          </w:tcPr>
          <w:p>
            <w:r>
              <w:rPr>
                <w:rFonts w:ascii="Arial" w:cs="Arial" w:eastAsia="Arial" w:hAnsi="Arial"/>
                <w:color w:val="1A1A2E"/>
                <w:sz w:val="20"/>
                <w:szCs w:val="20"/>
              </w:rPr>
              <w:t xml:space="preserve">Use the same password across multiple social media accounts</w:t>
            </w:r>
          </w:p>
        </w:tc>
      </w:tr>
    </w:tbl>
    <w:p>
      <w:pPr>
        <w:spacing w:before="100" w:after="10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Reflection — Poor Digital Communication Scenario</w:t>
      </w:r>
    </w:p>
    <w:p>
      <w:pPr>
        <w:spacing w:before="80" w:after="80" w:line="300"/>
      </w:pPr>
      <w:r>
        <w:rPr>
          <w:rFonts w:ascii="Arial" w:cs="Arial" w:eastAsia="Arial" w:hAnsi="Arial"/>
          <w:color w:val="1A1A2E"/>
          <w:sz w:val="22"/>
          <w:szCs w:val="22"/>
        </w:rPr>
        <w:t xml:space="preserve">A common real-world scenario: a student sends a professor a message reading 'hey can I get more time for the assignment?' with no subject, no salutation, and no context. Even if the request is reasonable, the informal tone signals a lack of professionalism and the professor is likely to either decline or simply not respond. Had the student sent a structured email — a clear subject line, a polite greeting, a one-line reason, a specific revised date requested, and a professional sign-off — the outcome would almost certainly have been different. Digital communication carries tone just as spoken words do, and unlike in-person conversation, there is no facial expression or vocal warmth to compensate for poor wording. The written word stands alone.</w:t>
      </w:r>
    </w:p>
    <w:p>
      <w:pPr>
        <w:spacing w:before="100" w:after="100"/>
      </w:pPr>
      <w:r>
        <w:t xml:space="preserve"/>
      </w:r>
    </w:p>
    <w:p>
      <w:pPr>
        <w:pBdr>
          <w:bottom w:val="single" w:color="B0CDD8" w:sz="4" w:space="1"/>
        </w:pBdr>
        <w:spacing w:before="100" w:after="100" w:line="276"/>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D8" w:val="clear"/>
            <w:tcMar>
              <w:top w:type="dxa" w:w="100"/>
              <w:left w:type="dxa" w:w="140"/>
              <w:bottom w:type="dxa" w:w="100"/>
              <w:right w:type="dxa" w:w="80"/>
            </w:tcMar>
            <w:vAlign w:val="center"/>
          </w:tcPr>
          <w:p>
            <w:pPr>
              <w:jc w:val="center"/>
            </w:pPr>
            <w:r>
              <w:rPr>
                <w:rFonts w:ascii="Arial" w:cs="Arial" w:eastAsia="Arial" w:hAnsi="Arial"/>
                <w:b/>
                <w:bCs/>
                <w:color w:val="0D1B2A"/>
                <w:sz w:val="26"/>
                <w:szCs w:val="26"/>
              </w:rPr>
              <w:t xml:space="preserve">05</w:t>
            </w:r>
          </w:p>
        </w:tc>
        <w:tc>
          <w:tcPr>
            <w:tcW w:type="dxa" w:w="8640"/>
            <w:tcBorders>
              <w:top w:val="none" w:color="FFFFFF" w:sz="0"/>
              <w:left w:val="none" w:color="FFFFFF" w:sz="0"/>
              <w:bottom w:val="none" w:color="FFFFFF" w:sz="0"/>
              <w:right w:val="none" w:color="FFFFFF" w:sz="0"/>
            </w:tcBorders>
            <w:shd w:fill="0D1B2A" w:val="clear"/>
            <w:tcMar>
              <w:top w:type="dxa" w:w="100"/>
              <w:left w:type="dxa" w:w="200"/>
              <w:bottom w:type="dxa" w:w="100"/>
              <w:right w:type="dxa" w:w="120"/>
            </w:tcMar>
            <w:vAlign w:val="center"/>
          </w:tcPr>
          <w:p>
            <w:r>
              <w:rPr>
                <w:rFonts w:ascii="Arial" w:cs="Arial" w:eastAsia="Arial" w:hAnsi="Arial"/>
                <w:b/>
                <w:bCs/>
                <w:color w:val="FFFFFF"/>
                <w:sz w:val="28"/>
                <w:szCs w:val="28"/>
              </w:rPr>
              <w:t xml:space="preserve">Task 5  —  Cybercrime Awareness Case Study</w:t>
            </w:r>
          </w:p>
        </w:tc>
      </w:tr>
    </w:tbl>
    <w:p>
      <w:pPr>
        <w:spacing w:before="100" w:after="10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Case Study — UPI &amp; Online Payment Fraud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6"/>
              <w:left w:val="single" w:color="F4A261" w:sz="24"/>
              <w:bottom w:val="single" w:color="F4A261" w:sz="6"/>
              <w:right w:val="single" w:color="F4A261" w:sz="6"/>
            </w:tcBorders>
            <w:shd w:fill="FFF3E8" w:val="clear"/>
            <w:tcMar>
              <w:top w:type="dxa" w:w="120"/>
              <w:left w:type="dxa" w:w="200"/>
              <w:bottom w:type="dxa" w:w="120"/>
              <w:right w:type="dxa" w:w="200"/>
            </w:tcMar>
          </w:tcPr>
          <w:p>
            <w:pPr>
              <w:spacing w:before="40" w:after="40" w:line="280"/>
            </w:pPr>
            <w:r>
              <w:rPr>
                <w:rFonts w:ascii="Arial" w:cs="Arial" w:eastAsia="Arial" w:hAnsi="Arial"/>
                <w:i/>
                <w:iCs/>
                <w:color w:val="1A1A2E"/>
                <w:sz w:val="22"/>
                <w:szCs w:val="22"/>
              </w:rPr>
              <w:t xml:space="preserve">Cybercrime Type: UPI / Online Payment Fraud  |  Primary Target: College Students &amp; Young Adults  |  Reporting: cybercrime.gov.in  |  Helpline: 1930 (24x7)</w:t>
            </w:r>
          </w:p>
        </w:tc>
      </w:tr>
    </w:tbl>
    <w:p>
      <w:pPr>
        <w:spacing w:before="80" w:after="80"/>
      </w:pPr>
      <w:r>
        <w:t xml:space="preserve"/>
      </w:r>
    </w:p>
    <w:p>
      <w:pPr>
        <w:spacing w:before="80" w:after="80" w:line="300"/>
      </w:pPr>
      <w:r>
        <w:rPr>
          <w:rFonts w:ascii="Arial" w:cs="Arial" w:eastAsia="Arial" w:hAnsi="Arial"/>
          <w:color w:val="1A1A2E"/>
          <w:sz w:val="22"/>
          <w:szCs w:val="22"/>
        </w:rPr>
        <w:t xml:space="preserve">UPI fraud is one of the fastest-growing cybercrimes targeting Indian students, exploiting the same speed and convenience that makes UPI so widely used.</w:t>
      </w:r>
    </w:p>
    <w:p>
      <w:pPr>
        <w:spacing w:before="60" w:after="6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How it Typically Unfolds</w:t>
      </w:r>
    </w:p>
    <w:p>
      <w:pPr>
        <w:spacing w:before="40" w:after="40"/>
      </w:pPr>
      <w:r>
        <w:t xml:space="preserve"/>
      </w:r>
    </w:p>
    <w:p>
      <w:pPr>
        <w:pStyle w:val="ListParagraph"/>
        <w:numPr>
          <w:ilvl w:val="0"/>
          <w:numId w:val="2"/>
        </w:numPr>
        <w:spacing w:before="40" w:after="40" w:line="280"/>
      </w:pPr>
      <w:r>
        <w:rPr>
          <w:rFonts w:ascii="Arial" w:cs="Arial" w:eastAsia="Arial" w:hAnsi="Arial"/>
          <w:b/>
          <w:bCs/>
          <w:color w:val="1A1A2E"/>
          <w:sz w:val="22"/>
          <w:szCs w:val="22"/>
        </w:rPr>
        <w:t xml:space="preserve">Step 1 — The Setup: A student lists a second-hand item (laptop, phone, books) for sale on OLX or Instagram Marketplace.</w:t>
      </w:r>
    </w:p>
    <w:p>
      <w:pPr>
        <w:pStyle w:val="ListParagraph"/>
        <w:numPr>
          <w:ilvl w:val="0"/>
          <w:numId w:val="2"/>
        </w:numPr>
        <w:spacing w:before="40" w:after="40" w:line="280"/>
      </w:pPr>
      <w:r>
        <w:rPr>
          <w:rFonts w:ascii="Arial" w:cs="Arial" w:eastAsia="Arial" w:hAnsi="Arial"/>
          <w:b/>
          <w:bCs/>
          <w:color w:val="1A1A2E"/>
          <w:sz w:val="22"/>
          <w:szCs w:val="22"/>
        </w:rPr>
        <w:t xml:space="preserve">Step 2 — The Hook: A fraudster contacts them posing as an interested buyer, builds trust through friendly conversation, and proposes immediate payment via UPI.</w:t>
      </w:r>
    </w:p>
    <w:p>
      <w:pPr>
        <w:pStyle w:val="ListParagraph"/>
        <w:numPr>
          <w:ilvl w:val="0"/>
          <w:numId w:val="2"/>
        </w:numPr>
        <w:spacing w:before="40" w:after="40" w:line="280"/>
      </w:pPr>
      <w:r>
        <w:rPr>
          <w:rFonts w:ascii="Arial" w:cs="Arial" w:eastAsia="Arial" w:hAnsi="Arial"/>
          <w:b/>
          <w:bCs/>
          <w:color w:val="1A1A2E"/>
          <w:sz w:val="22"/>
          <w:szCs w:val="22"/>
        </w:rPr>
        <w:t xml:space="preserve">Step 3 — The Trick: The fraudster sends a UPI 'Collect Request' — a payment request that requires the receiver to enter their PIN. The student, unfamiliar with the difference between a collect request and a receive notification, enters their PIN.</w:t>
      </w:r>
    </w:p>
    <w:p>
      <w:pPr>
        <w:pStyle w:val="ListParagraph"/>
        <w:numPr>
          <w:ilvl w:val="0"/>
          <w:numId w:val="2"/>
        </w:numPr>
        <w:spacing w:before="40" w:after="40" w:line="280"/>
      </w:pPr>
      <w:r>
        <w:rPr>
          <w:rFonts w:ascii="Arial" w:cs="Arial" w:eastAsia="Arial" w:hAnsi="Arial"/>
          <w:b/>
          <w:bCs/>
          <w:color w:val="1A1A2E"/>
          <w:sz w:val="22"/>
          <w:szCs w:val="22"/>
        </w:rPr>
        <w:t xml:space="preserve">Step 4 — The Damage: Money is instantly debited from the student's account. In advanced cases, the fraudster also impersonates a bank executive and pressures the victim to scan a QR code or share an OTP.</w:t>
      </w:r>
    </w:p>
    <w:p>
      <w:pPr>
        <w:pStyle w:val="ListParagraph"/>
        <w:numPr>
          <w:ilvl w:val="0"/>
          <w:numId w:val="2"/>
        </w:numPr>
        <w:spacing w:before="40" w:after="40" w:line="280"/>
      </w:pPr>
      <w:r>
        <w:rPr>
          <w:rFonts w:ascii="Arial" w:cs="Arial" w:eastAsia="Arial" w:hAnsi="Arial"/>
          <w:b/>
          <w:bCs/>
          <w:color w:val="1A1A2E"/>
          <w:sz w:val="22"/>
          <w:szCs w:val="22"/>
        </w:rPr>
        <w:t xml:space="preserve">Step 5 — Consequences: Immediate financial loss (typically Rs. 5,000–50,000), very low recovery rates due to the instant nature of UPI transfers, and sometimes identity theft if additional data was collected.</w:t>
      </w:r>
    </w:p>
    <w:p>
      <w:pPr>
        <w:spacing w:before="80" w:after="8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Who is Targeted</w:t>
      </w:r>
    </w:p>
    <w:p>
      <w:pPr>
        <w:spacing w:before="80" w:after="80" w:line="300"/>
      </w:pPr>
      <w:r>
        <w:rPr>
          <w:rFonts w:ascii="Arial" w:cs="Arial" w:eastAsia="Arial" w:hAnsi="Arial"/>
          <w:color w:val="1A1A2E"/>
          <w:sz w:val="22"/>
          <w:szCs w:val="22"/>
        </w:rPr>
        <w:t xml:space="preserve">Students are disproportionately targeted because they transact online frequently, are unfamiliar with the technical distinction between UPI send and receive flows, and are less likely to pause and verify before acting when a buyer expresses urgency.</w:t>
      </w:r>
    </w:p>
    <w:p>
      <w:pPr>
        <w:spacing w:before="80" w:after="8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Stay Safe Online — Prevention Checklist</w:t>
      </w:r>
    </w:p>
    <w:p>
      <w:pPr>
        <w:spacing w:before="60" w:after="60"/>
      </w:pPr>
      <w:r>
        <w:t xml:space="preserve"/>
      </w:r>
    </w:p>
    <w:p>
      <w:pPr>
        <w:pStyle w:val="ListParagraph"/>
        <w:numPr>
          <w:ilvl w:val="0"/>
          <w:numId w:val="3"/>
        </w:numPr>
        <w:spacing w:before="50" w:after="50" w:line="280"/>
      </w:pPr>
      <w:r>
        <w:rPr>
          <w:rFonts w:ascii="Arial" w:cs="Arial" w:eastAsia="Arial" w:hAnsi="Arial"/>
          <w:sz w:val="22"/>
          <w:szCs w:val="22"/>
        </w:rPr>
        <w:t xml:space="preserve">  </w:t>
      </w:r>
      <w:r>
        <w:rPr>
          <w:rFonts w:ascii="Arial" w:cs="Arial" w:eastAsia="Arial" w:hAnsi="Arial"/>
          <w:color w:val="1A1A2E"/>
          <w:sz w:val="22"/>
          <w:szCs w:val="22"/>
        </w:rPr>
        <w:t xml:space="preserve">Never enter your UPI PIN in response to a 'collect' or 'request' notification — entering your PIN always means money LEAVES your account.</w:t>
      </w:r>
    </w:p>
    <w:p>
      <w:pPr>
        <w:pStyle w:val="ListParagraph"/>
        <w:numPr>
          <w:ilvl w:val="0"/>
          <w:numId w:val="3"/>
        </w:numPr>
        <w:spacing w:before="50" w:after="50" w:line="280"/>
      </w:pPr>
      <w:r>
        <w:rPr>
          <w:rFonts w:ascii="Arial" w:cs="Arial" w:eastAsia="Arial" w:hAnsi="Arial"/>
          <w:sz w:val="22"/>
          <w:szCs w:val="22"/>
        </w:rPr>
        <w:t xml:space="preserve">  </w:t>
      </w:r>
      <w:r>
        <w:rPr>
          <w:rFonts w:ascii="Arial" w:cs="Arial" w:eastAsia="Arial" w:hAnsi="Arial"/>
          <w:color w:val="1A1A2E"/>
          <w:sz w:val="22"/>
          <w:szCs w:val="22"/>
        </w:rPr>
        <w:t xml:space="preserve">Verify the identity of anyone requesting payment before transferring any amount, even small 'test' transactions.</w:t>
      </w:r>
    </w:p>
    <w:p>
      <w:pPr>
        <w:pStyle w:val="ListParagraph"/>
        <w:numPr>
          <w:ilvl w:val="0"/>
          <w:numId w:val="3"/>
        </w:numPr>
        <w:spacing w:before="50" w:after="50" w:line="280"/>
      </w:pPr>
      <w:r>
        <w:rPr>
          <w:rFonts w:ascii="Arial" w:cs="Arial" w:eastAsia="Arial" w:hAnsi="Arial"/>
          <w:sz w:val="22"/>
          <w:szCs w:val="22"/>
        </w:rPr>
        <w:t xml:space="preserve">  </w:t>
      </w:r>
      <w:r>
        <w:rPr>
          <w:rFonts w:ascii="Arial" w:cs="Arial" w:eastAsia="Arial" w:hAnsi="Arial"/>
          <w:color w:val="1A1A2E"/>
          <w:sz w:val="22"/>
          <w:szCs w:val="22"/>
        </w:rPr>
        <w:t xml:space="preserve">Enable transaction limits and daily transfer caps in your UPI app settings.</w:t>
      </w:r>
    </w:p>
    <w:p>
      <w:pPr>
        <w:pStyle w:val="ListParagraph"/>
        <w:numPr>
          <w:ilvl w:val="0"/>
          <w:numId w:val="3"/>
        </w:numPr>
        <w:spacing w:before="50" w:after="50" w:line="280"/>
      </w:pPr>
      <w:r>
        <w:rPr>
          <w:rFonts w:ascii="Arial" w:cs="Arial" w:eastAsia="Arial" w:hAnsi="Arial"/>
          <w:sz w:val="22"/>
          <w:szCs w:val="22"/>
        </w:rPr>
        <w:t xml:space="preserve">  </w:t>
      </w:r>
      <w:r>
        <w:rPr>
          <w:rFonts w:ascii="Arial" w:cs="Arial" w:eastAsia="Arial" w:hAnsi="Arial"/>
          <w:color w:val="1A1A2E"/>
          <w:sz w:val="22"/>
          <w:szCs w:val="22"/>
        </w:rPr>
        <w:t xml:space="preserve">Never share OTPs, UPI PINs, or CVV numbers — no bank or government official will ever ask for these.</w:t>
      </w:r>
    </w:p>
    <w:p>
      <w:pPr>
        <w:pStyle w:val="ListParagraph"/>
        <w:numPr>
          <w:ilvl w:val="0"/>
          <w:numId w:val="3"/>
        </w:numPr>
        <w:spacing w:before="50" w:after="50" w:line="280"/>
      </w:pPr>
      <w:r>
        <w:rPr>
          <w:rFonts w:ascii="Arial" w:cs="Arial" w:eastAsia="Arial" w:hAnsi="Arial"/>
          <w:sz w:val="22"/>
          <w:szCs w:val="22"/>
        </w:rPr>
        <w:t xml:space="preserve">  </w:t>
      </w:r>
      <w:r>
        <w:rPr>
          <w:rFonts w:ascii="Arial" w:cs="Arial" w:eastAsia="Arial" w:hAnsi="Arial"/>
          <w:color w:val="1A1A2E"/>
          <w:sz w:val="22"/>
          <w:szCs w:val="22"/>
        </w:rPr>
        <w:t xml:space="preserve">Enable two-factor authentication (2FA) on all financial and social media accounts.</w:t>
      </w:r>
    </w:p>
    <w:p>
      <w:pPr>
        <w:pStyle w:val="ListParagraph"/>
        <w:numPr>
          <w:ilvl w:val="0"/>
          <w:numId w:val="3"/>
        </w:numPr>
        <w:spacing w:before="50" w:after="50" w:line="280"/>
      </w:pPr>
      <w:r>
        <w:rPr>
          <w:rFonts w:ascii="Arial" w:cs="Arial" w:eastAsia="Arial" w:hAnsi="Arial"/>
          <w:sz w:val="22"/>
          <w:szCs w:val="22"/>
        </w:rPr>
        <w:t xml:space="preserve">  </w:t>
      </w:r>
      <w:r>
        <w:rPr>
          <w:rFonts w:ascii="Arial" w:cs="Arial" w:eastAsia="Arial" w:hAnsi="Arial"/>
          <w:color w:val="1A1A2E"/>
          <w:sz w:val="22"/>
          <w:szCs w:val="22"/>
        </w:rPr>
        <w:t xml:space="preserve">Use only the official app stores (Google Play / App Store) to download banking and payment apps.</w:t>
      </w:r>
    </w:p>
    <w:p>
      <w:pPr>
        <w:pStyle w:val="ListParagraph"/>
        <w:numPr>
          <w:ilvl w:val="0"/>
          <w:numId w:val="3"/>
        </w:numPr>
        <w:spacing w:before="50" w:after="50" w:line="280"/>
      </w:pPr>
      <w:r>
        <w:rPr>
          <w:rFonts w:ascii="Arial" w:cs="Arial" w:eastAsia="Arial" w:hAnsi="Arial"/>
          <w:sz w:val="22"/>
          <w:szCs w:val="22"/>
        </w:rPr>
        <w:t xml:space="preserve">  </w:t>
      </w:r>
      <w:r>
        <w:rPr>
          <w:rFonts w:ascii="Arial" w:cs="Arial" w:eastAsia="Arial" w:hAnsi="Arial"/>
          <w:color w:val="1A1A2E"/>
          <w:sz w:val="22"/>
          <w:szCs w:val="22"/>
        </w:rPr>
        <w:t xml:space="preserve">Check the URL carefully before entering credentials on any website — look for HTTPS and verify the domain spelling.</w:t>
      </w:r>
    </w:p>
    <w:p>
      <w:pPr>
        <w:pStyle w:val="ListParagraph"/>
        <w:numPr>
          <w:ilvl w:val="0"/>
          <w:numId w:val="3"/>
        </w:numPr>
        <w:spacing w:before="50" w:after="50" w:line="280"/>
      </w:pPr>
      <w:r>
        <w:rPr>
          <w:rFonts w:ascii="Arial" w:cs="Arial" w:eastAsia="Arial" w:hAnsi="Arial"/>
          <w:sz w:val="22"/>
          <w:szCs w:val="22"/>
        </w:rPr>
        <w:t xml:space="preserve">  </w:t>
      </w:r>
      <w:r>
        <w:rPr>
          <w:rFonts w:ascii="Arial" w:cs="Arial" w:eastAsia="Arial" w:hAnsi="Arial"/>
          <w:color w:val="1A1A2E"/>
          <w:sz w:val="22"/>
          <w:szCs w:val="22"/>
        </w:rPr>
        <w:t xml:space="preserve">Report any suspicious activity immediately at cybercrime.gov.in or call Helpline 1930 (available 24x7).</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6"/>
              <w:left w:val="single" w:color="F4A261" w:sz="24"/>
              <w:bottom w:val="single" w:color="F4A261" w:sz="6"/>
              <w:right w:val="single" w:color="F4A261" w:sz="6"/>
            </w:tcBorders>
            <w:shd w:fill="FFF3E8" w:val="clear"/>
            <w:tcMar>
              <w:top w:type="dxa" w:w="120"/>
              <w:left w:type="dxa" w:w="200"/>
              <w:bottom w:type="dxa" w:w="120"/>
              <w:right w:type="dxa" w:w="200"/>
            </w:tcMar>
          </w:tcPr>
          <w:p>
            <w:pPr>
              <w:spacing w:before="40" w:after="40" w:line="280"/>
            </w:pPr>
            <w:r>
              <w:rPr>
                <w:rFonts w:ascii="Arial" w:cs="Arial" w:eastAsia="Arial" w:hAnsi="Arial"/>
                <w:i/>
                <w:iCs/>
                <w:color w:val="1A1A2E"/>
                <w:sz w:val="22"/>
                <w:szCs w:val="22"/>
              </w:rPr>
              <w:t xml:space="preserve">Reporting Channels: National Cyber Crime Reporting Portal — cybercrime.gov.in  |  Cyber Crime Helpline — 1930 (24x7, toll-free)</w:t>
            </w:r>
          </w:p>
        </w:tc>
      </w:tr>
    </w:tbl>
    <w:p>
      <w:pPr>
        <w:spacing w:before="100" w:after="100"/>
      </w:pPr>
      <w:r>
        <w:t xml:space="preserve"/>
      </w:r>
    </w:p>
    <w:p>
      <w:pPr>
        <w:pBdr>
          <w:left w:val="single" w:color="00B4D8" w:sz="18" w:space="8"/>
        </w:pBdr>
        <w:spacing w:before="200" w:after="80" w:line="276"/>
        <w:ind w:left="160"/>
      </w:pPr>
      <w:r>
        <w:rPr>
          <w:rFonts w:ascii="Arial" w:cs="Arial" w:eastAsia="Arial" w:hAnsi="Arial"/>
          <w:b/>
          <w:bCs/>
          <w:color w:val="1E3A4F"/>
          <w:sz w:val="24"/>
          <w:szCs w:val="24"/>
        </w:rPr>
        <w:t xml:space="preserve">Reflection</w:t>
      </w:r>
    </w:p>
    <w:p>
      <w:pPr>
        <w:spacing w:before="80" w:after="80" w:line="300"/>
      </w:pPr>
      <w:r>
        <w:rPr>
          <w:rFonts w:ascii="Arial" w:cs="Arial" w:eastAsia="Arial" w:hAnsi="Arial"/>
          <w:color w:val="1A1A2E"/>
          <w:sz w:val="22"/>
          <w:szCs w:val="22"/>
        </w:rPr>
        <w:t xml:space="preserve">What surprised me most during research was how technically unsophisticated most UPI scams actually are. They rely almost entirely on social engineering — urgency, authority, and unfamiliarity — rather than any software vulnerability. The fraudster does not need coding skills; they just need the victim to act quickly without thinking.</w:t>
      </w:r>
    </w:p>
    <w:p>
      <w:pPr>
        <w:spacing w:before="60" w:after="60"/>
      </w:pPr>
      <w:r>
        <w:t xml:space="preserve"/>
      </w:r>
    </w:p>
    <w:p>
      <w:pPr>
        <w:spacing w:before="80" w:after="80" w:line="300"/>
      </w:pPr>
      <w:r>
        <w:rPr>
          <w:rFonts w:ascii="Arial" w:cs="Arial" w:eastAsia="Arial" w:hAnsi="Arial"/>
          <w:color w:val="1A1A2E"/>
          <w:sz w:val="22"/>
          <w:szCs w:val="22"/>
        </w:rPr>
        <w:t xml:space="preserve">The one habit I will personally change: I will always spend three seconds identifying whether a UPI notification is asking me to receive money or asking me to approve a payment request before touching my PIN. That three-second pause is the entire defence.</w:t>
      </w:r>
    </w:p>
    <w:p>
      <w:pPr>
        <w:spacing w:before="100" w:after="100"/>
      </w:pPr>
      <w:r>
        <w:t xml:space="preserve"/>
      </w:r>
    </w:p>
    <w:p>
      <w:pPr>
        <w:pBdr>
          <w:bottom w:val="single" w:color="B0CDD8" w:sz="4" w:space="1"/>
        </w:pBdr>
        <w:spacing w:before="100" w:after="100" w:line="276"/>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D8" w:val="clear"/>
            <w:tcMar>
              <w:top w:type="dxa" w:w="100"/>
              <w:left w:type="dxa" w:w="140"/>
              <w:bottom w:type="dxa" w:w="100"/>
              <w:right w:type="dxa" w:w="80"/>
            </w:tcMar>
            <w:vAlign w:val="center"/>
          </w:tcPr>
          <w:p>
            <w:pPr>
              <w:jc w:val="center"/>
            </w:pPr>
            <w:r>
              <w:rPr>
                <w:rFonts w:ascii="Arial" w:cs="Arial" w:eastAsia="Arial" w:hAnsi="Arial"/>
                <w:b/>
                <w:bCs/>
                <w:color w:val="0D1B2A"/>
                <w:sz w:val="26"/>
                <w:szCs w:val="26"/>
              </w:rPr>
              <w:t xml:space="preserve">06</w:t>
            </w:r>
          </w:p>
        </w:tc>
        <w:tc>
          <w:tcPr>
            <w:tcW w:type="dxa" w:w="8640"/>
            <w:tcBorders>
              <w:top w:val="none" w:color="FFFFFF" w:sz="0"/>
              <w:left w:val="none" w:color="FFFFFF" w:sz="0"/>
              <w:bottom w:val="none" w:color="FFFFFF" w:sz="0"/>
              <w:right w:val="none" w:color="FFFFFF" w:sz="0"/>
            </w:tcBorders>
            <w:shd w:fill="0D1B2A" w:val="clear"/>
            <w:tcMar>
              <w:top w:type="dxa" w:w="100"/>
              <w:left w:type="dxa" w:w="200"/>
              <w:bottom w:type="dxa" w:w="100"/>
              <w:right w:type="dxa" w:w="120"/>
            </w:tcMar>
            <w:vAlign w:val="center"/>
          </w:tcPr>
          <w:p>
            <w:r>
              <w:rPr>
                <w:rFonts w:ascii="Arial" w:cs="Arial" w:eastAsia="Arial" w:hAnsi="Arial"/>
                <w:b/>
                <w:bCs/>
                <w:color w:val="FFFFFF"/>
                <w:sz w:val="28"/>
                <w:szCs w:val="28"/>
              </w:rPr>
              <w:t xml:space="preserve">Conclusion</w:t>
            </w:r>
          </w:p>
        </w:tc>
      </w:tr>
    </w:tbl>
    <w:p>
      <w:pPr>
        <w:spacing w:before="100" w:after="100"/>
      </w:pPr>
      <w:r>
        <w:t xml:space="preserve"/>
      </w:r>
    </w:p>
    <w:p>
      <w:pPr>
        <w:spacing w:before="80" w:after="80" w:line="300"/>
      </w:pPr>
      <w:r>
        <w:rPr>
          <w:rFonts w:ascii="Arial" w:cs="Arial" w:eastAsia="Arial" w:hAnsi="Arial"/>
          <w:color w:val="1A1A2E"/>
          <w:sz w:val="22"/>
          <w:szCs w:val="22"/>
        </w:rPr>
        <w:t xml:space="preserve">Before this project, I understood digital literacy as a vague concept — 'being good with technology.' Over these five tasks, I came to see it as a much richer set of competencies: designing clear visual communication, building a credible professional identity early, using cloud collaboration tools effectively, communicating with precision and professionalism in writing, and staying alert to threats that specifically target people like me.</w:t>
      </w:r>
    </w:p>
    <w:p>
      <w:pPr>
        <w:spacing w:before="80" w:after="80"/>
      </w:pPr>
      <w:r>
        <w:t xml:space="preserve"/>
      </w:r>
    </w:p>
    <w:p>
      <w:pPr>
        <w:spacing w:before="80" w:after="80" w:line="300"/>
      </w:pPr>
      <w:r>
        <w:rPr>
          <w:rFonts w:ascii="Arial" w:cs="Arial" w:eastAsia="Arial" w:hAnsi="Arial"/>
          <w:color w:val="1A1A2E"/>
          <w:sz w:val="22"/>
          <w:szCs w:val="22"/>
        </w:rPr>
        <w:t xml:space="preserve">The two most impactful tasks were the portfolio setup (Task 2), which made me think seriously and concretely about how I present myself online, and the cybercrime case study (Task 5), which gave me a visceral, practical understanding of real threats rather than abstract warnings. The GitHub repository built for this project will remain a living artefact of my learning — and that permanence is exactly the point.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6"/>
              <w:left w:val="single" w:color="00B4D8" w:sz="24"/>
              <w:bottom w:val="single" w:color="00B4D8" w:sz="6"/>
              <w:right w:val="single" w:color="00B4D8" w:sz="6"/>
            </w:tcBorders>
            <w:shd w:fill="E0F7FC" w:val="clear"/>
            <w:tcMar>
              <w:top w:type="dxa" w:w="120"/>
              <w:left w:type="dxa" w:w="200"/>
              <w:bottom w:type="dxa" w:w="120"/>
              <w:right w:type="dxa" w:w="200"/>
            </w:tcMar>
          </w:tcPr>
          <w:p>
            <w:pPr>
              <w:spacing w:before="40" w:after="40" w:line="280"/>
            </w:pPr>
            <w:r>
              <w:rPr>
                <w:rFonts w:ascii="Arial" w:cs="Arial" w:eastAsia="Arial" w:hAnsi="Arial"/>
                <w:i/>
                <w:iCs/>
                <w:color w:val="1A1A2E"/>
                <w:sz w:val="22"/>
                <w:szCs w:val="22"/>
              </w:rPr>
              <w:t xml:space="preserve">This project delivered something beyond marks: a set of habits and tools I will actively use throughout my four years at VIT Bhopal and into my career.</w:t>
            </w:r>
          </w:p>
        </w:tc>
      </w:tr>
    </w:tbl>
    <w:p>
      <w:pPr>
        <w:spacing w:before="100" w:after="100"/>
      </w:pPr>
      <w:r>
        <w:t xml:space="preserve"/>
      </w:r>
    </w:p>
    <w:p>
      <w:pPr>
        <w:pBdr>
          <w:bottom w:val="single" w:color="B0CDD8" w:sz="4" w:space="1"/>
        </w:pBdr>
        <w:spacing w:before="100" w:after="100" w:line="276"/>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D8" w:val="clear"/>
            <w:tcMar>
              <w:top w:type="dxa" w:w="100"/>
              <w:left w:type="dxa" w:w="140"/>
              <w:bottom w:type="dxa" w:w="100"/>
              <w:right w:type="dxa" w:w="80"/>
            </w:tcMar>
            <w:vAlign w:val="center"/>
          </w:tcPr>
          <w:p>
            <w:pPr>
              <w:jc w:val="center"/>
            </w:pPr>
            <w:r>
              <w:rPr>
                <w:rFonts w:ascii="Arial" w:cs="Arial" w:eastAsia="Arial" w:hAnsi="Arial"/>
                <w:b/>
                <w:bCs/>
                <w:color w:val="0D1B2A"/>
                <w:sz w:val="26"/>
                <w:szCs w:val="26"/>
              </w:rPr>
              <w:t xml:space="preserve">07</w:t>
            </w:r>
          </w:p>
        </w:tc>
        <w:tc>
          <w:tcPr>
            <w:tcW w:type="dxa" w:w="8640"/>
            <w:tcBorders>
              <w:top w:val="none" w:color="FFFFFF" w:sz="0"/>
              <w:left w:val="none" w:color="FFFFFF" w:sz="0"/>
              <w:bottom w:val="none" w:color="FFFFFF" w:sz="0"/>
              <w:right w:val="none" w:color="FFFFFF" w:sz="0"/>
            </w:tcBorders>
            <w:shd w:fill="0D1B2A" w:val="clear"/>
            <w:tcMar>
              <w:top w:type="dxa" w:w="100"/>
              <w:left w:type="dxa" w:w="200"/>
              <w:bottom w:type="dxa" w:w="100"/>
              <w:right w:type="dxa" w:w="120"/>
            </w:tcMar>
            <w:vAlign w:val="center"/>
          </w:tcPr>
          <w:p>
            <w:r>
              <w:rPr>
                <w:rFonts w:ascii="Arial" w:cs="Arial" w:eastAsia="Arial" w:hAnsi="Arial"/>
                <w:b/>
                <w:bCs/>
                <w:color w:val="FFFFFF"/>
                <w:sz w:val="28"/>
                <w:szCs w:val="28"/>
              </w:rPr>
              <w:t xml:space="preserve">References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DD8" w:sz="4"/>
              <w:left w:val="single" w:color="B0CDD8" w:sz="4"/>
              <w:bottom w:val="single" w:color="B0CDD8" w:sz="4"/>
              <w:right w:val="single" w:color="B0CDD8" w:sz="4"/>
            </w:tcBorders>
            <w:shd w:fill="ECF2F7" w:val="clear"/>
            <w:tcMar>
              <w:top w:type="dxa" w:w="100"/>
              <w:left w:type="dxa" w:w="160"/>
              <w:bottom w:type="dxa" w:w="100"/>
              <w:right w:type="dxa" w:w="120"/>
            </w:tcMar>
          </w:tcPr>
          <w:p>
            <w:r>
              <w:rPr>
                <w:rFonts w:ascii="Arial" w:cs="Arial" w:eastAsia="Arial" w:hAnsi="Arial"/>
                <w:b/>
                <w:bCs/>
                <w:color w:val="0077A3"/>
                <w:sz w:val="21"/>
                <w:szCs w:val="21"/>
              </w:rPr>
              <w:t xml:space="preserve">Cybercrime Portal</w:t>
            </w:r>
          </w:p>
        </w:tc>
        <w:tc>
          <w:tcPr>
            <w:tcW w:type="dxa" w:w="6560"/>
            <w:tcBorders>
              <w:top w:val="single" w:color="B0CDD8" w:sz="4"/>
              <w:left w:val="single" w:color="B0CDD8" w:sz="4"/>
              <w:bottom w:val="single" w:color="B0CDD8" w:sz="4"/>
              <w:right w:val="single" w:color="B0CDD8" w:sz="4"/>
            </w:tcBorders>
            <w:shd w:fill="FFFFFF" w:val="clear"/>
            <w:tcMar>
              <w:top w:type="dxa" w:w="100"/>
              <w:left w:type="dxa" w:w="160"/>
              <w:bottom w:type="dxa" w:w="100"/>
              <w:right w:type="dxa" w:w="120"/>
            </w:tcMar>
          </w:tcPr>
          <w:p>
            <w:r>
              <w:rPr>
                <w:rFonts w:ascii="Arial" w:cs="Arial" w:eastAsia="Arial" w:hAnsi="Arial"/>
                <w:color w:val="1A1A2E"/>
                <w:sz w:val="21"/>
                <w:szCs w:val="21"/>
              </w:rPr>
              <w:t xml:space="preserve">National Cyber Crime Reporting Portal — cybercrime.gov.in</w:t>
            </w:r>
          </w:p>
        </w:tc>
      </w:tr>
      <w:tr>
        <w:tc>
          <w:tcPr>
            <w:tcW w:type="dxa" w:w="2800"/>
            <w:tcBorders>
              <w:top w:val="single" w:color="B0CDD8" w:sz="4"/>
              <w:left w:val="single" w:color="B0CDD8" w:sz="4"/>
              <w:bottom w:val="single" w:color="B0CDD8" w:sz="4"/>
              <w:right w:val="single" w:color="B0CDD8" w:sz="4"/>
            </w:tcBorders>
            <w:shd w:fill="FFFFFF" w:val="clear"/>
            <w:tcMar>
              <w:top w:type="dxa" w:w="100"/>
              <w:left w:type="dxa" w:w="160"/>
              <w:bottom w:type="dxa" w:w="100"/>
              <w:right w:type="dxa" w:w="120"/>
            </w:tcMar>
          </w:tcPr>
          <w:p>
            <w:r>
              <w:rPr>
                <w:rFonts w:ascii="Arial" w:cs="Arial" w:eastAsia="Arial" w:hAnsi="Arial"/>
                <w:b/>
                <w:bCs/>
                <w:color w:val="0077A3"/>
                <w:sz w:val="21"/>
                <w:szCs w:val="21"/>
              </w:rPr>
              <w:t xml:space="preserve">Cyber Helpline</w:t>
            </w:r>
          </w:p>
        </w:tc>
        <w:tc>
          <w:tcPr>
            <w:tcW w:type="dxa" w:w="6560"/>
            <w:tcBorders>
              <w:top w:val="single" w:color="B0CDD8" w:sz="4"/>
              <w:left w:val="single" w:color="B0CDD8" w:sz="4"/>
              <w:bottom w:val="single" w:color="B0CDD8" w:sz="4"/>
              <w:right w:val="single" w:color="B0CDD8" w:sz="4"/>
            </w:tcBorders>
            <w:shd w:fill="ECF2F7" w:val="clear"/>
            <w:tcMar>
              <w:top w:type="dxa" w:w="100"/>
              <w:left w:type="dxa" w:w="160"/>
              <w:bottom w:type="dxa" w:w="100"/>
              <w:right w:type="dxa" w:w="120"/>
            </w:tcMar>
          </w:tcPr>
          <w:p>
            <w:r>
              <w:rPr>
                <w:rFonts w:ascii="Arial" w:cs="Arial" w:eastAsia="Arial" w:hAnsi="Arial"/>
                <w:color w:val="1A1A2E"/>
                <w:sz w:val="21"/>
                <w:szCs w:val="21"/>
              </w:rPr>
              <w:t xml:space="preserve">1930 (24x7 toll-free, Government of India)</w:t>
            </w:r>
          </w:p>
        </w:tc>
      </w:tr>
      <w:tr>
        <w:tc>
          <w:tcPr>
            <w:tcW w:type="dxa" w:w="2800"/>
            <w:tcBorders>
              <w:top w:val="single" w:color="B0CDD8" w:sz="4"/>
              <w:left w:val="single" w:color="B0CDD8" w:sz="4"/>
              <w:bottom w:val="single" w:color="B0CDD8" w:sz="4"/>
              <w:right w:val="single" w:color="B0CDD8" w:sz="4"/>
            </w:tcBorders>
            <w:shd w:fill="ECF2F7" w:val="clear"/>
            <w:tcMar>
              <w:top w:type="dxa" w:w="100"/>
              <w:left w:type="dxa" w:w="160"/>
              <w:bottom w:type="dxa" w:w="100"/>
              <w:right w:type="dxa" w:w="120"/>
            </w:tcMar>
          </w:tcPr>
          <w:p>
            <w:r>
              <w:rPr>
                <w:rFonts w:ascii="Arial" w:cs="Arial" w:eastAsia="Arial" w:hAnsi="Arial"/>
                <w:b/>
                <w:bCs/>
                <w:color w:val="0077A3"/>
                <w:sz w:val="21"/>
                <w:szCs w:val="21"/>
              </w:rPr>
              <w:t xml:space="preserve">CERT-In</w:t>
            </w:r>
          </w:p>
        </w:tc>
        <w:tc>
          <w:tcPr>
            <w:tcW w:type="dxa" w:w="6560"/>
            <w:tcBorders>
              <w:top w:val="single" w:color="B0CDD8" w:sz="4"/>
              <w:left w:val="single" w:color="B0CDD8" w:sz="4"/>
              <w:bottom w:val="single" w:color="B0CDD8" w:sz="4"/>
              <w:right w:val="single" w:color="B0CDD8" w:sz="4"/>
            </w:tcBorders>
            <w:shd w:fill="FFFFFF" w:val="clear"/>
            <w:tcMar>
              <w:top w:type="dxa" w:w="100"/>
              <w:left w:type="dxa" w:w="160"/>
              <w:bottom w:type="dxa" w:w="100"/>
              <w:right w:type="dxa" w:w="120"/>
            </w:tcMar>
          </w:tcPr>
          <w:p>
            <w:r>
              <w:rPr>
                <w:rFonts w:ascii="Arial" w:cs="Arial" w:eastAsia="Arial" w:hAnsi="Arial"/>
                <w:color w:val="1A1A2E"/>
                <w:sz w:val="21"/>
                <w:szCs w:val="21"/>
              </w:rPr>
              <w:t xml:space="preserve">Advisory on UPI Frauds (2024) — cert-in.org.in</w:t>
            </w:r>
          </w:p>
        </w:tc>
      </w:tr>
      <w:tr>
        <w:tc>
          <w:tcPr>
            <w:tcW w:type="dxa" w:w="2800"/>
            <w:tcBorders>
              <w:top w:val="single" w:color="B0CDD8" w:sz="4"/>
              <w:left w:val="single" w:color="B0CDD8" w:sz="4"/>
              <w:bottom w:val="single" w:color="B0CDD8" w:sz="4"/>
              <w:right w:val="single" w:color="B0CDD8" w:sz="4"/>
            </w:tcBorders>
            <w:shd w:fill="FFFFFF" w:val="clear"/>
            <w:tcMar>
              <w:top w:type="dxa" w:w="100"/>
              <w:left w:type="dxa" w:w="160"/>
              <w:bottom w:type="dxa" w:w="100"/>
              <w:right w:type="dxa" w:w="120"/>
            </w:tcMar>
          </w:tcPr>
          <w:p>
            <w:r>
              <w:rPr>
                <w:rFonts w:ascii="Arial" w:cs="Arial" w:eastAsia="Arial" w:hAnsi="Arial"/>
                <w:b/>
                <w:bCs/>
                <w:color w:val="0077A3"/>
                <w:sz w:val="21"/>
                <w:szCs w:val="21"/>
              </w:rPr>
              <w:t xml:space="preserve">Canva</w:t>
            </w:r>
          </w:p>
        </w:tc>
        <w:tc>
          <w:tcPr>
            <w:tcW w:type="dxa" w:w="6560"/>
            <w:tcBorders>
              <w:top w:val="single" w:color="B0CDD8" w:sz="4"/>
              <w:left w:val="single" w:color="B0CDD8" w:sz="4"/>
              <w:bottom w:val="single" w:color="B0CDD8" w:sz="4"/>
              <w:right w:val="single" w:color="B0CDD8" w:sz="4"/>
            </w:tcBorders>
            <w:shd w:fill="ECF2F7" w:val="clear"/>
            <w:tcMar>
              <w:top w:type="dxa" w:w="100"/>
              <w:left w:type="dxa" w:w="160"/>
              <w:bottom w:type="dxa" w:w="100"/>
              <w:right w:type="dxa" w:w="120"/>
            </w:tcMar>
          </w:tcPr>
          <w:p>
            <w:r>
              <w:rPr>
                <w:rFonts w:ascii="Arial" w:cs="Arial" w:eastAsia="Arial" w:hAnsi="Arial"/>
                <w:color w:val="1A1A2E"/>
                <w:sz w:val="21"/>
                <w:szCs w:val="21"/>
              </w:rPr>
              <w:t xml:space="preserve">Design &amp; Infographic Tool — canva.com</w:t>
            </w:r>
          </w:p>
        </w:tc>
      </w:tr>
      <w:tr>
        <w:tc>
          <w:tcPr>
            <w:tcW w:type="dxa" w:w="2800"/>
            <w:tcBorders>
              <w:top w:val="single" w:color="B0CDD8" w:sz="4"/>
              <w:left w:val="single" w:color="B0CDD8" w:sz="4"/>
              <w:bottom w:val="single" w:color="B0CDD8" w:sz="4"/>
              <w:right w:val="single" w:color="B0CDD8" w:sz="4"/>
            </w:tcBorders>
            <w:shd w:fill="ECF2F7" w:val="clear"/>
            <w:tcMar>
              <w:top w:type="dxa" w:w="100"/>
              <w:left w:type="dxa" w:w="160"/>
              <w:bottom w:type="dxa" w:w="100"/>
              <w:right w:type="dxa" w:w="120"/>
            </w:tcMar>
          </w:tcPr>
          <w:p>
            <w:r>
              <w:rPr>
                <w:rFonts w:ascii="Arial" w:cs="Arial" w:eastAsia="Arial" w:hAnsi="Arial"/>
                <w:b/>
                <w:bCs/>
                <w:color w:val="0077A3"/>
                <w:sz w:val="21"/>
                <w:szCs w:val="21"/>
              </w:rPr>
              <w:t xml:space="preserve">GitHub Docs</w:t>
            </w:r>
          </w:p>
        </w:tc>
        <w:tc>
          <w:tcPr>
            <w:tcW w:type="dxa" w:w="6560"/>
            <w:tcBorders>
              <w:top w:val="single" w:color="B0CDD8" w:sz="4"/>
              <w:left w:val="single" w:color="B0CDD8" w:sz="4"/>
              <w:bottom w:val="single" w:color="B0CDD8" w:sz="4"/>
              <w:right w:val="single" w:color="B0CDD8" w:sz="4"/>
            </w:tcBorders>
            <w:shd w:fill="FFFFFF" w:val="clear"/>
            <w:tcMar>
              <w:top w:type="dxa" w:w="100"/>
              <w:left w:type="dxa" w:w="160"/>
              <w:bottom w:type="dxa" w:w="100"/>
              <w:right w:type="dxa" w:w="120"/>
            </w:tcMar>
          </w:tcPr>
          <w:p>
            <w:r>
              <w:rPr>
                <w:rFonts w:ascii="Arial" w:cs="Arial" w:eastAsia="Arial" w:hAnsi="Arial"/>
                <w:color w:val="1A1A2E"/>
                <w:sz w:val="21"/>
                <w:szCs w:val="21"/>
              </w:rPr>
              <w:t xml:space="preserve">Profile README guide — docs.github.com</w:t>
            </w:r>
          </w:p>
        </w:tc>
      </w:tr>
      <w:tr>
        <w:tc>
          <w:tcPr>
            <w:tcW w:type="dxa" w:w="2800"/>
            <w:tcBorders>
              <w:top w:val="single" w:color="B0CDD8" w:sz="4"/>
              <w:left w:val="single" w:color="B0CDD8" w:sz="4"/>
              <w:bottom w:val="single" w:color="B0CDD8" w:sz="4"/>
              <w:right w:val="single" w:color="B0CDD8" w:sz="4"/>
            </w:tcBorders>
            <w:shd w:fill="FFFFFF" w:val="clear"/>
            <w:tcMar>
              <w:top w:type="dxa" w:w="100"/>
              <w:left w:type="dxa" w:w="160"/>
              <w:bottom w:type="dxa" w:w="100"/>
              <w:right w:type="dxa" w:w="120"/>
            </w:tcMar>
          </w:tcPr>
          <w:p>
            <w:r>
              <w:rPr>
                <w:rFonts w:ascii="Arial" w:cs="Arial" w:eastAsia="Arial" w:hAnsi="Arial"/>
                <w:b/>
                <w:bCs/>
                <w:color w:val="0077A3"/>
                <w:sz w:val="21"/>
                <w:szCs w:val="21"/>
              </w:rPr>
              <w:t xml:space="preserve">HackerRank</w:t>
            </w:r>
          </w:p>
        </w:tc>
        <w:tc>
          <w:tcPr>
            <w:tcW w:type="dxa" w:w="6560"/>
            <w:tcBorders>
              <w:top w:val="single" w:color="B0CDD8" w:sz="4"/>
              <w:left w:val="single" w:color="B0CDD8" w:sz="4"/>
              <w:bottom w:val="single" w:color="B0CDD8" w:sz="4"/>
              <w:right w:val="single" w:color="B0CDD8" w:sz="4"/>
            </w:tcBorders>
            <w:shd w:fill="ECF2F7" w:val="clear"/>
            <w:tcMar>
              <w:top w:type="dxa" w:w="100"/>
              <w:left w:type="dxa" w:w="160"/>
              <w:bottom w:type="dxa" w:w="100"/>
              <w:right w:type="dxa" w:w="120"/>
            </w:tcMar>
          </w:tcPr>
          <w:p>
            <w:r>
              <w:rPr>
                <w:rFonts w:ascii="Arial" w:cs="Arial" w:eastAsia="Arial" w:hAnsi="Arial"/>
                <w:color w:val="1A1A2E"/>
                <w:sz w:val="21"/>
                <w:szCs w:val="21"/>
              </w:rPr>
              <w:t xml:space="preserve">Problem Solving Challenges — hackerrank.com</w:t>
            </w:r>
          </w:p>
        </w:tc>
      </w:tr>
      <w:tr>
        <w:tc>
          <w:tcPr>
            <w:tcW w:type="dxa" w:w="2800"/>
            <w:tcBorders>
              <w:top w:val="single" w:color="B0CDD8" w:sz="4"/>
              <w:left w:val="single" w:color="B0CDD8" w:sz="4"/>
              <w:bottom w:val="single" w:color="B0CDD8" w:sz="4"/>
              <w:right w:val="single" w:color="B0CDD8" w:sz="4"/>
            </w:tcBorders>
            <w:shd w:fill="ECF2F7" w:val="clear"/>
            <w:tcMar>
              <w:top w:type="dxa" w:w="100"/>
              <w:left w:type="dxa" w:w="160"/>
              <w:bottom w:type="dxa" w:w="100"/>
              <w:right w:type="dxa" w:w="120"/>
            </w:tcMar>
          </w:tcPr>
          <w:p>
            <w:r>
              <w:rPr>
                <w:rFonts w:ascii="Arial" w:cs="Arial" w:eastAsia="Arial" w:hAnsi="Arial"/>
                <w:b/>
                <w:bCs/>
                <w:color w:val="0077A3"/>
                <w:sz w:val="21"/>
                <w:szCs w:val="21"/>
              </w:rPr>
              <w:t xml:space="preserve">Google Workspace</w:t>
            </w:r>
          </w:p>
        </w:tc>
        <w:tc>
          <w:tcPr>
            <w:tcW w:type="dxa" w:w="6560"/>
            <w:tcBorders>
              <w:top w:val="single" w:color="B0CDD8" w:sz="4"/>
              <w:left w:val="single" w:color="B0CDD8" w:sz="4"/>
              <w:bottom w:val="single" w:color="B0CDD8" w:sz="4"/>
              <w:right w:val="single" w:color="B0CDD8" w:sz="4"/>
            </w:tcBorders>
            <w:shd w:fill="FFFFFF" w:val="clear"/>
            <w:tcMar>
              <w:top w:type="dxa" w:w="100"/>
              <w:left w:type="dxa" w:w="160"/>
              <w:bottom w:type="dxa" w:w="100"/>
              <w:right w:type="dxa" w:w="120"/>
            </w:tcMar>
          </w:tcPr>
          <w:p>
            <w:r>
              <w:rPr>
                <w:rFonts w:ascii="Arial" w:cs="Arial" w:eastAsia="Arial" w:hAnsi="Arial"/>
                <w:color w:val="1A1A2E"/>
                <w:sz w:val="21"/>
                <w:szCs w:val="21"/>
              </w:rPr>
              <w:t xml:space="preserve">Forms &amp; Sheets — forms.google.com</w:t>
            </w:r>
          </w:p>
        </w:tc>
      </w:tr>
      <w:tr>
        <w:tc>
          <w:tcPr>
            <w:tcW w:type="dxa" w:w="2800"/>
            <w:tcBorders>
              <w:top w:val="single" w:color="B0CDD8" w:sz="4"/>
              <w:left w:val="single" w:color="B0CDD8" w:sz="4"/>
              <w:bottom w:val="single" w:color="B0CDD8" w:sz="4"/>
              <w:right w:val="single" w:color="B0CDD8" w:sz="4"/>
            </w:tcBorders>
            <w:shd w:fill="FFFFFF" w:val="clear"/>
            <w:tcMar>
              <w:top w:type="dxa" w:w="100"/>
              <w:left w:type="dxa" w:w="160"/>
              <w:bottom w:type="dxa" w:w="100"/>
              <w:right w:type="dxa" w:w="120"/>
            </w:tcMar>
          </w:tcPr>
          <w:p>
            <w:r>
              <w:rPr>
                <w:rFonts w:ascii="Arial" w:cs="Arial" w:eastAsia="Arial" w:hAnsi="Arial"/>
                <w:b/>
                <w:bCs/>
                <w:color w:val="0077A3"/>
                <w:sz w:val="21"/>
                <w:szCs w:val="21"/>
              </w:rPr>
              <w:t xml:space="preserve">VITyarthi</w:t>
            </w:r>
          </w:p>
        </w:tc>
        <w:tc>
          <w:tcPr>
            <w:tcW w:type="dxa" w:w="6560"/>
            <w:tcBorders>
              <w:top w:val="single" w:color="B0CDD8" w:sz="4"/>
              <w:left w:val="single" w:color="B0CDD8" w:sz="4"/>
              <w:bottom w:val="single" w:color="B0CDD8" w:sz="4"/>
              <w:right w:val="single" w:color="B0CDD8" w:sz="4"/>
            </w:tcBorders>
            <w:shd w:fill="ECF2F7" w:val="clear"/>
            <w:tcMar>
              <w:top w:type="dxa" w:w="100"/>
              <w:left w:type="dxa" w:w="160"/>
              <w:bottom w:type="dxa" w:w="100"/>
              <w:right w:type="dxa" w:w="120"/>
            </w:tcMar>
          </w:tcPr>
          <w:p>
            <w:r>
              <w:rPr>
                <w:rFonts w:ascii="Arial" w:cs="Arial" w:eastAsia="Arial" w:hAnsi="Arial"/>
                <w:color w:val="1A1A2E"/>
                <w:sz w:val="21"/>
                <w:szCs w:val="21"/>
              </w:rPr>
              <w:t xml:space="preserve">VIT Bhopal E-Learning Portal — vitbhopal.ac.in</w:t>
            </w:r>
          </w:p>
        </w:tc>
      </w:tr>
      <w:tr>
        <w:tc>
          <w:tcPr>
            <w:tcW w:type="dxa" w:w="2800"/>
            <w:tcBorders>
              <w:top w:val="single" w:color="B0CDD8" w:sz="4"/>
              <w:left w:val="single" w:color="B0CDD8" w:sz="4"/>
              <w:bottom w:val="single" w:color="B0CDD8" w:sz="4"/>
              <w:right w:val="single" w:color="B0CDD8" w:sz="4"/>
            </w:tcBorders>
            <w:shd w:fill="ECF2F7" w:val="clear"/>
            <w:tcMar>
              <w:top w:type="dxa" w:w="100"/>
              <w:left w:type="dxa" w:w="160"/>
              <w:bottom w:type="dxa" w:w="100"/>
              <w:right w:type="dxa" w:w="120"/>
            </w:tcMar>
          </w:tcPr>
          <w:p>
            <w:r>
              <w:rPr>
                <w:rFonts w:ascii="Arial" w:cs="Arial" w:eastAsia="Arial" w:hAnsi="Arial"/>
                <w:b/>
                <w:bCs/>
                <w:color w:val="0077A3"/>
                <w:sz w:val="21"/>
                <w:szCs w:val="21"/>
              </w:rPr>
              <w:t xml:space="preserve">LinkedIn</w:t>
            </w:r>
          </w:p>
        </w:tc>
        <w:tc>
          <w:tcPr>
            <w:tcW w:type="dxa" w:w="6560"/>
            <w:tcBorders>
              <w:top w:val="single" w:color="B0CDD8" w:sz="4"/>
              <w:left w:val="single" w:color="B0CDD8" w:sz="4"/>
              <w:bottom w:val="single" w:color="B0CDD8" w:sz="4"/>
              <w:right w:val="single" w:color="B0CDD8" w:sz="4"/>
            </w:tcBorders>
            <w:shd w:fill="FFFFFF" w:val="clear"/>
            <w:tcMar>
              <w:top w:type="dxa" w:w="100"/>
              <w:left w:type="dxa" w:w="160"/>
              <w:bottom w:type="dxa" w:w="100"/>
              <w:right w:type="dxa" w:w="120"/>
            </w:tcMar>
          </w:tcPr>
          <w:p>
            <w:r>
              <w:rPr>
                <w:rFonts w:ascii="Arial" w:cs="Arial" w:eastAsia="Arial" w:hAnsi="Arial"/>
                <w:color w:val="1A1A2E"/>
                <w:sz w:val="21"/>
                <w:szCs w:val="21"/>
              </w:rPr>
              <w:t xml:space="preserve">Professional Networking — linkedin.com</w:t>
            </w:r>
          </w:p>
        </w:tc>
      </w:tr>
      <w:tr>
        <w:tc>
          <w:tcPr>
            <w:tcW w:type="dxa" w:w="2800"/>
            <w:tcBorders>
              <w:top w:val="single" w:color="B0CDD8" w:sz="4"/>
              <w:left w:val="single" w:color="B0CDD8" w:sz="4"/>
              <w:bottom w:val="single" w:color="B0CDD8" w:sz="4"/>
              <w:right w:val="single" w:color="B0CDD8" w:sz="4"/>
            </w:tcBorders>
            <w:shd w:fill="FFFFFF" w:val="clear"/>
            <w:tcMar>
              <w:top w:type="dxa" w:w="100"/>
              <w:left w:type="dxa" w:w="160"/>
              <w:bottom w:type="dxa" w:w="100"/>
              <w:right w:type="dxa" w:w="120"/>
            </w:tcMar>
          </w:tcPr>
          <w:p>
            <w:r>
              <w:rPr>
                <w:rFonts w:ascii="Arial" w:cs="Arial" w:eastAsia="Arial" w:hAnsi="Arial"/>
                <w:b/>
                <w:bCs/>
                <w:color w:val="0077A3"/>
                <w:sz w:val="21"/>
                <w:szCs w:val="21"/>
              </w:rPr>
              <w:t xml:space="preserve">Kaggle</w:t>
            </w:r>
          </w:p>
        </w:tc>
        <w:tc>
          <w:tcPr>
            <w:tcW w:type="dxa" w:w="6560"/>
            <w:tcBorders>
              <w:top w:val="single" w:color="B0CDD8" w:sz="4"/>
              <w:left w:val="single" w:color="B0CDD8" w:sz="4"/>
              <w:bottom w:val="single" w:color="B0CDD8" w:sz="4"/>
              <w:right w:val="single" w:color="B0CDD8" w:sz="4"/>
            </w:tcBorders>
            <w:shd w:fill="ECF2F7" w:val="clear"/>
            <w:tcMar>
              <w:top w:type="dxa" w:w="100"/>
              <w:left w:type="dxa" w:w="160"/>
              <w:bottom w:type="dxa" w:w="100"/>
              <w:right w:type="dxa" w:w="120"/>
            </w:tcMar>
          </w:tcPr>
          <w:p>
            <w:r>
              <w:rPr>
                <w:rFonts w:ascii="Arial" w:cs="Arial" w:eastAsia="Arial" w:hAnsi="Arial"/>
                <w:color w:val="1A1A2E"/>
                <w:sz w:val="21"/>
                <w:szCs w:val="21"/>
              </w:rPr>
              <w:t xml:space="preserve">ML/AI Competitions &amp; Datasets — kaggle.com</w:t>
            </w:r>
          </w:p>
        </w:tc>
      </w:tr>
    </w:tbl>
    <w:p>
      <w:pPr>
        <w:spacing w:before="160"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pPr>
              <w:jc w:val="center"/>
            </w:pPr>
            <w:r>
              <w:rPr>
                <w:rFonts w:ascii="Arial" w:cs="Arial" w:eastAsia="Arial" w:hAnsi="Arial"/>
                <w:color w:val="00B4D8"/>
                <w:sz w:val="18"/>
                <w:szCs w:val="18"/>
              </w:rPr>
              <w:t xml:space="preserve">Dhruv Bajpai  |  23BAI10926  |  CSE0001 – Digital Literacy  |  VIT Bhopal University  |  2025–26</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single" w:color="B0CDD8" w:sz="6"/>
            <w:left w:val="none" w:color="FFFFFF" w:sz="0"/>
            <w:bottom w:val="none" w:color="FFFFFF" w:sz="0"/>
            <w:right w:val="none" w:color="FFFFFF" w:sz="0"/>
          </w:tcBorders>
          <w:tcMar>
            <w:top w:type="dxa" w:w="60"/>
          </w:tcMar>
        </w:tcPr>
        <w:p>
          <w:r>
            <w:rPr>
              <w:rFonts w:ascii="Arial" w:cs="Arial" w:eastAsia="Arial" w:hAnsi="Arial"/>
              <w:i/>
              <w:iCs/>
              <w:color w:val="4A6274"/>
              <w:sz w:val="16"/>
              <w:szCs w:val="16"/>
            </w:rPr>
            <w:t xml:space="preserve">VIT Bhopal University  |  B.Tech CSE  |  2025-26</w:t>
          </w:r>
        </w:p>
      </w:tc>
      <w:tc>
        <w:tcPr>
          <w:tcW w:type="dxa" w:w="4080"/>
          <w:tcBorders>
            <w:top w:val="single" w:color="B0CDD8" w:sz="6"/>
            <w:left w:val="none" w:color="FFFFFF" w:sz="0"/>
            <w:bottom w:val="none" w:color="FFFFFF" w:sz="0"/>
            <w:right w:val="none" w:color="FFFFFF" w:sz="0"/>
          </w:tcBorders>
          <w:tcMar>
            <w:top w:type="dxa" w:w="60"/>
          </w:tcMar>
        </w:tcPr>
        <w:p>
          <w:pPr>
            <w:jc w:val="right"/>
          </w:pPr>
          <w:r>
            <w:rPr>
              <w:rFonts w:ascii="Arial" w:cs="Arial" w:eastAsia="Arial" w:hAnsi="Arial"/>
              <w:color w:val="4A6274"/>
              <w:sz w:val="16"/>
              <w:szCs w:val="16"/>
            </w:rPr>
            <w:t xml:space="preserve">Page </w:t>
          </w:r>
          <w:r>
            <w:rPr>
              <w:rFonts w:ascii="Arial" w:cs="Arial" w:eastAsia="Arial" w:hAnsi="Arial"/>
              <w:color w:val="00B4D8"/>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single" w:color="00B4D8" w:sz="8"/>
            <w:right w:val="none" w:color="FFFFFF" w:sz="0"/>
          </w:tcBorders>
          <w:tcMar>
            <w:bottom w:type="dxa" w:w="60"/>
          </w:tcMar>
        </w:tcPr>
        <w:p>
          <w:r>
            <w:rPr>
              <w:rFonts w:ascii="Arial" w:cs="Arial" w:eastAsia="Arial" w:hAnsi="Arial"/>
              <w:color w:val="4A6274"/>
              <w:sz w:val="18"/>
              <w:szCs w:val="18"/>
            </w:rPr>
            <w:t xml:space="preserve">Digital Literacy Portfolio  |  CSE0001</w:t>
          </w:r>
        </w:p>
      </w:tc>
      <w:tc>
        <w:tcPr>
          <w:tcW w:type="dxa" w:w="4080"/>
          <w:tcBorders>
            <w:top w:val="none" w:color="FFFFFF" w:sz="0"/>
            <w:left w:val="none" w:color="FFFFFF" w:sz="0"/>
            <w:bottom w:val="single" w:color="00B4D8" w:sz="8"/>
            <w:right w:val="none" w:color="FFFFFF" w:sz="0"/>
          </w:tcBorders>
          <w:tcMar>
            <w:bottom w:type="dxa" w:w="60"/>
          </w:tcMar>
        </w:tcPr>
        <w:p>
          <w:pPr>
            <w:jc w:val="right"/>
          </w:pPr>
          <w:r>
            <w:rPr>
              <w:rFonts w:ascii="Arial" w:cs="Arial" w:eastAsia="Arial" w:hAnsi="Arial"/>
              <w:color w:val="4A6274"/>
              <w:sz w:val="18"/>
              <w:szCs w:val="18"/>
            </w:rPr>
            <w:t xml:space="preserve">Dhruv Bajpai  |  23BAI10926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00B4D8"/>
        <w:sz w:val="18"/>
        <w:szCs w:val="18"/>
      </w:rPr>
    </w:lvl>
  </w:abstractNum>
  <w:abstractNum w:abstractNumId="3" w15:restartNumberingAfterBreak="0">
    <w:multiLevelType w:val="hybridMultilevel"/>
    <w:lvl w:ilvl="0" w15:tentative="1">
      <w:start w:val="1"/>
      <w:numFmt w:val="bullet"/>
      <w:lvlText w:val="–"/>
      <w:lvlJc w:val="left"/>
      <w:pPr>
        <w:ind w:left="600" w:hanging="300"/>
      </w:pPr>
      <w:rPr>
        <w:color w:val="F4A261"/>
      </w:rPr>
    </w:lvl>
  </w:abstractNum>
  <w:abstractNum w:abstractNumId="4" w15:restartNumberingAfterBreak="0">
    <w:multiLevelType w:val="hybridMultilevel"/>
    <w:lvl w:ilvl="0" w15:tentative="1">
      <w:start w:val="1"/>
      <w:numFmt w:val="bullet"/>
      <w:lvlText w:val="■"/>
      <w:lvlJc w:val="left"/>
      <w:pPr>
        <w:ind w:left="600" w:hanging="300"/>
      </w:pPr>
      <w:rPr>
        <w:color w:val="0077A3"/>
        <w:sz w:val="16"/>
        <w:szCs w:val="16"/>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E3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2026-03-29T18:43:48.134Z</dcterms:created>
  <dcterms:modified xsi:type="dcterms:W3CDTF">2026-03-29T18:43:48.134Z</dcterms:modified>
</cp:coreProperties>
</file>

<file path=docProps/custom.xml><?xml version="1.0" encoding="utf-8"?>
<Properties xmlns="http://schemas.openxmlformats.org/officeDocument/2006/custom-properties" xmlns:vt="http://schemas.openxmlformats.org/officeDocument/2006/docPropsVTypes"/>
</file>