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6.png" ContentType="image/png"/>
  <Override PartName="/word/media/rId56.png" ContentType="image/png"/>
  <Override PartName="/word/media/rId42.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Performance of Large Language Models on travel medicine certificate multiple choice questions</w:t>
      </w:r>
    </w:p>
    <w:bookmarkStart w:id="20" w:name="abstract"/>
    <w:p>
      <w:pPr>
        <w:pStyle w:val="Heading1"/>
      </w:pPr>
      <w:r>
        <w:t xml:space="preserve">Abstract</w:t>
      </w:r>
    </w:p>
    <w:p>
      <w:pPr>
        <w:pStyle w:val="FirstParagraph"/>
      </w:pPr>
      <w:r>
        <w:t xml:space="preserve">A set of forty Large Language Models (LLMs) were evaluated on a novel, single-best-answer benchmark in travel and tropical medicine compiled from high-quality, expert-curated sources. Models capabilities were estimated with a hierarchical Bayesian item-response model evaluating accuracy, consistency, parsability. Models’ performance was also compared with provider-published costs. Median posterior accuracy spanned 27.9-97.5%; frontier systems from multiple vendors, including Perplexity Sonar-Reasoning, OpenAI o3/o1, Google Gemini-2.5-Pro, DeepSeek-R1, and Anthropic Claude-3.5-Sonnet, clustered at ≥95%, with the best model (OpenAI o3) reaching 97.5% (95% CrI: 95.9-98.6).</w:t>
      </w:r>
      <w:r>
        <w:t xml:space="preserve"> </w:t>
      </w:r>
      <w:r>
        <w:t xml:space="preserve">Strong performance was associated with: (i) large parameter counts, (ii) explicit reasoning capabilities, and (iii) optionally, integrated search; successive iterations within the same model family correlated with improved scores. On the other end, small locally deployed models showed the worst performance, below 40%, apart from a 32B parameter distillation of DeepSeek-R1, which scored ~85%. Reproducibility was high (consistency up to 94.9%) and correlated strongly with accuracy (Spearman ρ≈0.75). On a cost-accuracy analysis, options ranged from ~US$2-8 per million tokens (e.g., DeepSeek-R1 ≈US$2.19; o3 ≈US$8 during the study window) to premium tiers (e.g., o1 ≈US$60) with o3 topping the Pareto frontier. Overall this study confirms the maturity of LLMs as support systems for travel and tropical medicine, especially for healthcare professionals.</w:t>
      </w:r>
    </w:p>
    <w:bookmarkEnd w:id="20"/>
    <w:bookmarkStart w:id="22" w:name="introduction"/>
    <w:p>
      <w:pPr>
        <w:pStyle w:val="Heading1"/>
      </w:pPr>
      <w:r>
        <w:t xml:space="preserve">Introduction</w:t>
      </w:r>
    </w:p>
    <w:p>
      <w:pPr>
        <w:pStyle w:val="FirstParagraph"/>
      </w:pPr>
      <w:r>
        <w:t xml:space="preserve">The rapid evolution of generative artificial intelligence (AI) is reshaping numerous areas of medicine. Large language models (LLMs) now demonstrate advanced capabilities in natural-language processing, reasoning, and potential clinical decision support</w:t>
      </w:r>
      <w:r>
        <w:t xml:space="preserve"> </w:t>
      </w:r>
      <w:r>
        <w:t xml:space="preserve">(1)</w:t>
      </w:r>
      <w:r>
        <w:t xml:space="preserve">. Prior research has primarily evaluated LLM performance across medical specialties using multiple-choice question (MCQ) assessments</w:t>
      </w:r>
      <w:r>
        <w:t xml:space="preserve"> </w:t>
      </w:r>
      <w:r>
        <w:t xml:space="preserve">(2)</w:t>
      </w:r>
      <w:r>
        <w:t xml:space="preserve">. However, travel medicine, a field characterized by dynamic epidemiological landscapes, region-specific risks, and evolving vaccine recommendations, remains underexplored in this context.</w:t>
      </w:r>
    </w:p>
    <w:p>
      <w:pPr>
        <w:pStyle w:val="BodyText"/>
      </w:pPr>
      <w:r>
        <w:t xml:space="preserve">Recent studies show that models such as GPT-4 perform well on high-stakes medical examinations, including the United States Medical Licensing Examination (USMLE) and subspecialty board exams</w:t>
      </w:r>
      <w:r>
        <w:t xml:space="preserve"> </w:t>
      </w:r>
      <w:r>
        <w:t xml:space="preserve">(3)</w:t>
      </w:r>
      <w:r>
        <w:t xml:space="preserve">. While MCQs have recognized limitations as a benchmarking tool</w:t>
      </w:r>
      <w:r>
        <w:t xml:space="preserve"> </w:t>
      </w:r>
      <w:r>
        <w:t xml:space="preserve">(4)</w:t>
      </w:r>
      <w:r>
        <w:t xml:space="preserve">, they provide a pragmatic starting point for comparing different LLMs and prompting strategies in this specialty. Future benchmarks could be expanded to include open-ended questions and clinical vignettes, more accurately reflecting the complexity of medical reasoning.</w:t>
      </w:r>
    </w:p>
    <w:p>
      <w:pPr>
        <w:pStyle w:val="BodyText"/>
      </w:pPr>
      <w:r>
        <w:t xml:space="preserve">One technique that consistently improves LLM performance is chain-of-thought reasoning, which prompts models to generate intermediate steps before selecting a final answer. Yet this strategy can increase inference time, encourage overthinking on simple tasks, and amplify confidence in incorrect answers</w:t>
      </w:r>
      <w:r>
        <w:t xml:space="preserve"> </w:t>
      </w:r>
      <w:r>
        <w:t xml:space="preserve">(5)</w:t>
      </w:r>
      <w:r>
        <w:t xml:space="preserve">. Such overconfidence has also been documented in medical contexts, raising concerns about the models’ reliability</w:t>
      </w:r>
      <w:r>
        <w:t xml:space="preserve"> </w:t>
      </w:r>
      <w:r>
        <w:t xml:space="preserve">(6,7)</w:t>
      </w:r>
      <w:r>
        <w:t xml:space="preserve">.</w:t>
      </w:r>
    </w:p>
    <w:p>
      <w:pPr>
        <w:pStyle w:val="BodyText"/>
      </w:pPr>
      <w:r>
        <w:t xml:space="preserve">In previous work, we proposed a</w:t>
      </w:r>
      <w:r>
        <w:t xml:space="preserve"> </w:t>
      </w:r>
      <w:r>
        <w:t xml:space="preserve">“decalogue”</w:t>
      </w:r>
      <w:r>
        <w:t xml:space="preserve"> </w:t>
      </w:r>
      <w:r>
        <w:t xml:space="preserve">of principles for the safe and effective use of generative AI in travel medicine</w:t>
      </w:r>
      <w:r>
        <w:t xml:space="preserve"> </w:t>
      </w:r>
      <w:r>
        <w:t xml:space="preserve">(8)</w:t>
      </w:r>
      <w:r>
        <w:t xml:space="preserve">. Although the field continues to evolve—with new reasoning strategies and domain-specific models emerging—these foundational principles remain pertinent. Establishing a dedicated benchmark for travel medicine is critical not only to assess current AI capabilities but also to inform model selection in line with these principles.</w:t>
      </w:r>
    </w:p>
    <w:p>
      <w:pPr>
        <w:pStyle w:val="BodyText"/>
      </w:pPr>
      <w:r>
        <w:t xml:space="preserve">This study is an initial step toward aligning technological innovation with clinical needs in travel medicine. By developing a standardized evaluation framework, we aim to contribute to the progress of travel-medicine, positioning this field as a proactive adopter of AI tools</w:t>
      </w:r>
      <w:r>
        <w:t xml:space="preserve"> </w:t>
      </w:r>
      <w:r>
        <w:t xml:space="preserve">(9)</w:t>
      </w:r>
      <w:r>
        <w:t xml:space="preserve">.</w:t>
      </w:r>
    </w:p>
    <w:bookmarkStart w:id="21" w:name="objective-of-the-study"/>
    <w:p>
      <w:pPr>
        <w:pStyle w:val="Heading2"/>
      </w:pPr>
      <w:r>
        <w:t xml:space="preserve">Objective of the Study</w:t>
      </w:r>
    </w:p>
    <w:p>
      <w:pPr>
        <w:pStyle w:val="FirstParagraph"/>
      </w:pPr>
      <w:r>
        <w:t xml:space="preserve">The primary objective of this study is to evaluate and compare the performance of selected LLMs on multiple-choice questions (MCQs) drawn from a travel-medicine certification examination. Specifically, we aim to:</w:t>
      </w:r>
    </w:p>
    <w:p>
      <w:pPr>
        <w:pStyle w:val="Compact"/>
        <w:numPr>
          <w:ilvl w:val="0"/>
          <w:numId w:val="1001"/>
        </w:numPr>
      </w:pPr>
      <w:r>
        <w:t xml:space="preserve">Assess the accuracy of diverse AI models in addressing travel-medicine scenarios.</w:t>
      </w:r>
    </w:p>
    <w:p>
      <w:pPr>
        <w:pStyle w:val="Compact"/>
        <w:numPr>
          <w:ilvl w:val="0"/>
          <w:numId w:val="1001"/>
        </w:numPr>
      </w:pPr>
      <w:r>
        <w:t xml:space="preserve">Compare the performance of LLMs with and without explicit reasoning (chain-of-thought) in answering travel-medicine MCQs with multiple prompts.</w:t>
      </w:r>
    </w:p>
    <w:p>
      <w:pPr>
        <w:pStyle w:val="Compact"/>
        <w:numPr>
          <w:ilvl w:val="0"/>
          <w:numId w:val="1001"/>
        </w:numPr>
      </w:pPr>
      <w:r>
        <w:t xml:space="preserve">Identify the most accurate, consistent, and cost-efficient LLMs in travel medicine, using our foundational benchmark.</w:t>
      </w:r>
    </w:p>
    <w:bookmarkEnd w:id="21"/>
    <w:bookmarkEnd w:id="22"/>
    <w:bookmarkStart w:id="32" w:name="methods"/>
    <w:p>
      <w:pPr>
        <w:pStyle w:val="Heading1"/>
      </w:pPr>
      <w:r>
        <w:t xml:space="preserve">Methods</w:t>
      </w:r>
    </w:p>
    <w:bookmarkStart w:id="25" w:name="study-design"/>
    <w:p>
      <w:pPr>
        <w:pStyle w:val="Heading2"/>
      </w:pPr>
      <w:r>
        <w:t xml:space="preserve">Study design</w:t>
      </w:r>
    </w:p>
    <w:p>
      <w:pPr>
        <w:pStyle w:val="FirstParagraph"/>
      </w:pPr>
      <w:r>
        <w:t xml:space="preserve">A comparative evaluation of large-language models (LLMs) was conducted on a domain-specific benchmark of travel-medicine questions. Each model was asked to solve the same set of multiple-choice travel-medicine clinical vignettes under distinct prompting conditions. Performance was assessed across three complementary dimensions—accuracy, adherence to the required answer format, and internal consistency—using a fully reproducible analysis pipeline.</w:t>
      </w:r>
    </w:p>
    <w:p>
      <w:pPr>
        <w:pStyle w:val="BodyText"/>
      </w:pPr>
      <w:r>
        <w:t xml:space="preserve">The benchmark comprised 42 single-best-answer questions representative of real-world scenarios encountered in travel health practice. Items were collected from freely accessible online repositories, mainly from the sample question banks curated by the International Society of Travel Medicine (</w:t>
      </w:r>
      <w:hyperlink r:id="rId23">
        <w:r>
          <w:rPr>
            <w:rStyle w:val="Hyperlink"/>
          </w:rPr>
          <w:t xml:space="preserve">https://www.istmfoundation.net/cth_samplequestions</w:t>
        </w:r>
      </w:hyperlink>
      <w:r>
        <w:t xml:space="preserve">) and the American Society of Tropical Medicine and Hygiene certificate programme (</w:t>
      </w:r>
      <w:hyperlink r:id="rId24">
        <w:r>
          <w:rPr>
            <w:rStyle w:val="Hyperlink"/>
          </w:rPr>
          <w:t xml:space="preserve">https://www.astmh.org/education-resources/certificate-programs</w:t>
        </w:r>
      </w:hyperlink>
      <w:r>
        <w:t xml:space="preserve">). They covered diagnosis, prevention, and therapeutic decision-making for parasitic, bacterial, and viral conditions. Each question has four options denoted by the letters A, B, C, and D, one of which is correct.</w:t>
      </w:r>
      <w:r>
        <w:t xml:space="preserve"> </w:t>
      </w:r>
      <w:r>
        <w:t xml:space="preserve">The question list is reported in Supplementary Table S1.</w:t>
      </w:r>
    </w:p>
    <w:bookmarkEnd w:id="25"/>
    <w:bookmarkStart w:id="28" w:name="large-language-models"/>
    <w:p>
      <w:pPr>
        <w:pStyle w:val="Heading2"/>
      </w:pPr>
      <w:r>
        <w:t xml:space="preserve">Large language models</w:t>
      </w:r>
    </w:p>
    <w:p>
      <w:pPr>
        <w:pStyle w:val="FirstParagraph"/>
      </w:pPr>
      <w:r>
        <w:t xml:space="preserve">A total of 40 LLMs were selected, including proprietary frontier systems (for example, OpenAI o3, Google Gemini 2.5 Pro, Anthropic Claude 3.5 Sonnet), high-performance hosted deployments of open-source models (for example, served by Groq Inc.), and locally executed, quantised replicas suitable for desktop-class hardware. The local models were run offline on an Apple MacBook Pro equipped with an M1 Pro processor and 32 GB of unified memory, using LM Studio as the inference interface (</w:t>
      </w:r>
      <w:hyperlink r:id="rId26">
        <w:r>
          <w:rPr>
            <w:rStyle w:val="Hyperlink"/>
          </w:rPr>
          <w:t xml:space="preserve">https://lmstudio.ai/</w:t>
        </w:r>
      </w:hyperlink>
      <w:r>
        <w:t xml:space="preserve">) and the MLX runtime (</w:t>
      </w:r>
      <w:hyperlink r:id="rId27">
        <w:r>
          <w:rPr>
            <w:rStyle w:val="Hyperlink"/>
          </w:rPr>
          <w:t xml:space="preserve">https://github.com/apple/mlx</w:t>
        </w:r>
      </w:hyperlink>
      <w:r>
        <w:t xml:space="preserve">) for model execution. Where applicable, the most recent public checkpoints were queried through their native application-programming interfaces. Temperature was fixed at 0.5 for all calls to balance determinism with variability; temperature was not set for OpenAI’s o-series models, which ignore this parameter by design. The list of models is reported in Supplementary Table S2.</w:t>
      </w:r>
    </w:p>
    <w:bookmarkEnd w:id="28"/>
    <w:bookmarkStart w:id="29" w:name="experimental-procedure"/>
    <w:p>
      <w:pPr>
        <w:pStyle w:val="Heading2"/>
      </w:pPr>
      <w:r>
        <w:t xml:space="preserve">Experimental procedure</w:t>
      </w:r>
    </w:p>
    <w:p>
      <w:pPr>
        <w:pStyle w:val="FirstParagraph"/>
      </w:pPr>
      <w:r>
        <w:t xml:space="preserve">LLM performance is notoriously affected by the prompting strategy used to query the model</w:t>
      </w:r>
      <w:r>
        <w:t xml:space="preserve"> </w:t>
      </w:r>
      <w:r>
        <w:t xml:space="preserve">(12)</w:t>
      </w:r>
      <w:r>
        <w:t xml:space="preserve">. Therefore, we tested the LLMs under three distinct prompting conditions:</w:t>
      </w:r>
    </w:p>
    <w:p>
      <w:pPr>
        <w:pStyle w:val="Compact"/>
        <w:numPr>
          <w:ilvl w:val="0"/>
          <w:numId w:val="1002"/>
        </w:numPr>
      </w:pPr>
      <w:r>
        <w:rPr>
          <w:b/>
          <w:bCs/>
        </w:rPr>
        <w:t xml:space="preserve">Concise answer</w:t>
      </w:r>
      <w:r>
        <w:t xml:space="preserve"> </w:t>
      </w:r>
      <w:r>
        <w:t xml:space="preserve">(</w:t>
      </w:r>
      <w:r>
        <w:rPr>
          <w:rStyle w:val="VerbatimChar"/>
        </w:rPr>
        <w:t xml:space="preserve">cold</w:t>
      </w:r>
      <w:r>
        <w:t xml:space="preserve">) - the model was instructed to reply with a single letter corresponding to the chosen option.</w:t>
      </w:r>
    </w:p>
    <w:p>
      <w:pPr>
        <w:pStyle w:val="Compact"/>
        <w:numPr>
          <w:ilvl w:val="0"/>
          <w:numId w:val="1002"/>
        </w:numPr>
      </w:pPr>
      <w:r>
        <w:rPr>
          <w:b/>
          <w:bCs/>
        </w:rPr>
        <w:t xml:space="preserve">Free explanation</w:t>
      </w:r>
      <w:r>
        <w:t xml:space="preserve"> </w:t>
      </w:r>
      <w:r>
        <w:t xml:space="preserve">(</w:t>
      </w:r>
      <w:r>
        <w:rPr>
          <w:rStyle w:val="VerbatimChar"/>
        </w:rPr>
        <w:t xml:space="preserve">free</w:t>
      </w:r>
      <w:r>
        <w:t xml:space="preserve">) - a brief rationale was permitted provided the response ended with the option letter. This approach is supported by work showing that allowing language models to verbalise a short explanation can boost accuracy</w:t>
      </w:r>
      <w:r>
        <w:t xml:space="preserve"> </w:t>
      </w:r>
      <w:r>
        <w:t xml:space="preserve">(11)</w:t>
      </w:r>
      <w:r>
        <w:t xml:space="preserve">.</w:t>
      </w:r>
    </w:p>
    <w:p>
      <w:pPr>
        <w:pStyle w:val="Compact"/>
        <w:numPr>
          <w:ilvl w:val="0"/>
          <w:numId w:val="1002"/>
        </w:numPr>
      </w:pPr>
      <w:r>
        <w:rPr>
          <w:b/>
          <w:bCs/>
        </w:rPr>
        <w:t xml:space="preserve">Chain-of-thought</w:t>
      </w:r>
      <w:r>
        <w:t xml:space="preserve"> </w:t>
      </w:r>
      <w:r>
        <w:t xml:space="preserve">(</w:t>
      </w:r>
      <w:r>
        <w:rPr>
          <w:rStyle w:val="VerbatimChar"/>
        </w:rPr>
        <w:t xml:space="preserve">reasoning</w:t>
      </w:r>
      <w:r>
        <w:t xml:space="preserve">) - the model was invited to articulate its reasoning step by step before stating the final answer. Chain-of-thought prompting is a well-established strategy for eliciting reasoning in large language models not specifically trained for it</w:t>
      </w:r>
      <w:r>
        <w:t xml:space="preserve"> </w:t>
      </w:r>
      <w:r>
        <w:t xml:space="preserve">(12)</w:t>
      </w:r>
      <w:r>
        <w:t xml:space="preserve">.</w:t>
      </w:r>
    </w:p>
    <w:p>
      <w:pPr>
        <w:pStyle w:val="FirstParagraph"/>
      </w:pPr>
      <w:r>
        <w:t xml:space="preserve">Models whose decoding stack already includes an internal chain-of-thought module, such as OpenAI’s o-series, DeepSeek R1, and certain Gemini variants, were exempted from the third prompt strategy to avoid redundancy. These systems are trained to perform latent deliberation at inference time, a strategy empirically shown to enhance answer quality at the cost of extra computation</w:t>
      </w:r>
      <w:r>
        <w:t xml:space="preserve"> </w:t>
      </w:r>
      <w:r>
        <w:t xml:space="preserve">(13,14)</w:t>
      </w:r>
      <w:r>
        <w:t xml:space="preserve">.</w:t>
      </w:r>
    </w:p>
    <w:p>
      <w:pPr>
        <w:pStyle w:val="BodyText"/>
      </w:pPr>
      <w:r>
        <w:t xml:space="preserve">Every combination of question, model, and prompting condition was tested five times to account for the inherent variability of the decoding step in the LLM architecture, yielding a total of interactions.</w:t>
      </w:r>
      <w:r>
        <w:t xml:space="preserve"> </w:t>
      </w:r>
      <w:r>
        <w:t xml:space="preserve">Each response was processed programmatically to extract the final option letter, as well as to record processing time and token consumption. If the response format did not permit automatic extraction, a secondary parsing step was performed using the LLM gemini-2.0-flash-001. Responses that remained unparseable after this secondary step were classified as unparseable.</w:t>
      </w:r>
    </w:p>
    <w:p>
      <w:pPr>
        <w:pStyle w:val="BodyText"/>
      </w:pPr>
      <w:r>
        <w:t xml:space="preserve">Responses were matched against the correct answer and classified into four mutually exclusive categories: correct, incorrect, unparseable (no valid option detected), and generation error. Additionally, correct and incorrect responses were annotated according to whether they were directly machine-parsable or required secondary parsing by a large language model.</w:t>
      </w:r>
    </w:p>
    <w:bookmarkEnd w:id="29"/>
    <w:bookmarkStart w:id="31" w:name="statistical-analysis"/>
    <w:p>
      <w:pPr>
        <w:pStyle w:val="Heading2"/>
      </w:pPr>
      <w:r>
        <w:t xml:space="preserve">Statistical analysis</w:t>
      </w:r>
    </w:p>
    <w:p>
      <w:pPr>
        <w:pStyle w:val="FirstParagraph"/>
      </w:pPr>
      <w:r>
        <w:t xml:space="preserve">We summarised model performance along three complementary dimensions aimed at clinical utility rather than mathematical detail:</w:t>
      </w:r>
    </w:p>
    <w:p>
      <w:pPr>
        <w:pStyle w:val="Compact"/>
        <w:numPr>
          <w:ilvl w:val="0"/>
          <w:numId w:val="1003"/>
        </w:numPr>
      </w:pPr>
      <w:r>
        <w:t xml:space="preserve">Accuracy: the probability that a model selects the correct option for a question under a given prompting strategy.</w:t>
      </w:r>
    </w:p>
    <w:p>
      <w:pPr>
        <w:pStyle w:val="Compact"/>
        <w:numPr>
          <w:ilvl w:val="0"/>
          <w:numId w:val="1003"/>
        </w:numPr>
      </w:pPr>
      <w:r>
        <w:t xml:space="preserve">Parsing success: the reliability with which answers conform to the required single‑letter format, condensed to a 0-1 score where higher is better.</w:t>
      </w:r>
    </w:p>
    <w:p>
      <w:pPr>
        <w:pStyle w:val="Compact"/>
        <w:numPr>
          <w:ilvl w:val="0"/>
          <w:numId w:val="1003"/>
        </w:numPr>
      </w:pPr>
      <w:r>
        <w:t xml:space="preserve">Consistency: the stability of answers across the independent replications for the same (question, model, prompt) cell, mapped to a 0-1 score where higher indicates more reproducible outputs.</w:t>
      </w:r>
    </w:p>
    <w:p>
      <w:pPr>
        <w:pStyle w:val="FirstParagraph"/>
      </w:pPr>
      <w:r>
        <w:t xml:space="preserve">These quantities were estimated with Bayesian hierarchical models that account for differences between questions and allow model‑specific effects of prompting. Models were fitted in Stan</w:t>
      </w:r>
      <w:r>
        <w:t xml:space="preserve"> </w:t>
      </w:r>
      <w:r>
        <w:t xml:space="preserve">(15)</w:t>
      </w:r>
      <w:r>
        <w:t xml:space="preserve"> </w:t>
      </w:r>
      <w:r>
        <w:t xml:space="preserve">via the brms R interface</w:t>
      </w:r>
      <w:r>
        <w:t xml:space="preserve"> </w:t>
      </w:r>
      <w:r>
        <w:t xml:space="preserve">(16)</w:t>
      </w:r>
      <w:r>
        <w:t xml:space="preserve">. This approach provides uncertainty‑aware estimates that are less sensitive to the specific set of questions than simple descriptive summaries. Full model specifications, priors, and estimation details are reported in the Supplementary Materials</w:t>
      </w:r>
      <w:r>
        <w:t xml:space="preserve"> </w:t>
      </w:r>
      <w:r>
        <w:t xml:space="preserve">“Statistical models”</w:t>
      </w:r>
      <w:r>
        <w:t xml:space="preserve"> </w:t>
      </w:r>
      <w:r>
        <w:t xml:space="preserve">section.</w:t>
      </w:r>
    </w:p>
    <w:p>
      <w:pPr>
        <w:pStyle w:val="BodyText"/>
      </w:pPr>
      <w:r>
        <w:t xml:space="preserve">To evaluate overall performance, the posterior distributions of the three scores were marginalised over different dimensions of the experimental design. For each draw from the posterior distribution, the mean score was computed across all levels of the variable(s) being marginalised away. This yielded full posterior distributions for three complementary summaries:</w:t>
      </w:r>
    </w:p>
    <w:p>
      <w:pPr>
        <w:pStyle w:val="Compact"/>
        <w:numPr>
          <w:ilvl w:val="0"/>
          <w:numId w:val="1004"/>
        </w:numPr>
      </w:pPr>
      <w:r>
        <w:rPr>
          <w:b/>
          <w:bCs/>
        </w:rPr>
        <w:t xml:space="preserve">Model-level estimates</w:t>
      </w:r>
      <w:r>
        <w:t xml:space="preserve">, obtained by marginalising over items and prompt strategies.</w:t>
      </w:r>
    </w:p>
    <w:p>
      <w:pPr>
        <w:pStyle w:val="Compact"/>
        <w:numPr>
          <w:ilvl w:val="0"/>
          <w:numId w:val="1004"/>
        </w:numPr>
      </w:pPr>
      <w:r>
        <w:rPr>
          <w:b/>
          <w:bCs/>
        </w:rPr>
        <w:t xml:space="preserve">Prompt-strategy estimates</w:t>
      </w:r>
      <w:r>
        <w:t xml:space="preserve">, obtained by marginalising over items and models.</w:t>
      </w:r>
    </w:p>
    <w:p>
      <w:pPr>
        <w:pStyle w:val="Compact"/>
        <w:numPr>
          <w:ilvl w:val="0"/>
          <w:numId w:val="1004"/>
        </w:numPr>
      </w:pPr>
      <w:r>
        <w:rPr>
          <w:b/>
          <w:bCs/>
        </w:rPr>
        <w:t xml:space="preserve">Model-prompt strategy interaction estimates</w:t>
      </w:r>
      <w:r>
        <w:t xml:space="preserve">, obtained by marginalising over items.</w:t>
      </w:r>
    </w:p>
    <w:p>
      <w:pPr>
        <w:pStyle w:val="FirstParagraph"/>
      </w:pPr>
      <w:r>
        <w:t xml:space="preserve">From these marginalised distributions, the posterior median was computed as the point estimate of performance and the 95% quantile credible interval (CrI) for uncertainty quantification.</w:t>
      </w:r>
    </w:p>
    <w:p>
      <w:pPr>
        <w:pStyle w:val="BodyText"/>
      </w:pPr>
      <w:r>
        <w:t xml:space="preserve">To investigate the relationships between the different performance dimensions, Spearman’s rank correlation coefficients were computed between the model-level posterior scores for accuracy, parsing success, and consistency. The correlation was calculated separately for each draw from the posterior distribution, yielding a full posterior distribution for the correlation coefficient for each pair of metrics.</w:t>
      </w:r>
    </w:p>
    <w:p>
      <w:pPr>
        <w:pStyle w:val="BodyText"/>
      </w:pPr>
      <w:r>
        <w:t xml:space="preserve">Finally, the trade-off between model accuracy and financial cost was analysed. Model-level accuracy estimates were plotted against the provider’s published price per million tokens. The</w:t>
      </w:r>
      <w:r>
        <w:t xml:space="preserve"> </w:t>
      </w:r>
      <w:r>
        <w:rPr>
          <w:b/>
          <w:bCs/>
        </w:rPr>
        <w:t xml:space="preserve">Pareto frontier</w:t>
      </w:r>
      <w:r>
        <w:t xml:space="preserve"> </w:t>
      </w:r>
      <w:r>
        <w:t xml:space="preserve">was identified, defined as the set of models for which no other model offered both higher accuracy and lower cost. To visualise the optimal trade-off, a logistic curve was fitted to the points on the frontier using a quasi-binomial generalised linear model.</w:t>
      </w:r>
    </w:p>
    <w:p>
      <w:pPr>
        <w:pStyle w:val="BodyText"/>
      </w:pPr>
      <w:r>
        <w:t xml:space="preserve">All analyses were conducted using R v4.5.0. The code is available at</w:t>
      </w:r>
      <w:r>
        <w:t xml:space="preserve"> </w:t>
      </w:r>
      <w:hyperlink r:id="rId30">
        <w:r>
          <w:rPr>
            <w:rStyle w:val="Hyperlink"/>
          </w:rPr>
          <w:t xml:space="preserve">https://github.com/mattia-p/llm-travel-medicine</w:t>
        </w:r>
      </w:hyperlink>
      <w:r>
        <w:t xml:space="preserve">.</w:t>
      </w:r>
    </w:p>
    <w:bookmarkEnd w:id="31"/>
    <w:bookmarkEnd w:id="32"/>
    <w:bookmarkStart w:id="61" w:name="results"/>
    <w:p>
      <w:pPr>
        <w:pStyle w:val="Heading1"/>
      </w:pPr>
      <w:r>
        <w:t xml:space="preserve">Results</w:t>
      </w:r>
    </w:p>
    <w:bookmarkStart w:id="41" w:name="overall-performance"/>
    <w:p>
      <w:pPr>
        <w:pStyle w:val="Heading2"/>
      </w:pPr>
      <w:r>
        <w:t xml:space="preserve">Performance overview and key drivers</w:t>
      </w:r>
    </w:p>
    <w:tbl>
      <w:tblPr>
        <w:tblStyle w:val="Table"/>
        <w:tblW w:type="pct" w:w="5000"/>
        <w:tblLayout w:type="fixed"/>
        <w:tblLook w:firstRow="0" w:lastRow="0" w:firstColumn="0" w:lastColumn="0" w:noHBand="0" w:noVBand="0" w:val="0000"/>
      </w:tblPr>
      <w:tblGrid>
        <w:gridCol w:w="7920"/>
      </w:tblGrid>
      <w:tr>
        <w:tc>
          <w:tcPr/>
          <w:bookmarkStart w:id="36" w:name="fig-overall-correctness"/>
          <w:p>
            <w:pPr>
              <w:pStyle w:val="Compact"/>
              <w:jc w:val="center"/>
            </w:pPr>
            <w:r>
              <w:drawing>
                <wp:inline>
                  <wp:extent cx="5334000" cy="5334000"/>
                  <wp:effectExtent b="0" l="0" r="0" t="0"/>
                  <wp:docPr descr="" title="" id="34" name="Picture"/>
                  <a:graphic>
                    <a:graphicData uri="http://schemas.openxmlformats.org/drawingml/2006/picture">
                      <pic:pic>
                        <pic:nvPicPr>
                          <pic:cNvPr descr="manuscript_files/figure-docx/fig-overall-correctness-1.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Model accuracy on the travel-medicine benchmark. Points show the posterior median accuracy, with bars representing the 95% credible intervals. Models are ordered by performance.</w:t>
            </w:r>
          </w:p>
          <w:bookmarkEnd w:id="36"/>
        </w:tc>
      </w:tr>
    </w:tbl>
    <w:tbl>
      <w:tblPr>
        <w:tblStyle w:val="Table"/>
        <w:tblW w:type="pct" w:w="5000"/>
        <w:tblLayout w:type="fixed"/>
        <w:tblLook w:firstRow="0" w:lastRow="0" w:firstColumn="0" w:lastColumn="0" w:noHBand="0" w:noVBand="0" w:val="0000"/>
      </w:tblPr>
      <w:tblGrid>
        <w:gridCol w:w="7920"/>
      </w:tblGrid>
      <w:tr>
        <w:tc>
          <w:tcPr/>
          <w:bookmarkStart w:id="40" w:name="fig-modality-correctness"/>
          <w:p>
            <w:pPr>
              <w:pStyle w:val="Compact"/>
              <w:jc w:val="center"/>
            </w:pPr>
            <w:r>
              <w:drawing>
                <wp:inline>
                  <wp:extent cx="5334000" cy="4572000"/>
                  <wp:effectExtent b="0" l="0" r="0" t="0"/>
                  <wp:docPr descr="" title="" id="38" name="Picture"/>
                  <a:graphic>
                    <a:graphicData uri="http://schemas.openxmlformats.org/drawingml/2006/picture">
                      <pic:pic>
                        <pic:nvPicPr>
                          <pic:cNvPr descr="manuscript_files/figure-docx/fig-modality-correctness-1.png" id="39" name="Picture"/>
                          <pic:cNvPicPr>
                            <a:picLocks noChangeArrowheads="1" noChangeAspect="1"/>
                          </pic:cNvPicPr>
                        </pic:nvPicPr>
                        <pic:blipFill>
                          <a:blip r:embed="rId37"/>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Effect of prompt strategy on model accuracy. Points show the posterior median and bars the 95% credible intervals.</w:t>
            </w:r>
          </w:p>
          <w:bookmarkEnd w:id="40"/>
        </w:tc>
      </w:tr>
    </w:tbl>
    <w:p>
      <w:pPr>
        <w:pStyle w:val="BodyText"/>
      </w:pPr>
      <w:r>
        <w:t xml:space="preserve">Across the 40 large-language models evaluated, posterior accuracy ranged from 97.5% [95.9%-98.6%] for OpenAI’s o3 to 27.9% [24.8%-31.0%] for the smallest local replica (</w:t>
      </w:r>
      <w:r>
        <w:rPr>
          <w:rStyle w:val="VerbatimChar"/>
        </w:rPr>
        <w:t xml:space="preserve">qwen2.5-coder-1.5b-instruct-mlx@4bit</w:t>
      </w:r>
      <w:r>
        <w:t xml:space="preserve">) (</w:t>
      </w:r>
      <w:hyperlink w:anchor="fig-overall-correctness">
        <w:r>
          <w:rPr>
            <w:rStyle w:val="Hyperlink"/>
          </w:rPr>
          <w:t xml:space="preserve">Figure 1</w:t>
        </w:r>
      </w:hyperlink>
      <w:r>
        <w:t xml:space="preserve">).</w:t>
      </w:r>
      <w:r>
        <w:br/>
      </w:r>
      <w:r>
        <w:t xml:space="preserve">Detailed median posterior performance metrics for each model are reported in Supplementary Table S3.</w:t>
      </w:r>
      <w:r>
        <w:br/>
      </w:r>
      <w:r>
        <w:t xml:space="preserve">Large parameter count reasoning models dominated: in addition to o3, o1 96.5% [94.7%-98.0%], Perplexity</w:t>
      </w:r>
      <w:r>
        <w:t xml:space="preserve"> </w:t>
      </w:r>
      <w:r>
        <w:rPr>
          <w:i/>
          <w:iCs/>
        </w:rPr>
        <w:t xml:space="preserve">Sonar-Reasoning</w:t>
      </w:r>
      <w:r>
        <w:t xml:space="preserve"> </w:t>
      </w:r>
      <w:r>
        <w:t xml:space="preserve">97.2% [95.6%-98.5%], and Gemini-2.5-Pro 95.4% [93.4%-97.0%] were among the top performers.</w:t>
      </w:r>
      <w:r>
        <w:br/>
      </w:r>
      <w:r>
        <w:t xml:space="preserve">Instruction-tuned classics plateaued roughly 4 percentage points lower, led by GPT-4o 91.4% [89.5%-93.1%] and Mistral-Large-2411 93.8% [92.0%-95.3%].</w:t>
      </w:r>
    </w:p>
    <w:p>
      <w:pPr>
        <w:pStyle w:val="BodyText"/>
      </w:pPr>
      <w:r>
        <w:t xml:space="preserve">Local models performed overall worse, mostly due to limits in deployable sizes that restricted deployment to very small models (e.g., 1.5B parameters). The smallest 1.5B quantization languished at 27.9% [24.8%-31.0%]. The largest deployable size on the researchers’ machines was a 32B Qwen distillation of DeepSeek-R1, which achieved 85.1% [82.2%-87.9%] but nevertheless performed slightly worse than the same model accessed via the Groq API (86.2% [83.4%-88.7%]), probably due to the aggressive quantization (4-bit) necessary to make it fit in memory.</w:t>
      </w:r>
    </w:p>
    <w:p>
      <w:pPr>
        <w:pStyle w:val="BodyText"/>
      </w:pPr>
      <w:r>
        <w:t xml:space="preserve">Within provider families, accuracy climbed with successive iterations: OpenAI’s line rose from GPT-4o 91.4% [89.5%-93.1%] through o1 96.5% [94.7%-98.0%] to o3 97.5% [95.9%-98.6%]; Google’s advanced from Gemini-Flash 92.0% [90.1%-93.7%] to Gemini-Pro 95.4% [93.4%-97.0%]. Similar improvements were observed for Llama and Mistral models.</w:t>
      </w:r>
    </w:p>
    <w:p>
      <w:pPr>
        <w:pStyle w:val="BodyText"/>
      </w:pPr>
      <w:r>
        <w:t xml:space="preserve">Search augmentation helped when well integrated:</w:t>
      </w:r>
      <w:r>
        <w:t xml:space="preserve"> </w:t>
      </w:r>
      <w:r>
        <w:rPr>
          <w:i/>
          <w:iCs/>
        </w:rPr>
        <w:t xml:space="preserve">Sonar-Reasoning</w:t>
      </w:r>
      <w:r>
        <w:t xml:space="preserve"> </w:t>
      </w:r>
      <w:r>
        <w:t xml:space="preserve">(a DeepSeek-R1 finetune with search capabilities) surpassed its base model (97.2% vs 86.2%), whereas the search-enabled GPT-4o variant underperformed the base (88.7% vs 91.4%).</w:t>
      </w:r>
    </w:p>
    <w:p>
      <w:pPr>
        <w:pStyle w:val="BodyText"/>
      </w:pPr>
      <w:r>
        <w:t xml:space="preserve">Prompting altered these figures only marginally (</w:t>
      </w:r>
      <w:hyperlink w:anchor="fig-modality-correctness">
        <w:r>
          <w:rPr>
            <w:rStyle w:val="Hyperlink"/>
          </w:rPr>
          <w:t xml:space="preserve">Figure 2</w:t>
        </w:r>
      </w:hyperlink>
      <w:r>
        <w:t xml:space="preserve">); detailed prompt-by-model-type estimates are shown in Supplementary Table S4 and S5. Classic models improved from 79.7% with a</w:t>
      </w:r>
      <w:r>
        <w:t xml:space="preserve"> </w:t>
      </w:r>
      <w:r>
        <w:rPr>
          <w:b/>
          <w:bCs/>
        </w:rPr>
        <w:t xml:space="preserve">cold</w:t>
      </w:r>
      <w:r>
        <w:t xml:space="preserve"> </w:t>
      </w:r>
      <w:r>
        <w:t xml:space="preserve">prompt to 80.9% under explicit reasoning instructions, whereas reasoning models performed best with the concise</w:t>
      </w:r>
      <w:r>
        <w:t xml:space="preserve"> </w:t>
      </w:r>
      <w:r>
        <w:rPr>
          <w:b/>
          <w:bCs/>
        </w:rPr>
        <w:t xml:space="preserve">cold</w:t>
      </w:r>
      <w:r>
        <w:t xml:space="preserve"> </w:t>
      </w:r>
      <w:r>
        <w:t xml:space="preserve">prompt (84.3% vs 83.8% for a</w:t>
      </w:r>
      <w:r>
        <w:t xml:space="preserve"> </w:t>
      </w:r>
      <w:r>
        <w:rPr>
          <w:i/>
          <w:iCs/>
        </w:rPr>
        <w:t xml:space="preserve">free</w:t>
      </w:r>
      <w:r>
        <w:t xml:space="preserve"> </w:t>
      </w:r>
      <w:r>
        <w:t xml:space="preserve">prompt). But the largest performance gap was between reasoning models and classics, independent of prompt strategy.</w:t>
      </w:r>
    </w:p>
    <w:bookmarkEnd w:id="41"/>
    <w:bookmarkStart w:id="50" w:name="parsability-consistency"/>
    <w:p>
      <w:pPr>
        <w:pStyle w:val="Heading2"/>
      </w:pPr>
      <w:r>
        <w:t xml:space="preserve">Parsability of responses and consistency</w:t>
      </w:r>
    </w:p>
    <w:tbl>
      <w:tblPr>
        <w:tblStyle w:val="Table"/>
        <w:tblW w:type="pct" w:w="5000"/>
        <w:tblLayout w:type="fixed"/>
        <w:tblLook w:firstRow="0" w:lastRow="0" w:firstColumn="0" w:lastColumn="0" w:noHBand="0" w:noVBand="0" w:val="0000"/>
      </w:tblPr>
      <w:tblGrid>
        <w:gridCol w:w="7920"/>
      </w:tblGrid>
      <w:tr>
        <w:tc>
          <w:tcPr/>
          <w:bookmarkStart w:id="45" w:name="fig-metrics"/>
          <w:p>
            <w:pPr>
              <w:pStyle w:val="Compact"/>
              <w:jc w:val="center"/>
            </w:pPr>
            <w:r>
              <w:drawing>
                <wp:inline>
                  <wp:extent cx="5334000" cy="4445000"/>
                  <wp:effectExtent b="0" l="0" r="0" t="0"/>
                  <wp:docPr descr="" title="" id="43" name="Picture"/>
                  <a:graphic>
                    <a:graphicData uri="http://schemas.openxmlformats.org/drawingml/2006/picture">
                      <pic:pic>
                        <pic:nvPicPr>
                          <pic:cNvPr descr="manuscript_files/figure-docx/fig-metrics-1.png" id="44" name="Picture"/>
                          <pic:cNvPicPr>
                            <a:picLocks noChangeArrowheads="1" noChangeAspect="1"/>
                          </pic:cNvPicPr>
                        </pic:nvPicPr>
                        <pic:blipFill>
                          <a:blip r:embed="rId42"/>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Model performance on secondary metrics. (A) Parsing success, measured as parsing success score. (B) Answer consistency, measuring the reproducibility of answers across identical prompts. Points are posterior medians, bars are 95% credible intervals.</w:t>
            </w:r>
          </w:p>
          <w:bookmarkEnd w:id="45"/>
        </w:tc>
      </w:tr>
    </w:tbl>
    <w:tbl>
      <w:tblPr>
        <w:tblStyle w:val="Table"/>
        <w:tblW w:type="pct" w:w="5000"/>
        <w:tblLayout w:type="fixed"/>
        <w:tblLook w:firstRow="0" w:lastRow="0" w:firstColumn="0" w:lastColumn="0" w:noHBand="0" w:noVBand="0" w:val="0000"/>
      </w:tblPr>
      <w:tblGrid>
        <w:gridCol w:w="7920"/>
      </w:tblGrid>
      <w:tr>
        <w:tc>
          <w:tcPr/>
          <w:bookmarkStart w:id="49" w:name="fig-cross-metrics"/>
          <w:p>
            <w:pPr>
              <w:pStyle w:val="Compact"/>
              <w:jc w:val="center"/>
            </w:pPr>
            <w:r>
              <w:drawing>
                <wp:inline>
                  <wp:extent cx="5334000" cy="6667500"/>
                  <wp:effectExtent b="0" l="0" r="0" t="0"/>
                  <wp:docPr descr="" title="" id="47" name="Picture"/>
                  <a:graphic>
                    <a:graphicData uri="http://schemas.openxmlformats.org/drawingml/2006/picture">
                      <pic:pic>
                        <pic:nvPicPr>
                          <pic:cNvPr descr="manuscript_files/figure-docx/fig-cross-metrics-1.png" id="48" name="Picture"/>
                          <pic:cNvPicPr>
                            <a:picLocks noChangeArrowheads="1" noChangeAspect="1"/>
                          </pic:cNvPicPr>
                        </pic:nvPicPr>
                        <pic:blipFill>
                          <a:blip r:embed="rId46"/>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 accuracy and other performance metrics. (A) Accuracy versus parsing success. (B) Accuracy versus answer consistency. Each point represents a model, categorised into quadrants based on median performance.</w:t>
            </w:r>
          </w:p>
          <w:bookmarkEnd w:id="49"/>
        </w:tc>
      </w:tr>
    </w:tbl>
    <w:p>
      <w:pPr>
        <w:pStyle w:val="BodyText"/>
      </w:pPr>
      <w:r>
        <w:t xml:space="preserve">Most models followed formatting instructions and produced the expected output format, which allowed for automated parsing of the answers (</w:t>
      </w:r>
      <w:hyperlink w:anchor="fig-metrics">
        <w:r>
          <w:rPr>
            <w:rStyle w:val="Hyperlink"/>
          </w:rPr>
          <w:t xml:space="preserve">Figure 3</w:t>
        </w:r>
      </w:hyperlink>
      <w:r>
        <w:t xml:space="preserve">A). Parsability exceeded 90% for 30 of the 40 models we evaluated. The distribution was decidedly bimodal: at one extreme, large high-performing frontier models such as</w:t>
      </w:r>
      <w:r>
        <w:t xml:space="preserve"> </w:t>
      </w:r>
      <w:r>
        <w:rPr>
          <w:rStyle w:val="VerbatimChar"/>
        </w:rPr>
        <w:t xml:space="preserve">o3</w:t>
      </w:r>
      <w:r>
        <w:t xml:space="preserve"> </w:t>
      </w:r>
      <w:r>
        <w:t xml:space="preserve">(100.0%),</w:t>
      </w:r>
      <w:r>
        <w:t xml:space="preserve"> </w:t>
      </w:r>
      <w:r>
        <w:rPr>
          <w:rStyle w:val="VerbatimChar"/>
        </w:rPr>
        <w:t xml:space="preserve">gemini-2.5-pro</w:t>
      </w:r>
      <w:r>
        <w:t xml:space="preserve"> </w:t>
      </w:r>
      <w:r>
        <w:t xml:space="preserve">(99.9%), and</w:t>
      </w:r>
      <w:r>
        <w:t xml:space="preserve"> </w:t>
      </w:r>
      <w:r>
        <w:rPr>
          <w:rStyle w:val="VerbatimChar"/>
        </w:rPr>
        <w:t xml:space="preserve">deepseek-r1</w:t>
      </w:r>
      <w:r>
        <w:t xml:space="preserve"> </w:t>
      </w:r>
      <w:r>
        <w:t xml:space="preserve">(100.0%) yielded rates well above 95%; at the other, small locally-running models showed a strong drop in parsability, achieving barely half that rate with scores around 50%.</w:t>
      </w:r>
      <w:r>
        <w:br/>
      </w:r>
      <w:r>
        <w:t xml:space="preserve">Supplementary Table S3 reports the full set of posterior estimates.</w:t>
      </w:r>
    </w:p>
    <w:p>
      <w:pPr>
        <w:pStyle w:val="BodyText"/>
      </w:pPr>
      <w:r>
        <w:t xml:space="preserve">In general, accuracy and instruction-following were moderately correlated (r = 0.62; 95% CrI 0.56-0.67). However, a well-structured output did not guarantee correctness. When plotted against each other (</w:t>
      </w:r>
      <w:hyperlink w:anchor="fig-cross-metrics">
        <w:r>
          <w:rPr>
            <w:rStyle w:val="Hyperlink"/>
          </w:rPr>
          <w:t xml:space="preserve">Figure 4</w:t>
        </w:r>
      </w:hyperlink>
      <w:r>
        <w:t xml:space="preserve">A), the models divided into four groups: the best models dominated the upper-right (accurate and well-formed) quadrant, while notable exceptions populated the off-diagonal quadrants. For example, GPT-4o Mini and Claude 3.5 Haiku attained an almost perfect parse rate but underperformed in terms of accuracy; on the other hand, Perplexity Sonar Reasoning was extremely reliable in providing correct answers but had more difficulties in following formatting instructions.</w:t>
      </w:r>
    </w:p>
    <w:p>
      <w:pPr>
        <w:pStyle w:val="BodyText"/>
      </w:pPr>
      <w:r>
        <w:t xml:space="preserve">Response consistency was also generally good, ranging from 86.4% (</w:t>
      </w:r>
      <w:r>
        <w:rPr>
          <w:rStyle w:val="VerbatimChar"/>
        </w:rPr>
        <w:t xml:space="preserve">r1-distill-qwen-1.5b@4bit</w:t>
      </w:r>
      <w:r>
        <w:t xml:space="preserve">) to 94.9% (</w:t>
      </w:r>
      <w:r>
        <w:rPr>
          <w:rStyle w:val="VerbatimChar"/>
        </w:rPr>
        <w:t xml:space="preserve">o3</w:t>
      </w:r>
      <w:r>
        <w:t xml:space="preserve">) (</w:t>
      </w:r>
      <w:hyperlink w:anchor="fig-metrics">
        <w:r>
          <w:rPr>
            <w:rStyle w:val="Hyperlink"/>
          </w:rPr>
          <w:t xml:space="preserve">Figure 3</w:t>
        </w:r>
      </w:hyperlink>
      <w:r>
        <w:t xml:space="preserve">B).</w:t>
      </w:r>
      <w:r>
        <w:br/>
      </w:r>
      <w:r>
        <w:t xml:space="preserve">Supplementary Table S3 tabulates the posterior consistency estimates for each model.</w:t>
      </w:r>
      <w:r>
        <w:t xml:space="preserve"> </w:t>
      </w:r>
      <w:r>
        <w:t xml:space="preserve">The correlation between accuracy and consistency was expectedly high (</w:t>
      </w:r>
      <m:oMath>
        <m:sSub>
          <m:e>
            <m:r>
              <m:t>ρ</m:t>
            </m:r>
          </m:e>
          <m:sub>
            <m:r>
              <m:t>s</m:t>
            </m:r>
          </m:sub>
        </m:sSub>
      </m:oMath>
      <w:r>
        <w:t xml:space="preserve"> </w:t>
      </w:r>
      <w:r>
        <w:t xml:space="preserve">= 0.75; 95% CrI 0.62-0.85;</w:t>
      </w:r>
      <w:r>
        <w:t xml:space="preserve"> </w:t>
      </w:r>
      <w:hyperlink w:anchor="fig-cross-metrics">
        <w:r>
          <w:rPr>
            <w:rStyle w:val="Hyperlink"/>
          </w:rPr>
          <w:t xml:space="preserve">Figure 4</w:t>
        </w:r>
      </w:hyperlink>
      <w:r>
        <w:t xml:space="preserve">B): large reasoning models dominated the high-accuracy, high-consistency quadrant (upper-right) while mostly incorrect and unstable models populated the bottom-right.</w:t>
      </w:r>
      <w:r>
        <w:t xml:space="preserve"> </w:t>
      </w:r>
      <w:r>
        <w:t xml:space="preserve">Very few models were in the top-left quadrant (mostly smaller versions of high-performing models, such as o4-mini and Claude 3.5</w:t>
      </w:r>
      <w:r>
        <w:t xml:space="preserve"> </w:t>
      </w:r>
      <w:r>
        <w:t xml:space="preserve">“Haiku”</w:t>
      </w:r>
      <w:r>
        <w:t xml:space="preserve">, but also Llama 4</w:t>
      </w:r>
      <w:r>
        <w:t xml:space="preserve"> </w:t>
      </w:r>
      <w:r>
        <w:t xml:space="preserve">“Scout”</w:t>
      </w:r>
      <w:r>
        <w:t xml:space="preserve">) or the bottom-right quadrant (accurate but inconsistent models, notably two search-enabled models, Perplexity Sonar Large and GPT-4o-search).</w:t>
      </w:r>
    </w:p>
    <w:bookmarkEnd w:id="50"/>
    <w:bookmarkStart w:id="55" w:name="cost-accuracy"/>
    <w:p>
      <w:pPr>
        <w:pStyle w:val="Heading2"/>
      </w:pPr>
      <w:r>
        <w:t xml:space="preserve">Cost-accuracy trade-off</w:t>
      </w:r>
    </w:p>
    <w:tbl>
      <w:tblPr>
        <w:tblStyle w:val="Table"/>
        <w:tblW w:type="pct" w:w="5000"/>
        <w:tblLayout w:type="fixed"/>
        <w:tblLook w:firstRow="0" w:lastRow="0" w:firstColumn="0" w:lastColumn="0" w:noHBand="0" w:noVBand="0" w:val="0000"/>
      </w:tblPr>
      <w:tblGrid>
        <w:gridCol w:w="7920"/>
      </w:tblGrid>
      <w:tr>
        <w:tc>
          <w:tcPr/>
          <w:bookmarkStart w:id="54" w:name="fig-cost-accuracy"/>
          <w:p>
            <w:pPr>
              <w:pStyle w:val="Compact"/>
              <w:jc w:val="center"/>
            </w:pPr>
            <w:r>
              <w:drawing>
                <wp:inline>
                  <wp:extent cx="5334000" cy="3556000"/>
                  <wp:effectExtent b="0" l="0" r="0" t="0"/>
                  <wp:docPr descr="" title="" id="52" name="Picture"/>
                  <a:graphic>
                    <a:graphicData uri="http://schemas.openxmlformats.org/drawingml/2006/picture">
                      <pic:pic>
                        <pic:nvPicPr>
                          <pic:cNvPr descr="manuscript_files/figure-docx/fig-cost-accuracy-1.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Cost-accuracy trade-off and Pareto frontier. The frontier (red line) highlights models offering the best accuracy for a given cost. The y-axis is on a logit scale and the x-axis on the log10 scale of cost per million tokens.</w:t>
            </w:r>
          </w:p>
          <w:bookmarkEnd w:id="54"/>
        </w:tc>
      </w:tr>
    </w:tbl>
    <w:p>
      <w:pPr>
        <w:pStyle w:val="BodyText"/>
      </w:pPr>
      <w:r>
        <w:t xml:space="preserve">The cost-accuracy analysis identified 5 Pareto-optimal models (</w:t>
      </w:r>
      <w:hyperlink w:anchor="fig-cost-accuracy">
        <w:r>
          <w:rPr>
            <w:rStyle w:val="Hyperlink"/>
          </w:rPr>
          <w:t xml:space="preserve">Figure 5</w:t>
        </w:r>
      </w:hyperlink>
      <w:r>
        <w:t xml:space="preserve">) spanning four orders of magnitude in price. Accuracy increased almost monotonically from roughly 85.1% [82.2%-87.9%] for a free local 32-B DeepSeek R1 distillation (at no cost) to 97.5% [95.9%-98.6%] for OpenAI’s o3 (at $8 per million tokens). Crucially, a drastic (~80%) recent price cut for o3 positioned it at the apex of the efficiency frontier.</w:t>
      </w:r>
    </w:p>
    <w:p>
      <w:pPr>
        <w:pStyle w:val="BodyText"/>
      </w:pPr>
      <w:r>
        <w:t xml:space="preserve">At the extreme low-cost end, Gemini 2.0</w:t>
      </w:r>
      <w:r>
        <w:t xml:space="preserve"> </w:t>
      </w:r>
      <w:r>
        <w:t xml:space="preserve">“Flash”</w:t>
      </w:r>
      <w:r>
        <w:t xml:space="preserve"> </w:t>
      </w:r>
      <w:r>
        <w:t xml:space="preserve">achieved 94.2% [92.1%-96.0%]. Its inclusion on the frontier owes mostly to its temporary free access for experimentation during the study period (nominal cost $0); performance, while strong, still trailed the very best models by roughly two percentage points.</w:t>
      </w:r>
    </w:p>
    <w:p>
      <w:pPr>
        <w:pStyle w:val="BodyText"/>
      </w:pPr>
      <w:r>
        <w:t xml:space="preserve">In contrast, o1 delivers a similar accuracy of 96.5% but at a far steeper cost of $60 per million tokens, leaving it well below the frontier. Intermediate points such as DeepSeek-R1 (95.4% at $2.19) and Perplexity Sonar Reasoning (97.2% at $5) illustrate that large gains in accuracy can be obtained for modest additional spend, whereas costs beyond ≈$10 yield diminishing returns. Overall, Perplexity Sonar Reasoning and o3 currently offer the most favourable balance between accuracy and operational expense, with o3 being more stable and reliable (see</w:t>
      </w:r>
      <w:r>
        <w:t xml:space="preserve"> </w:t>
      </w:r>
      <w:hyperlink w:anchor="fig-cross-metrics">
        <w:r>
          <w:rPr>
            <w:rStyle w:val="Hyperlink"/>
          </w:rPr>
          <w:t xml:space="preserve">Figure 4</w:t>
        </w:r>
      </w:hyperlink>
      <w:r>
        <w:t xml:space="preserve">).</w:t>
      </w:r>
    </w:p>
    <w:bookmarkEnd w:id="55"/>
    <w:bookmarkStart w:id="60" w:name="item-analysis"/>
    <w:p>
      <w:pPr>
        <w:pStyle w:val="Heading2"/>
      </w:pPr>
      <w:r>
        <w:t xml:space="preserve">Item-level analysis</w:t>
      </w:r>
    </w:p>
    <w:tbl>
      <w:tblPr>
        <w:tblStyle w:val="Table"/>
        <w:tblW w:type="pct" w:w="5000"/>
        <w:tblLayout w:type="fixed"/>
        <w:tblLook w:firstRow="0" w:lastRow="0" w:firstColumn="0" w:lastColumn="0" w:noHBand="0" w:noVBand="0" w:val="0000"/>
      </w:tblPr>
      <w:tblGrid>
        <w:gridCol w:w="7920"/>
      </w:tblGrid>
      <w:tr>
        <w:tc>
          <w:tcPr/>
          <w:bookmarkStart w:id="59" w:name="fig-item-mosaic"/>
          <w:p>
            <w:pPr>
              <w:pStyle w:val="Compact"/>
              <w:jc w:val="center"/>
            </w:pPr>
            <w:r>
              <w:drawing>
                <wp:inline>
                  <wp:extent cx="5334000" cy="4000500"/>
                  <wp:effectExtent b="0" l="0" r="0" t="0"/>
                  <wp:docPr descr="" title="" id="57" name="Picture"/>
                  <a:graphic>
                    <a:graphicData uri="http://schemas.openxmlformats.org/drawingml/2006/picture">
                      <pic:pic>
                        <pic:nvPicPr>
                          <pic:cNvPr descr="manuscript_files/figure-docx/fig-item-mosaic-1.png" id="58"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Item-level performance across all models. Each cell shows the median posterior correctness for a given model and question. Color intensity reflects correctness, and transparency indicates certainty (narrower credible intervals are more opaque).</w:t>
            </w:r>
          </w:p>
          <w:bookmarkEnd w:id="59"/>
        </w:tc>
      </w:tr>
    </w:tbl>
    <w:p>
      <w:pPr>
        <w:pStyle w:val="BodyText"/>
      </w:pPr>
      <w:r>
        <w:t xml:space="preserve">Per-question model performance was highly heterogeneous (</w:t>
      </w:r>
      <w:hyperlink w:anchor="fig-item-mosaic">
        <w:r>
          <w:rPr>
            <w:rStyle w:val="Hyperlink"/>
          </w:rPr>
          <w:t xml:space="preserve">Figure 6</w:t>
        </w:r>
      </w:hyperlink>
      <w:r>
        <w:t xml:space="preserve">). Median accuracy spanned from 17.5% for the hardest question (item 26, a neurological-symptoms scenario with a past exposure to center-west Africa rural setting, suggestive of Onchocerciasis) up to virtually perfect performance on the easiest trio (#39 (99.1%), #8 (99.2%), #32 (99.4%)), covering routine travel-medicine advice and basic epidemiology.</w:t>
      </w:r>
    </w:p>
    <w:p>
      <w:pPr>
        <w:pStyle w:val="BodyText"/>
      </w:pPr>
      <w:r>
        <w:t xml:space="preserve">Only 12% of models crossed the 50% posterior threshold on item 26. In the raw responses, option A (</w:t>
      </w:r>
      <w:r>
        <w:t xml:space="preserve">“Skin snips”</w:t>
      </w:r>
      <w:r>
        <w:t xml:space="preserve">) was chosen 40%, D (</w:t>
      </w:r>
      <w:r>
        <w:t xml:space="preserve">“Giemsa-stained smears of blood drawn at night”</w:t>
      </w:r>
      <w:r>
        <w:t xml:space="preserve">) 32%, and the correct option C (</w:t>
      </w:r>
      <w:r>
        <w:t xml:space="preserve">“Antifilarial antibody levels”</w:t>
      </w:r>
      <w:r>
        <w:t xml:space="preserve">) only 23%.</w:t>
      </w:r>
      <w:r>
        <w:t xml:space="preserve"> </w:t>
      </w:r>
      <w:r>
        <w:rPr>
          <w:i/>
          <w:iCs/>
        </w:rPr>
        <w:t xml:space="preserve">o3</w:t>
      </w:r>
      <w:r>
        <w:t xml:space="preserve"> </w:t>
      </w:r>
      <w:r>
        <w:t xml:space="preserve">was internally consistent yet wrong, selecting A in 100% of its replications. The spread across alternatives indicates genuine uncertainty rather than a single systematic misconception. Notably, solution A is the first-line diagnostic approach for suspected Onchocerciasis.</w:t>
      </w:r>
    </w:p>
    <w:p>
      <w:pPr>
        <w:pStyle w:val="BodyText"/>
      </w:pPr>
      <w:r>
        <w:t xml:space="preserve">Moreover, for items #2 (diagnosis of suspected malaria with diarrheal symptoms) and #4 (treatment of fever and diarrhea), the second and third most challenging items after #26, the o3 model consistently provided correct responses, yet exhibited posterior medians (approximately 90% and 77%, respectively) far from a 100% success rate and with wider credible intervals. This pattern reflects the regularizing properties of the hierarchical Bayesian model, which exhibits increased uncertainty when a model’s performance substantially deviates from the population average, as each question was modelled with its own intercept and no model/item interaction was included for better generalization.</w:t>
      </w:r>
    </w:p>
    <w:p>
      <w:pPr>
        <w:pStyle w:val="BodyText"/>
      </w:pPr>
      <w:r>
        <w:t xml:space="preserve">Conversely, items such as #39 (99.1%), #8 (99.2%), #32 (99.4%) were solved by virtually all models, indicating that a sizeable fraction of the benchmark targeted plain retrieval rather than complex reasoning. Variation (range of posterior medians) exceeded 90 percentage points for several mid-difficulty questions, underscoring that model architecture and scale interact strongly with item traits. Overall, a small subset of challenging prompts (e.g., items #26 (17.5%), #4 (24.4%), #2 (46.2%)) accounted for the bulk of performance discrimination across models.</w:t>
      </w:r>
    </w:p>
    <w:bookmarkEnd w:id="60"/>
    <w:bookmarkEnd w:id="61"/>
    <w:bookmarkStart w:id="62" w:name="discussion"/>
    <w:p>
      <w:pPr>
        <w:pStyle w:val="Heading1"/>
      </w:pPr>
      <w:r>
        <w:t xml:space="preserve">Discussion</w:t>
      </w:r>
    </w:p>
    <w:p>
      <w:pPr>
        <w:pStyle w:val="FirstParagraph"/>
      </w:pPr>
      <w:r>
        <w:t xml:space="preserve">Large language models (LLMs) released in 2024-2025 demonstrate a decisive leap in domain competence.</w:t>
      </w:r>
      <w:r>
        <w:t xml:space="preserve"> </w:t>
      </w:r>
      <w:r>
        <w:t xml:space="preserve">In our evaluation, the best‐performing families, OpenAI o‑series, Google Gemini 2.5 Pro, and Perplexity Sonar Reasoning, achieved performances around 95%-98% on the travel‑medicine benchmark.</w:t>
      </w:r>
      <w:r>
        <w:t xml:space="preserve"> </w:t>
      </w:r>
      <w:r>
        <w:t xml:space="preserve">Published evidence reinforces this trend: a recent public‑health assessment found that frontier systems exceeded 90% accuracy on 23 global‑health benchmarks</w:t>
      </w:r>
      <w:r>
        <w:t xml:space="preserve"> </w:t>
      </w:r>
      <w:r>
        <w:t xml:space="preserve">(17)</w:t>
      </w:r>
      <w:r>
        <w:t xml:space="preserve">.</w:t>
      </w:r>
      <w:r>
        <w:t xml:space="preserve"> </w:t>
      </w:r>
      <w:r>
        <w:t xml:space="preserve">These scores approach professional‑certification thresholds, confirming the trend already observed for general medical examinations, where GPT‑4 and Med‑PaLM 2 often exceed 85% accuracy on MedQA and USMLE datasets</w:t>
      </w:r>
      <w:r>
        <w:t xml:space="preserve"> </w:t>
      </w:r>
      <w:r>
        <w:t xml:space="preserve">(2,3,18)</w:t>
      </w:r>
      <w:r>
        <w:t xml:space="preserve">. Differently from most works in the field, our benchmarking was performed using hierarchical Bayesian models, which provide some level of regularisation and generalisation beyond the specific set of questions</w:t>
      </w:r>
      <w:r>
        <w:t xml:space="preserve"> </w:t>
      </w:r>
      <w:r>
        <w:t xml:space="preserve">(16,19)</w:t>
      </w:r>
      <w:r>
        <w:t xml:space="preserve">.</w:t>
      </w:r>
    </w:p>
    <w:p>
      <w:pPr>
        <w:pStyle w:val="BodyText"/>
      </w:pPr>
      <w:r>
        <w:t xml:space="preserve">Prompting conditions continued to influence accuracy, yet with diminishing returns at the top end. Chain‑of‑thought (CoT) prompts modestly improved mid‑tier models, echoing earlier demonstrations that explicit reasoning benefits smaller or less specialised LLMs</w:t>
      </w:r>
      <w:r>
        <w:t xml:space="preserve"> </w:t>
      </w:r>
      <w:r>
        <w:t xml:space="preserve">(11)</w:t>
      </w:r>
      <w:r>
        <w:t xml:space="preserve">.</w:t>
      </w:r>
      <w:r>
        <w:t xml:space="preserve"> </w:t>
      </w:r>
      <w:r>
        <w:t xml:space="preserve">However, model size and characteristics were the main performance drivers. Intrinsically reasoning models such as o3 and Gemini 2.5 Pro, which are trained to reason internally before answering, outperformed all other models in our benchmark, independent of the prompting conditions.</w:t>
      </w:r>
      <w:r>
        <w:t xml:space="preserve"> </w:t>
      </w:r>
      <w:r>
        <w:t xml:space="preserve">This observation suggests that, for high‑capacity systems, performance may now be limited more by pre‑training coverage and alignment than by surface prompt engineering.</w:t>
      </w:r>
      <w:r>
        <w:t xml:space="preserve"> </w:t>
      </w:r>
      <w:r>
        <w:t xml:space="preserve">Incorporating external knowledge, or grounding answers in real‑time search as Perplexity Sonar does, offers an alternative avenue for gains: the Sonar model equalled OpenAI systems while operating at markedly lower cost, highlighting the value of real-time data access for knowledge-based tasks</w:t>
      </w:r>
      <w:r>
        <w:t xml:space="preserve"> </w:t>
      </w:r>
      <w:r>
        <w:t xml:space="preserve">(20)</w:t>
      </w:r>
      <w:r>
        <w:t xml:space="preserve">.</w:t>
      </w:r>
    </w:p>
    <w:p>
      <w:pPr>
        <w:pStyle w:val="BodyText"/>
      </w:pPr>
      <w:r>
        <w:t xml:space="preserve">Open‑source innovations are closing the gap with proprietary systems. Llama-4, DeepSeek-R1, and MistralAI models reached &gt; 90% accuracy in our benchmark while operating at a fraction of the cost of larger proprietary models. Retrieval‑augmented generation amplifies these gains: coupling DeepSeek-R1 with Perplexity’s live‑search (Perplexity Sonar Reasoning model) pushed accuracy to 97% and delivered source‑linked justifications, features essential for clinical auditing.</w:t>
      </w:r>
    </w:p>
    <w:p>
      <w:pPr>
        <w:pStyle w:val="BodyText"/>
      </w:pPr>
      <w:r>
        <w:t xml:space="preserve">While smaller, local models still tend to underperform, the 32-B DeepSeek R1 distillation performance is a promising sign of their growing capabilities. Beyond accuracy, local models are cost-efficient and provide greater security and convenience—an especially important advantage in healthcare, where privacy and ethical considerations often influence model choice.</w:t>
      </w:r>
    </w:p>
    <w:p>
      <w:pPr>
        <w:pStyle w:val="BodyText"/>
      </w:pPr>
      <w:r>
        <w:t xml:space="preserve">High benchmark scores translate into clinically meaningful competence.</w:t>
      </w:r>
      <w:r>
        <w:t xml:space="preserve"> </w:t>
      </w:r>
      <w:r>
        <w:t xml:space="preserve">It has been shown that GPT‑4, now considered an</w:t>
      </w:r>
      <w:r>
        <w:t xml:space="preserve"> </w:t>
      </w:r>
      <w:r>
        <w:t xml:space="preserve">“old model”</w:t>
      </w:r>
      <w:r>
        <w:t xml:space="preserve">, already answers real‑world patient questions with higher factual accuracy than physicians in controlled settings</w:t>
      </w:r>
      <w:r>
        <w:t xml:space="preserve"> </w:t>
      </w:r>
      <w:r>
        <w:t xml:space="preserve">(21)</w:t>
      </w:r>
      <w:r>
        <w:t xml:space="preserve">, and achieves decision‑support parity with specialists in emergency ophthalmology</w:t>
      </w:r>
      <w:r>
        <w:t xml:space="preserve"> </w:t>
      </w:r>
      <w:r>
        <w:t xml:space="preserve">(22)</w:t>
      </w:r>
      <w:r>
        <w:t xml:space="preserve">.</w:t>
      </w:r>
      <w:r>
        <w:t xml:space="preserve"> </w:t>
      </w:r>
      <w:r>
        <w:t xml:space="preserve">Focusing on travel-medicine, early evidence from a Mayo Clinic pilot shows that LLMs produced actionable travel-medicine advice with notable improvements when using enhanced knowledge bases and refined prompting</w:t>
      </w:r>
      <w:r>
        <w:t xml:space="preserve"> </w:t>
      </w:r>
      <w:r>
        <w:t xml:space="preserve">(23)</w:t>
      </w:r>
      <w:r>
        <w:t xml:space="preserve">.</w:t>
      </w:r>
      <w:r>
        <w:t xml:space="preserve"> </w:t>
      </w:r>
      <w:r>
        <w:t xml:space="preserve">Furthermore, patient surveys report strong trust and satisfaction and even preference over human physicians because chatbots used more empathic language</w:t>
      </w:r>
      <w:r>
        <w:t xml:space="preserve"> </w:t>
      </w:r>
      <w:r>
        <w:t xml:space="preserve">(24)</w:t>
      </w:r>
      <w:r>
        <w:t xml:space="preserve">.</w:t>
      </w:r>
    </w:p>
    <w:p>
      <w:pPr>
        <w:pStyle w:val="BodyText"/>
      </w:pPr>
      <w:r>
        <w:t xml:space="preserve">Travel medicine poses unique demands: geographically variable prophylaxis, dynamic outbreak data and a spectrum of tropical pathogens seldom covered in Western curricula.</w:t>
      </w:r>
      <w:r>
        <w:t xml:space="preserve"> </w:t>
      </w:r>
      <w:r>
        <w:t xml:space="preserve">Prior anecdotal audits found that ChatGPT offered broadly correct but generic advice</w:t>
      </w:r>
      <w:r>
        <w:t xml:space="preserve"> </w:t>
      </w:r>
      <w:r>
        <w:t xml:space="preserve">(25)</w:t>
      </w:r>
      <w:r>
        <w:t xml:space="preserve">, prompting calls for structured development standards.</w:t>
      </w:r>
      <w:r>
        <w:t xml:space="preserve"> </w:t>
      </w:r>
      <w:r>
        <w:t xml:space="preserve">Baglivo et al. recently proposed a</w:t>
      </w:r>
      <w:r>
        <w:t xml:space="preserve"> </w:t>
      </w:r>
      <w:r>
        <w:rPr>
          <w:i/>
          <w:iCs/>
        </w:rPr>
        <w:t xml:space="preserve">decalogue</w:t>
      </w:r>
      <w:r>
        <w:t xml:space="preserve"> </w:t>
      </w:r>
      <w:r>
        <w:t xml:space="preserve">for safe travel‑health chatbots, emphasising source transparency and region‑specific updates</w:t>
      </w:r>
      <w:r>
        <w:t xml:space="preserve"> </w:t>
      </w:r>
      <w:r>
        <w:t xml:space="preserve">(8)</w:t>
      </w:r>
      <w:r>
        <w:t xml:space="preserve">.</w:t>
      </w:r>
      <w:r>
        <w:br/>
      </w:r>
      <w:r>
        <w:t xml:space="preserve">Our rigorous, question‑level evaluation provides further evidence: modern LLMs, especially state-of-art reasoning models or models augmented with live internet search, can match specialist knowledge on canonical items.</w:t>
      </w:r>
    </w:p>
    <w:p>
      <w:pPr>
        <w:pStyle w:val="BodyText"/>
      </w:pPr>
      <w:r>
        <w:t xml:space="preserve">Nevertheless, the present study has three main limitations. First, although the benchmark captures diverse scenarios, we cannot exclude that some question‑answer pairs were present in the LLMs’ pre‑training data, de facto posing a threat to generalisation to novel questions.</w:t>
      </w:r>
      <w:r>
        <w:t xml:space="preserve"> </w:t>
      </w:r>
      <w:r>
        <w:t xml:space="preserve">Future work should incorporate newly written items or adversarially generated cases to better assess whether models can truly handle novel scenarios, beyond those potentially seen during training.</w:t>
      </w:r>
      <w:r>
        <w:br/>
      </w:r>
      <w:r>
        <w:t xml:space="preserve">Second, our analysis focused on multiple‑choice accuracy, a very simplified scenario; real consultations require personalised risk stratification and shared‑decision support, tasks that warrant separate evaluation. A clear expansion of the study would be testing performance in more realistic human-machine interaction scenarios.</w:t>
      </w:r>
      <w:r>
        <w:br/>
      </w:r>
      <w:r>
        <w:t xml:space="preserve">Third, model fluency in languages other than English remains untested here and is crucial for equitable global deployment.</w:t>
      </w:r>
    </w:p>
    <w:p>
      <w:pPr>
        <w:pStyle w:val="BodyText"/>
      </w:pPr>
      <w:r>
        <w:t xml:space="preserve">Finally, not really a limitation, the set of models we evaluated is not exhaustive and will likely be outdated by the time this manuscript is published, as newer and higher-performing models continue to emerge.</w:t>
      </w:r>
    </w:p>
    <w:bookmarkEnd w:id="62"/>
    <w:bookmarkStart w:id="63" w:name="conclusion"/>
    <w:p>
      <w:pPr>
        <w:pStyle w:val="Heading1"/>
      </w:pPr>
      <w:r>
        <w:t xml:space="preserve">Conclusion</w:t>
      </w:r>
    </w:p>
    <w:p>
      <w:pPr>
        <w:pStyle w:val="FirstParagraph"/>
      </w:pPr>
      <w:r>
        <w:t xml:space="preserve">The sharp rise in medical accuracy, from sub‑60% for early GPT‑3 to near‑98% for 2025‑era models, signals a turning point.</w:t>
      </w:r>
      <w:r>
        <w:br/>
      </w:r>
      <w:r>
        <w:t xml:space="preserve">Health systems and public‑health agencies should recognise LLMs as emerging allies for patient safety, capable of reinforcing guideline adherence, supporting clinicians in low‑resource settings and expanding access to pre‑travel advice.</w:t>
      </w:r>
      <w:r>
        <w:t xml:space="preserve"> </w:t>
      </w:r>
      <w:r>
        <w:t xml:space="preserve">Realising this potential will require ongoing auditing, transparent reporting of model updates and integration with epidemiological surveillance, yet our findings indicate that the knowledge foundations are already in place.</w:t>
      </w:r>
    </w:p>
    <w:bookmarkEnd w:id="63"/>
    <w:bookmarkStart w:id="64" w:name="acknowledgments"/>
    <w:p>
      <w:pPr>
        <w:pStyle w:val="Heading1"/>
      </w:pPr>
      <w:r>
        <w:t xml:space="preserve">Acknowledgments</w:t>
      </w:r>
    </w:p>
    <w:p>
      <w:pPr>
        <w:pStyle w:val="FirstParagraph"/>
      </w:pPr>
      <w:r>
        <w:t xml:space="preserve">OpenAI’s ChatGPT, using multiple models, was utilized to assist in writing this manuscript and in developing the code used to generate the results. All ideas and methodologies presented are solely those of the authors.</w:t>
      </w:r>
    </w:p>
    <w:bookmarkEnd w:id="64"/>
    <w:bookmarkStart w:id="107" w:name="references"/>
    <w:p>
      <w:pPr>
        <w:pStyle w:val="Heading1"/>
      </w:pPr>
      <w:r>
        <w:t xml:space="preserve">References</w:t>
      </w:r>
    </w:p>
    <w:bookmarkStart w:id="106" w:name="refs"/>
    <w:bookmarkStart w:id="66" w:name="ref-goh2024"/>
    <w:p>
      <w:pPr>
        <w:pStyle w:val="Bibliography"/>
      </w:pPr>
      <w:r>
        <w:t xml:space="preserve">1.</w:t>
      </w:r>
      <w:r>
        <w:t xml:space="preserve"> </w:t>
      </w:r>
      <w:r>
        <w:t xml:space="preserve">	</w:t>
      </w:r>
      <w:r>
        <w:t xml:space="preserve">Goh E, Gallo R, Hom J, Strong E, Weng Y, Kerman H, et al.</w:t>
      </w:r>
      <w:r>
        <w:t xml:space="preserve"> </w:t>
      </w:r>
      <w:hyperlink r:id="rId65">
        <w:r>
          <w:rPr>
            <w:rStyle w:val="Hyperlink"/>
          </w:rPr>
          <w:t xml:space="preserve">Large language model influence on diagnostic reasoning: A randomized clinical trial</w:t>
        </w:r>
      </w:hyperlink>
      <w:r>
        <w:t xml:space="preserve">. JAMA Network Open. 2024;7(10):e2440969.</w:t>
      </w:r>
      <w:r>
        <w:t xml:space="preserve"> </w:t>
      </w:r>
    </w:p>
    <w:bookmarkEnd w:id="66"/>
    <w:bookmarkStart w:id="68" w:name="ref-kung2023usmle"/>
    <w:p>
      <w:pPr>
        <w:pStyle w:val="Bibliography"/>
      </w:pPr>
      <w:r>
        <w:t xml:space="preserve">2.</w:t>
      </w:r>
      <w:r>
        <w:t xml:space="preserve"> </w:t>
      </w:r>
      <w:r>
        <w:t xml:space="preserve">	</w:t>
      </w:r>
      <w:r>
        <w:t xml:space="preserve">Kung TH, Cheatham M, Medenilla A, Sillos C, De Leon L, Elepaño C, et al.</w:t>
      </w:r>
      <w:r>
        <w:t xml:space="preserve"> </w:t>
      </w:r>
      <w:hyperlink r:id="rId67">
        <w:r>
          <w:rPr>
            <w:rStyle w:val="Hyperlink"/>
          </w:rPr>
          <w:t xml:space="preserve">Performance of ChatGPT on USMLE: Potential for AI-assisted medical education using large language models</w:t>
        </w:r>
      </w:hyperlink>
      <w:r>
        <w:t xml:space="preserve">. PLOS Digital Health. 2023;2(2):e0000198.</w:t>
      </w:r>
      <w:r>
        <w:t xml:space="preserve"> </w:t>
      </w:r>
    </w:p>
    <w:bookmarkEnd w:id="68"/>
    <w:bookmarkStart w:id="70" w:name="ref-towards2023medpalm2"/>
    <w:p>
      <w:pPr>
        <w:pStyle w:val="Bibliography"/>
      </w:pPr>
      <w:r>
        <w:t xml:space="preserve">3.</w:t>
      </w:r>
      <w:r>
        <w:t xml:space="preserve"> </w:t>
      </w:r>
      <w:r>
        <w:t xml:space="preserve">	</w:t>
      </w:r>
      <w:r>
        <w:t xml:space="preserve">Singhal K, Tu T, Gottweis J, Sayres R, Wulczyn E, Amin M, et al.</w:t>
      </w:r>
      <w:r>
        <w:t xml:space="preserve"> </w:t>
      </w:r>
      <w:hyperlink r:id="rId69">
        <w:r>
          <w:rPr>
            <w:rStyle w:val="Hyperlink"/>
          </w:rPr>
          <w:t xml:space="preserve">Toward expert-level medical question answering with large language models</w:t>
        </w:r>
      </w:hyperlink>
      <w:r>
        <w:t xml:space="preserve">. Nature Medicine. 2025;31:943–50.</w:t>
      </w:r>
      <w:r>
        <w:t xml:space="preserve"> </w:t>
      </w:r>
    </w:p>
    <w:bookmarkEnd w:id="70"/>
    <w:bookmarkStart w:id="72" w:name="ref-mbakwe2023"/>
    <w:p>
      <w:pPr>
        <w:pStyle w:val="Bibliography"/>
      </w:pPr>
      <w:r>
        <w:t xml:space="preserve">4.</w:t>
      </w:r>
      <w:r>
        <w:t xml:space="preserve"> </w:t>
      </w:r>
      <w:r>
        <w:t xml:space="preserve">	</w:t>
      </w:r>
      <w:r>
        <w:t xml:space="preserve">Mbakwe AB, Lourentzou I, Celi LA, Mechanic OJ, Dagan A.</w:t>
      </w:r>
      <w:r>
        <w:t xml:space="preserve"> </w:t>
      </w:r>
      <w:hyperlink r:id="rId71">
        <w:r>
          <w:rPr>
            <w:rStyle w:val="Hyperlink"/>
          </w:rPr>
          <w:t xml:space="preserve">ChatGPT passing USMLE shines a spotlight on the flaws of medical education</w:t>
        </w:r>
      </w:hyperlink>
      <w:r>
        <w:t xml:space="preserve">. PLOS Digital Health. 2023;2(2):e0000205.</w:t>
      </w:r>
      <w:r>
        <w:t xml:space="preserve"> </w:t>
      </w:r>
    </w:p>
    <w:bookmarkEnd w:id="72"/>
    <w:bookmarkStart w:id="74" w:name="ref-fu2025"/>
    <w:p>
      <w:pPr>
        <w:pStyle w:val="Bibliography"/>
      </w:pPr>
      <w:r>
        <w:t xml:space="preserve">5.</w:t>
      </w:r>
      <w:r>
        <w:t xml:space="preserve"> </w:t>
      </w:r>
      <w:r>
        <w:t xml:space="preserve">	</w:t>
      </w:r>
      <w:r>
        <w:t xml:space="preserve">Fu T, Conde J, Martı́nez G, Grandury M, Reviriego P. Multiple choice questions: Reasoning makes large language models (LLMs) more self-confident even when they are wrong [Internet]. arXiv preprint arXiv:2501.09775; 2025. Available from:</w:t>
      </w:r>
      <w:r>
        <w:t xml:space="preserve"> </w:t>
      </w:r>
      <w:hyperlink r:id="rId73">
        <w:r>
          <w:rPr>
            <w:rStyle w:val="Hyperlink"/>
          </w:rPr>
          <w:t xml:space="preserve">https://arxiv.org/abs/2501.09775</w:t>
        </w:r>
      </w:hyperlink>
    </w:p>
    <w:bookmarkEnd w:id="74"/>
    <w:bookmarkStart w:id="75" w:name="ref-sun2025large"/>
    <w:p>
      <w:pPr>
        <w:pStyle w:val="Bibliography"/>
      </w:pPr>
      <w:r>
        <w:t xml:space="preserve">6.</w:t>
      </w:r>
      <w:r>
        <w:t xml:space="preserve"> </w:t>
      </w:r>
      <w:r>
        <w:t xml:space="preserve">	</w:t>
      </w:r>
      <w:r>
        <w:t xml:space="preserve">Sun F, Li N, Wang K, Goette L. Large language models are overconfident and amplify human bias. arXiv preprint arXiv:250502151. 2025;</w:t>
      </w:r>
      <w:r>
        <w:t xml:space="preserve"> </w:t>
      </w:r>
    </w:p>
    <w:bookmarkEnd w:id="75"/>
    <w:bookmarkStart w:id="76" w:name="ref-pawitan2024confidence"/>
    <w:p>
      <w:pPr>
        <w:pStyle w:val="Bibliography"/>
      </w:pPr>
      <w:r>
        <w:t xml:space="preserve">7.</w:t>
      </w:r>
      <w:r>
        <w:t xml:space="preserve"> </w:t>
      </w:r>
      <w:r>
        <w:t xml:space="preserve">	</w:t>
      </w:r>
      <w:r>
        <w:t xml:space="preserve">Pawitan Y, Holmes C. Confidence in the reasoning of large language models. arXiv preprint arXiv:241215296. 2024;</w:t>
      </w:r>
      <w:r>
        <w:t xml:space="preserve"> </w:t>
      </w:r>
    </w:p>
    <w:bookmarkEnd w:id="76"/>
    <w:bookmarkStart w:id="78" w:name="ref-baglivo2024decalogue"/>
    <w:p>
      <w:pPr>
        <w:pStyle w:val="Bibliography"/>
      </w:pPr>
      <w:r>
        <w:t xml:space="preserve">8.</w:t>
      </w:r>
      <w:r>
        <w:t xml:space="preserve"> </w:t>
      </w:r>
      <w:r>
        <w:t xml:space="preserve">	</w:t>
      </w:r>
      <w:r>
        <w:t xml:space="preserve">Baglivo F, De Angelis L, Cruschelli G, Rizzo C.</w:t>
      </w:r>
      <w:r>
        <w:t xml:space="preserve"> </w:t>
      </w:r>
      <w:hyperlink r:id="rId77">
        <w:r>
          <w:rPr>
            <w:rStyle w:val="Hyperlink"/>
          </w:rPr>
          <w:t xml:space="preserve">A decalogue for personalized travel health assistance with AI-driven chatbots</w:t>
        </w:r>
      </w:hyperlink>
      <w:r>
        <w:t xml:space="preserve">. Journal of Travel Medicine. 2024 Feb;31(4):taae026.</w:t>
      </w:r>
      <w:r>
        <w:t xml:space="preserve"> </w:t>
      </w:r>
    </w:p>
    <w:bookmarkEnd w:id="78"/>
    <w:bookmarkStart w:id="80" w:name="ref-flaherty2022"/>
    <w:p>
      <w:pPr>
        <w:pStyle w:val="Bibliography"/>
      </w:pPr>
      <w:r>
        <w:t xml:space="preserve">9.</w:t>
      </w:r>
      <w:r>
        <w:t xml:space="preserve"> </w:t>
      </w:r>
      <w:r>
        <w:t xml:space="preserve">	</w:t>
      </w:r>
      <w:r>
        <w:t xml:space="preserve">Flaherty GT, Piyaphanee W.</w:t>
      </w:r>
      <w:r>
        <w:t xml:space="preserve"> </w:t>
      </w:r>
      <w:hyperlink r:id="rId79">
        <w:r>
          <w:rPr>
            <w:rStyle w:val="Hyperlink"/>
          </w:rPr>
          <w:t xml:space="preserve">Predicting the natural history of artificial intelligence in travel medicine</w:t>
        </w:r>
      </w:hyperlink>
      <w:r>
        <w:t xml:space="preserve">. Journal of Travel Medicine. 2022;30(1).</w:t>
      </w:r>
      <w:r>
        <w:t xml:space="preserve"> </w:t>
      </w:r>
    </w:p>
    <w:bookmarkEnd w:id="80"/>
    <w:bookmarkStart w:id="82" w:name="ref-brown2020"/>
    <w:p>
      <w:pPr>
        <w:pStyle w:val="Bibliography"/>
      </w:pPr>
      <w:r>
        <w:t xml:space="preserve">10.</w:t>
      </w:r>
      <w:r>
        <w:t xml:space="preserve"> </w:t>
      </w:r>
      <w:r>
        <w:t xml:space="preserve">	</w:t>
      </w:r>
      <w:r>
        <w:t xml:space="preserve">Brown T, Mann B, Ryder N, Subbiah M, Kaplan JD, Dhariwal P, et al. Language models are few-shot learners. In: Larochelle H, Ranzato M, Hadsell R, Balcan MF, Lin H, editors. Advances in neural information processing systems [Internet]. Curran Associates, Inc.; 2020. p. 1877–901. Available from:</w:t>
      </w:r>
      <w:r>
        <w:t xml:space="preserve"> </w:t>
      </w:r>
      <w:hyperlink r:id="rId81">
        <w:r>
          <w:rPr>
            <w:rStyle w:val="Hyperlink"/>
          </w:rPr>
          <w:t xml:space="preserve">https://proceedings.neurips.cc/paper_files/paper/2020/file/1457c0d6bfcb4967418bfb8ac142f64a-Paper.pdf</w:t>
        </w:r>
      </w:hyperlink>
    </w:p>
    <w:bookmarkEnd w:id="82"/>
    <w:bookmarkStart w:id="83" w:name="ref-tam2024cot"/>
    <w:p>
      <w:pPr>
        <w:pStyle w:val="Bibliography"/>
      </w:pPr>
      <w:r>
        <w:t xml:space="preserve">11.</w:t>
      </w:r>
      <w:r>
        <w:t xml:space="preserve"> </w:t>
      </w:r>
      <w:r>
        <w:t xml:space="preserve">	</w:t>
      </w:r>
      <w:r>
        <w:t xml:space="preserve">Tam ZR, Wu CK, Tsai YL, Lin CY, Lee H, Chen YN. Let me speak freely? A study on the impact of format restrictions on performance of large language models. arXiv preprint arXiv:240802442. 2024;</w:t>
      </w:r>
      <w:r>
        <w:t xml:space="preserve"> </w:t>
      </w:r>
    </w:p>
    <w:bookmarkEnd w:id="83"/>
    <w:bookmarkStart w:id="85" w:name="ref-wei2022"/>
    <w:p>
      <w:pPr>
        <w:pStyle w:val="Bibliography"/>
      </w:pPr>
      <w:r>
        <w:t xml:space="preserve">12.</w:t>
      </w:r>
      <w:r>
        <w:t xml:space="preserve"> </w:t>
      </w:r>
      <w:r>
        <w:t xml:space="preserve">	</w:t>
      </w:r>
      <w:r>
        <w:t xml:space="preserve">Wei J, Wang X, Schuurmans D, Bosma M, Ichter B, Xia F, et al.</w:t>
      </w:r>
      <w:r>
        <w:t xml:space="preserve"> </w:t>
      </w:r>
      <w:hyperlink r:id="rId84">
        <w:r>
          <w:rPr>
            <w:rStyle w:val="Hyperlink"/>
          </w:rPr>
          <w:t xml:space="preserve">Chain-of-thought prompting elicits reasoning in large language models</w:t>
        </w:r>
      </w:hyperlink>
      <w:r>
        <w:t xml:space="preserve">. arXiv preprint arXiv:220111903. 2022;</w:t>
      </w:r>
      <w:r>
        <w:t xml:space="preserve"> </w:t>
      </w:r>
    </w:p>
    <w:bookmarkEnd w:id="85"/>
    <w:bookmarkStart w:id="86" w:name="ref-snell2024"/>
    <w:p>
      <w:pPr>
        <w:pStyle w:val="Bibliography"/>
      </w:pPr>
      <w:r>
        <w:t xml:space="preserve">13.</w:t>
      </w:r>
      <w:r>
        <w:t xml:space="preserve"> </w:t>
      </w:r>
      <w:r>
        <w:t xml:space="preserve">	</w:t>
      </w:r>
      <w:r>
        <w:t xml:space="preserve">Snell C, Wallace E, Klein D, Levine S. Scaling LLM test-time compute optimally can be more effective than scaling model parameters. arXiv preprint arXiv:240803314. 2024;</w:t>
      </w:r>
      <w:r>
        <w:t xml:space="preserve"> </w:t>
      </w:r>
    </w:p>
    <w:bookmarkEnd w:id="86"/>
    <w:bookmarkStart w:id="87" w:name="ref-deepseek2025"/>
    <w:p>
      <w:pPr>
        <w:pStyle w:val="Bibliography"/>
      </w:pPr>
      <w:r>
        <w:t xml:space="preserve">14.</w:t>
      </w:r>
      <w:r>
        <w:t xml:space="preserve"> </w:t>
      </w:r>
      <w:r>
        <w:t xml:space="preserve">	</w:t>
      </w:r>
      <w:r>
        <w:t xml:space="preserve">DeepSeek-AI. DeepSeek-R1: Incentivizing reasoning capability in LLMs via reinforcement learning. arXiv preprint arXiv:250112948. 2025;</w:t>
      </w:r>
      <w:r>
        <w:t xml:space="preserve"> </w:t>
      </w:r>
    </w:p>
    <w:bookmarkEnd w:id="87"/>
    <w:bookmarkStart w:id="89" w:name="ref-stan"/>
    <w:p>
      <w:pPr>
        <w:pStyle w:val="Bibliography"/>
      </w:pPr>
      <w:r>
        <w:t xml:space="preserve">15.</w:t>
      </w:r>
      <w:r>
        <w:t xml:space="preserve"> </w:t>
      </w:r>
      <w:r>
        <w:t xml:space="preserve">	</w:t>
      </w:r>
      <w:r>
        <w:t xml:space="preserve">Stan Development Team.</w:t>
      </w:r>
      <w:r>
        <w:t xml:space="preserve"> </w:t>
      </w:r>
      <w:r>
        <w:t xml:space="preserve">The Stan Core Library</w:t>
      </w:r>
      <w:r>
        <w:t xml:space="preserve"> </w:t>
      </w:r>
      <w:r>
        <w:t xml:space="preserve">[Internet]. 2018. Available from:</w:t>
      </w:r>
      <w:r>
        <w:t xml:space="preserve"> </w:t>
      </w:r>
      <w:hyperlink r:id="rId88">
        <w:r>
          <w:rPr>
            <w:rStyle w:val="Hyperlink"/>
          </w:rPr>
          <w:t xml:space="preserve">http://mc-stan.org/</w:t>
        </w:r>
      </w:hyperlink>
    </w:p>
    <w:bookmarkEnd w:id="89"/>
    <w:bookmarkStart w:id="91" w:name="ref-brms"/>
    <w:p>
      <w:pPr>
        <w:pStyle w:val="Bibliography"/>
      </w:pPr>
      <w:r>
        <w:t xml:space="preserve">16.</w:t>
      </w:r>
      <w:r>
        <w:t xml:space="preserve"> </w:t>
      </w:r>
      <w:r>
        <w:t xml:space="preserve">	</w:t>
      </w:r>
      <w:r>
        <w:t xml:space="preserve">Bürkner PC.</w:t>
      </w:r>
      <w:r>
        <w:t xml:space="preserve"> </w:t>
      </w:r>
      <w:hyperlink r:id="rId90">
        <w:r>
          <w:rPr>
            <w:rStyle w:val="Hyperlink"/>
          </w:rPr>
          <w:t xml:space="preserve">Brms: An r package for bayesian multilevel models using stan</w:t>
        </w:r>
      </w:hyperlink>
      <w:r>
        <w:t xml:space="preserve">. Journal of Statistical Software. 2017;80(1):1–28.</w:t>
      </w:r>
      <w:r>
        <w:t xml:space="preserve"> </w:t>
      </w:r>
    </w:p>
    <w:bookmarkEnd w:id="91"/>
    <w:bookmarkStart w:id="92" w:name="ref-google2025globalhealth"/>
    <w:p>
      <w:pPr>
        <w:pStyle w:val="Bibliography"/>
      </w:pPr>
      <w:r>
        <w:t xml:space="preserve">17.</w:t>
      </w:r>
      <w:r>
        <w:t xml:space="preserve"> </w:t>
      </w:r>
      <w:r>
        <w:t xml:space="preserve">	</w:t>
      </w:r>
      <w:r>
        <w:t xml:space="preserve">Asiedu M. Benchmarking large language models for global health. Google AI Blog; 2025.</w:t>
      </w:r>
      <w:r>
        <w:t xml:space="preserve"> </w:t>
      </w:r>
    </w:p>
    <w:bookmarkEnd w:id="92"/>
    <w:bookmarkStart w:id="94" w:name="ref-liu2024meta"/>
    <w:p>
      <w:pPr>
        <w:pStyle w:val="Bibliography"/>
      </w:pPr>
      <w:r>
        <w:t xml:space="preserve">18.</w:t>
      </w:r>
      <w:r>
        <w:t xml:space="preserve"> </w:t>
      </w:r>
      <w:r>
        <w:t xml:space="preserve">	</w:t>
      </w:r>
      <w:r>
        <w:t xml:space="preserve">Liu M, Okuhara T, Chang X, Shirabe R, Nishiie Y, Okada H, et al.</w:t>
      </w:r>
      <w:r>
        <w:t xml:space="preserve"> </w:t>
      </w:r>
      <w:hyperlink r:id="rId93">
        <w:r>
          <w:rPr>
            <w:rStyle w:val="Hyperlink"/>
          </w:rPr>
          <w:t xml:space="preserve">Performance of ChatGPT across different versions in medical licensing examinations worldwide: Systematic review and meta-analysis</w:t>
        </w:r>
      </w:hyperlink>
      <w:r>
        <w:t xml:space="preserve">. Journal of Medical Internet Research. 2024;26:e60807.</w:t>
      </w:r>
      <w:r>
        <w:t xml:space="preserve"> </w:t>
      </w:r>
    </w:p>
    <w:bookmarkEnd w:id="94"/>
    <w:bookmarkStart w:id="95" w:name="ref-gelman2007multilevel"/>
    <w:p>
      <w:pPr>
        <w:pStyle w:val="Bibliography"/>
      </w:pPr>
      <w:r>
        <w:t xml:space="preserve">19.</w:t>
      </w:r>
      <w:r>
        <w:t xml:space="preserve"> </w:t>
      </w:r>
      <w:r>
        <w:t xml:space="preserve">	</w:t>
      </w:r>
      <w:r>
        <w:t xml:space="preserve">Gelman A, Hill J. Data analysis using regression and multilevel/hierarchical models. Cambridge University Press; 2007.</w:t>
      </w:r>
      <w:r>
        <w:t xml:space="preserve"> </w:t>
      </w:r>
    </w:p>
    <w:bookmarkEnd w:id="95"/>
    <w:bookmarkStart w:id="96" w:name="ref-perplexity2024sonar"/>
    <w:p>
      <w:pPr>
        <w:pStyle w:val="Bibliography"/>
      </w:pPr>
      <w:r>
        <w:t xml:space="preserve">20.</w:t>
      </w:r>
      <w:r>
        <w:t xml:space="preserve"> </w:t>
      </w:r>
      <w:r>
        <w:t xml:space="preserve">	</w:t>
      </w:r>
      <w:r>
        <w:t xml:space="preserve">Introducing the sonar pro API. Perplexity AI blog; 2025.</w:t>
      </w:r>
      <w:r>
        <w:t xml:space="preserve"> </w:t>
      </w:r>
    </w:p>
    <w:bookmarkEnd w:id="96"/>
    <w:bookmarkStart w:id="98" w:name="ref-jamainternal2023chatbot"/>
    <w:p>
      <w:pPr>
        <w:pStyle w:val="Bibliography"/>
      </w:pPr>
      <w:r>
        <w:t xml:space="preserve">21.</w:t>
      </w:r>
      <w:r>
        <w:t xml:space="preserve"> </w:t>
      </w:r>
      <w:r>
        <w:t xml:space="preserve">	</w:t>
      </w:r>
      <w:r>
        <w:t xml:space="preserve">Ayers JW, Poliak A, Dredze M, Leas EC, Zhu Z, Kelley JB, et al.</w:t>
      </w:r>
      <w:r>
        <w:t xml:space="preserve"> </w:t>
      </w:r>
      <w:hyperlink r:id="rId97">
        <w:r>
          <w:rPr>
            <w:rStyle w:val="Hyperlink"/>
          </w:rPr>
          <w:t xml:space="preserve">Comparing physician and artificial intelligence chatbot responses to patient questions posted to a public social media forum</w:t>
        </w:r>
      </w:hyperlink>
      <w:r>
        <w:t xml:space="preserve">. JAMA Internal Medicine. 2023;183(6):589–96.</w:t>
      </w:r>
      <w:r>
        <w:t xml:space="preserve"> </w:t>
      </w:r>
    </w:p>
    <w:bookmarkEnd w:id="98"/>
    <w:bookmarkStart w:id="99" w:name="ref-kreso2025using"/>
    <w:p>
      <w:pPr>
        <w:pStyle w:val="Bibliography"/>
      </w:pPr>
      <w:r>
        <w:t xml:space="preserve">22.</w:t>
      </w:r>
      <w:r>
        <w:t xml:space="preserve"> </w:t>
      </w:r>
      <w:r>
        <w:t xml:space="preserve">	</w:t>
      </w:r>
      <w:r>
        <w:t xml:space="preserve">Kreso A, Boban Z, Kabic S, Rada F, Batistic D, Barun I, et al. Using large language models as decision support tools in emergency ophthalmology. International Journal of Medical Informatics. 2025;199:105886.</w:t>
      </w:r>
      <w:r>
        <w:t xml:space="preserve"> </w:t>
      </w:r>
    </w:p>
    <w:bookmarkEnd w:id="99"/>
    <w:bookmarkStart w:id="101" w:name="ref-ohoro2025travel"/>
    <w:p>
      <w:pPr>
        <w:pStyle w:val="Bibliography"/>
      </w:pPr>
      <w:r>
        <w:t xml:space="preserve">23.</w:t>
      </w:r>
      <w:r>
        <w:t xml:space="preserve"> </w:t>
      </w:r>
      <w:r>
        <w:t xml:space="preserve">	</w:t>
      </w:r>
      <w:r>
        <w:t xml:space="preserve">O’Horo JC, Akhtar H, Anantraman V, Ammar M, Gottweis J, Challener D.</w:t>
      </w:r>
      <w:r>
        <w:t xml:space="preserve"> </w:t>
      </w:r>
      <w:hyperlink r:id="rId100">
        <w:r>
          <w:rPr>
            <w:rStyle w:val="Hyperlink"/>
          </w:rPr>
          <w:t xml:space="preserve">P-1869. Utilizing large language models for enhanced decision support in travel medicine clinic: Our experience at mayo clinic</w:t>
        </w:r>
      </w:hyperlink>
      <w:r>
        <w:t xml:space="preserve">. Open Forum Infectious Diseases. 2025;12(Suppl 1):ofae631.2030.</w:t>
      </w:r>
      <w:r>
        <w:t xml:space="preserve"> </w:t>
      </w:r>
    </w:p>
    <w:bookmarkEnd w:id="101"/>
    <w:bookmarkStart w:id="103" w:name="ref-chen2025empathy"/>
    <w:p>
      <w:pPr>
        <w:pStyle w:val="Bibliography"/>
      </w:pPr>
      <w:r>
        <w:t xml:space="preserve">24.</w:t>
      </w:r>
      <w:r>
        <w:t xml:space="preserve"> </w:t>
      </w:r>
      <w:r>
        <w:t xml:space="preserve">	</w:t>
      </w:r>
      <w:r>
        <w:t xml:space="preserve">Chen D, Chauhan K, Parsa R, Liu ZA, al. et.</w:t>
      </w:r>
      <w:r>
        <w:t xml:space="preserve"> </w:t>
      </w:r>
      <w:hyperlink r:id="rId102">
        <w:r>
          <w:rPr>
            <w:rStyle w:val="Hyperlink"/>
          </w:rPr>
          <w:t xml:space="preserve">Patient perceptions of empathy in physician and artificial intelligence chatbot responses to patient questions about cancer</w:t>
        </w:r>
      </w:hyperlink>
      <w:r>
        <w:t xml:space="preserve">. npj Digital Medicine. 2025;8:275.</w:t>
      </w:r>
      <w:r>
        <w:t xml:space="preserve"> </w:t>
      </w:r>
    </w:p>
    <w:bookmarkEnd w:id="103"/>
    <w:bookmarkStart w:id="105" w:name="ref-choudhary2023friend"/>
    <w:p>
      <w:pPr>
        <w:pStyle w:val="Bibliography"/>
      </w:pPr>
      <w:r>
        <w:t xml:space="preserve">25.</w:t>
      </w:r>
      <w:r>
        <w:t xml:space="preserve"> </w:t>
      </w:r>
      <w:r>
        <w:t xml:space="preserve">	</w:t>
      </w:r>
      <w:r>
        <w:t xml:space="preserve">Choudhary OP, Priyanka.</w:t>
      </w:r>
      <w:r>
        <w:t xml:space="preserve"> </w:t>
      </w:r>
      <w:hyperlink r:id="rId104">
        <w:r>
          <w:rPr>
            <w:rStyle w:val="Hyperlink"/>
          </w:rPr>
          <w:t xml:space="preserve">ChatGPT in travel medicine: Friend or foe?</w:t>
        </w:r>
      </w:hyperlink>
      <w:r>
        <w:t xml:space="preserve"> Travel Medicine and Infectious Disease. 2023;53:102574.</w:t>
      </w:r>
      <w:r>
        <w:t xml:space="preserve"> </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hyperlink" Id="rId88" Target="http://mc-stan.org/" TargetMode="External" /><Relationship Type="http://schemas.openxmlformats.org/officeDocument/2006/relationships/hyperlink" Id="rId73" Target="https://arxiv.org/abs/2501.09775" TargetMode="External" /><Relationship Type="http://schemas.openxmlformats.org/officeDocument/2006/relationships/hyperlink" Id="rId97" Target="https://doi.org/10.1001/jamainternmed.2023.1838" TargetMode="External" /><Relationship Type="http://schemas.openxmlformats.org/officeDocument/2006/relationships/hyperlink" Id="rId65" Target="https://doi.org/10.1001/jamanetworkopen.2024.40969" TargetMode="External" /><Relationship Type="http://schemas.openxmlformats.org/officeDocument/2006/relationships/hyperlink" Id="rId104" Target="https://doi.org/10.1016/j.tmaid.2023.102574" TargetMode="External" /><Relationship Type="http://schemas.openxmlformats.org/officeDocument/2006/relationships/hyperlink" Id="rId69" Target="https://doi.org/10.1038/s41591-024-03423-7" TargetMode="External" /><Relationship Type="http://schemas.openxmlformats.org/officeDocument/2006/relationships/hyperlink" Id="rId102" Target="https://doi.org/10.1038/s41746-025-01671-6" TargetMode="External" /><Relationship Type="http://schemas.openxmlformats.org/officeDocument/2006/relationships/hyperlink" Id="rId79" Target="https://doi.org/10.1093/jtm/taac113" TargetMode="External" /><Relationship Type="http://schemas.openxmlformats.org/officeDocument/2006/relationships/hyperlink" Id="rId77" Target="https://doi.org/10.1093/jtm/taae026" TargetMode="External" /><Relationship Type="http://schemas.openxmlformats.org/officeDocument/2006/relationships/hyperlink" Id="rId100" Target="https://doi.org/10.1093/ofid/ofae631.2030" TargetMode="External" /><Relationship Type="http://schemas.openxmlformats.org/officeDocument/2006/relationships/hyperlink" Id="rId67" Target="https://doi.org/10.1371/journal.pdig.0000198" TargetMode="External" /><Relationship Type="http://schemas.openxmlformats.org/officeDocument/2006/relationships/hyperlink" Id="rId71" Target="https://doi.org/10.1371/journal.pdig.0000205" TargetMode="External" /><Relationship Type="http://schemas.openxmlformats.org/officeDocument/2006/relationships/hyperlink" Id="rId90" Target="https://doi.org/10.18637/jss.v080.i01" TargetMode="External" /><Relationship Type="http://schemas.openxmlformats.org/officeDocument/2006/relationships/hyperlink" Id="rId93" Target="https://doi.org/10.2196/60807" TargetMode="External" /><Relationship Type="http://schemas.openxmlformats.org/officeDocument/2006/relationships/hyperlink" Id="rId84" Target="https://doi.org/10.48550/arXiv.2201.11903" TargetMode="External" /><Relationship Type="http://schemas.openxmlformats.org/officeDocument/2006/relationships/hyperlink" Id="rId27" Target="https://github.com/apple/mlx" TargetMode="External" /><Relationship Type="http://schemas.openxmlformats.org/officeDocument/2006/relationships/hyperlink" Id="rId30" Target="https://github.com/mattia-p/llm-travel-medicine" TargetMode="External" /><Relationship Type="http://schemas.openxmlformats.org/officeDocument/2006/relationships/hyperlink" Id="rId26" Target="https://lmstudio.ai/" TargetMode="External" /><Relationship Type="http://schemas.openxmlformats.org/officeDocument/2006/relationships/hyperlink" Id="rId81" Target="https://proceedings.neurips.cc/paper_files/paper/2020/file/1457c0d6bfcb4967418bfb8ac142f64a-Paper.pdf" TargetMode="External" /><Relationship Type="http://schemas.openxmlformats.org/officeDocument/2006/relationships/hyperlink" Id="rId24" Target="https://www.astmh.org/education-resources/certificate-programs" TargetMode="External" /><Relationship Type="http://schemas.openxmlformats.org/officeDocument/2006/relationships/hyperlink" Id="rId23" Target="https://www.istmfoundation.net/cth_samplequestions" TargetMode="External" /></Relationships>
</file>

<file path=word/_rels/footnotes.xml.rels><?xml version="1.0" encoding="UTF-8"?><Relationships xmlns="http://schemas.openxmlformats.org/package/2006/relationships"><Relationship Type="http://schemas.openxmlformats.org/officeDocument/2006/relationships/hyperlink" Id="rId88" Target="http://mc-stan.org/" TargetMode="External" /><Relationship Type="http://schemas.openxmlformats.org/officeDocument/2006/relationships/hyperlink" Id="rId73" Target="https://arxiv.org/abs/2501.09775" TargetMode="External" /><Relationship Type="http://schemas.openxmlformats.org/officeDocument/2006/relationships/hyperlink" Id="rId97" Target="https://doi.org/10.1001/jamainternmed.2023.1838" TargetMode="External" /><Relationship Type="http://schemas.openxmlformats.org/officeDocument/2006/relationships/hyperlink" Id="rId65" Target="https://doi.org/10.1001/jamanetworkopen.2024.40969" TargetMode="External" /><Relationship Type="http://schemas.openxmlformats.org/officeDocument/2006/relationships/hyperlink" Id="rId104" Target="https://doi.org/10.1016/j.tmaid.2023.102574" TargetMode="External" /><Relationship Type="http://schemas.openxmlformats.org/officeDocument/2006/relationships/hyperlink" Id="rId69" Target="https://doi.org/10.1038/s41591-024-03423-7" TargetMode="External" /><Relationship Type="http://schemas.openxmlformats.org/officeDocument/2006/relationships/hyperlink" Id="rId102" Target="https://doi.org/10.1038/s41746-025-01671-6" TargetMode="External" /><Relationship Type="http://schemas.openxmlformats.org/officeDocument/2006/relationships/hyperlink" Id="rId79" Target="https://doi.org/10.1093/jtm/taac113" TargetMode="External" /><Relationship Type="http://schemas.openxmlformats.org/officeDocument/2006/relationships/hyperlink" Id="rId77" Target="https://doi.org/10.1093/jtm/taae026" TargetMode="External" /><Relationship Type="http://schemas.openxmlformats.org/officeDocument/2006/relationships/hyperlink" Id="rId100" Target="https://doi.org/10.1093/ofid/ofae631.2030" TargetMode="External" /><Relationship Type="http://schemas.openxmlformats.org/officeDocument/2006/relationships/hyperlink" Id="rId67" Target="https://doi.org/10.1371/journal.pdig.0000198" TargetMode="External" /><Relationship Type="http://schemas.openxmlformats.org/officeDocument/2006/relationships/hyperlink" Id="rId71" Target="https://doi.org/10.1371/journal.pdig.0000205" TargetMode="External" /><Relationship Type="http://schemas.openxmlformats.org/officeDocument/2006/relationships/hyperlink" Id="rId90" Target="https://doi.org/10.18637/jss.v080.i01" TargetMode="External" /><Relationship Type="http://schemas.openxmlformats.org/officeDocument/2006/relationships/hyperlink" Id="rId93" Target="https://doi.org/10.2196/60807" TargetMode="External" /><Relationship Type="http://schemas.openxmlformats.org/officeDocument/2006/relationships/hyperlink" Id="rId84" Target="https://doi.org/10.48550/arXiv.2201.11903" TargetMode="External" /><Relationship Type="http://schemas.openxmlformats.org/officeDocument/2006/relationships/hyperlink" Id="rId27" Target="https://github.com/apple/mlx" TargetMode="External" /><Relationship Type="http://schemas.openxmlformats.org/officeDocument/2006/relationships/hyperlink" Id="rId30" Target="https://github.com/mattia-p/llm-travel-medicine" TargetMode="External" /><Relationship Type="http://schemas.openxmlformats.org/officeDocument/2006/relationships/hyperlink" Id="rId26" Target="https://lmstudio.ai/" TargetMode="External" /><Relationship Type="http://schemas.openxmlformats.org/officeDocument/2006/relationships/hyperlink" Id="rId81" Target="https://proceedings.neurips.cc/paper_files/paper/2020/file/1457c0d6bfcb4967418bfb8ac142f64a-Paper.pdf" TargetMode="External" /><Relationship Type="http://schemas.openxmlformats.org/officeDocument/2006/relationships/hyperlink" Id="rId24" Target="https://www.astmh.org/education-resources/certificate-programs" TargetMode="External" /><Relationship Type="http://schemas.openxmlformats.org/officeDocument/2006/relationships/hyperlink" Id="rId23" Target="https://www.istmfoundation.net/cth_sampleques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of Large Language Models on travel medicine certificate multiple choice questions</dc:title>
  <dc:creator/>
  <cp:keywords/>
  <dcterms:created xsi:type="dcterms:W3CDTF">2025-10-01T16:38:17Z</dcterms:created>
  <dcterms:modified xsi:type="dcterms:W3CDTF">2025-10-01T16:38:17Z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