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</w:pPr>
    </w:p>
    <w:p>
      <w:pPr>
        <w:spacing w:before="0" w:after="80"/>
      </w:pPr>
      <w:r>
        <w:rPr>
          <w:rFonts w:ascii="Calibri" w:hAnsi="Calibri" w:eastAsia="Microsoft YaHei"/>
          <w:b/>
          <w:i w:val="0"/>
          <w:color w:val="1F2933"/>
          <w:sz w:val="46"/>
        </w:rPr>
        <w:t>THEIA 当前工作日志</w:t>
      </w:r>
    </w:p>
    <w:p>
      <w:pPr>
        <w:spacing w:after="280"/>
      </w:pPr>
      <w:r>
        <w:rPr>
          <w:rFonts w:ascii="Calibri" w:hAnsi="Calibri" w:eastAsia="Microsoft YaHei"/>
          <w:b w:val="0"/>
          <w:i w:val="0"/>
          <w:color w:val="667085"/>
          <w:sz w:val="24"/>
        </w:rPr>
        <w:t>数据层收尾审查版 - 仅记录已存在的实现与本轮核验</w:t>
      </w:r>
    </w:p>
    <w:p>
      <w:pPr>
        <w:spacing w:after="40"/>
      </w:pPr>
      <w:r>
        <w:rPr>
          <w:rFonts w:ascii="Calibri" w:hAnsi="Calibri" w:eastAsia="Microsoft YaHei"/>
          <w:b/>
          <w:i w:val="0"/>
          <w:color w:val="1F2933"/>
          <w:sz w:val="21"/>
        </w:rPr>
        <w:t xml:space="preserve">日期: </w:t>
      </w:r>
      <w:r>
        <w:rPr>
          <w:rFonts w:ascii="Calibri" w:hAnsi="Calibri" w:eastAsia="Microsoft YaHei"/>
          <w:b w:val="0"/>
          <w:i w:val="0"/>
          <w:color w:val="1F2933"/>
          <w:sz w:val="21"/>
        </w:rPr>
        <w:t>2026-08-17</w:t>
      </w:r>
    </w:p>
    <w:p>
      <w:pPr>
        <w:spacing w:after="40"/>
      </w:pPr>
      <w:r>
        <w:rPr>
          <w:rFonts w:ascii="Calibri" w:hAnsi="Calibri" w:eastAsia="Microsoft YaHei"/>
          <w:b/>
          <w:i w:val="0"/>
          <w:color w:val="1F2933"/>
          <w:sz w:val="21"/>
        </w:rPr>
        <w:t xml:space="preserve">范围: </w:t>
      </w:r>
      <w:r>
        <w:rPr>
          <w:rFonts w:ascii="Calibri" w:hAnsi="Calibri" w:eastAsia="Microsoft YaHei"/>
          <w:b w:val="0"/>
          <w:i w:val="0"/>
          <w:color w:val="1F2933"/>
          <w:sz w:val="21"/>
        </w:rPr>
        <w:t>北京化工大学教务（JWGLXT）、THEOL、相关本地缓存与只读读取面</w:t>
      </w:r>
    </w:p>
    <w:p>
      <w:pPr>
        <w:spacing w:after="40"/>
      </w:pPr>
      <w:r>
        <w:rPr>
          <w:rFonts w:ascii="Calibri" w:hAnsi="Calibri" w:eastAsia="Microsoft YaHei"/>
          <w:b/>
          <w:i w:val="0"/>
          <w:color w:val="1F2933"/>
          <w:sz w:val="21"/>
        </w:rPr>
        <w:t xml:space="preserve">状态: </w:t>
      </w:r>
      <w:r>
        <w:rPr>
          <w:rFonts w:ascii="Calibri" w:hAnsi="Calibri" w:eastAsia="Microsoft YaHei"/>
          <w:b w:val="0"/>
          <w:i w:val="0"/>
          <w:color w:val="1F2933"/>
          <w:sz w:val="21"/>
        </w:rPr>
        <w:t>文档收尾；未制作发布包、未提交学校侧操作</w:t>
      </w:r>
    </w:p>
    <w:p>
      <w:pPr>
        <w:spacing w:after="40"/>
      </w:pPr>
      <w:r>
        <w:rPr>
          <w:rFonts w:ascii="Calibri" w:hAnsi="Calibri" w:eastAsia="Microsoft YaHei"/>
          <w:b/>
          <w:i w:val="0"/>
          <w:color w:val="1F2933"/>
          <w:sz w:val="21"/>
        </w:rPr>
        <w:t xml:space="preserve">审查边界: </w:t>
      </w:r>
      <w:r>
        <w:rPr>
          <w:rFonts w:ascii="Calibri" w:hAnsi="Calibri" w:eastAsia="Microsoft YaHei"/>
          <w:b w:val="0"/>
          <w:i w:val="0"/>
          <w:color w:val="1F2933"/>
          <w:sz w:val="21"/>
        </w:rPr>
        <w:t>不包含账号、密码、Cookie、会话值、授权头、个人样本或原始页面</w:t>
      </w:r>
    </w:p>
    <w:p>
      <w:pPr>
        <w:spacing w:before="200" w:after="80"/>
        <w:pBdr>
          <w:bottom w:val="single" w:sz="12" w:space="8" w:color="2E74B5"/>
        </w:pBdr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6FA" w:val="clear"/>
          </w:tcPr>
          <w:p>
            <w:pPr>
              <w:spacing w:before="40" w:after="4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21"/>
              </w:rPr>
              <w:t xml:space="preserve">本轮结论  </w:t>
            </w:r>
            <w:r>
              <w:rPr>
                <w:rFonts w:ascii="Calibri" w:hAnsi="Calibri" w:eastAsia="Microsoft YaHei"/>
                <w:b w:val="0"/>
                <w:i w:val="0"/>
                <w:color w:val="1F2933"/>
                <w:sz w:val="21"/>
              </w:rPr>
              <w:t>THEIA 已形成一个可持久化的规范化 CampusState、分片存储和多种只读读取面；教务快路径、低频扩展资料、THEOL 课程作业和本地数据目录被明确分开。普通渲染器不再长期持有大记录历史。</w:t>
            </w:r>
          </w:p>
        </w:tc>
      </w:tr>
    </w:tbl>
    <w:p>
      <w:pPr>
        <w:spacing w:after="40"/>
      </w:pPr>
    </w:p>
    <w:p>
      <w:pPr>
        <w:pStyle w:val="Heading1"/>
      </w:pPr>
      <w:r>
        <w:t>1. 本轮完成范围</w:t>
      </w:r>
    </w:p>
    <w:p>
      <w:pPr>
        <w:spacing w:after="120"/>
      </w:pPr>
      <w:r>
        <w:rPr>
          <w:rFonts w:ascii="Calibri" w:hAnsi="Calibri" w:eastAsia="Microsoft YaHei"/>
          <w:b/>
          <w:i w:val="0"/>
          <w:color w:val="1F2933"/>
          <w:sz w:val="22"/>
        </w:rPr>
        <w:t xml:space="preserve">工作方式: 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按用户真实使用顺序复核了教务与课程平台的数据面：先识别平台能提供的资料，再检查这些资料是否进入可恢复的本地状态，以及桌面端、API 和外部集成读取时是否会造成重复大数据传输。</w:t>
      </w:r>
    </w:p>
    <w:p>
      <w:pPr>
        <w:spacing w:after="120"/>
      </w:pPr>
      <w:r>
        <w:rPr>
          <w:rFonts w:ascii="Calibri" w:hAnsi="Calibri" w:eastAsia="Microsoft YaHei"/>
          <w:b/>
          <w:i w:val="0"/>
          <w:color w:val="1F2933"/>
          <w:sz w:val="22"/>
        </w:rPr>
        <w:t xml:space="preserve">安全边界: 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本轮仅做已登录环境下的读取面、采集白名单、结构化结果、存储和投影核对。没有把登录材料写入文档，没有读取或导出会话容器，也没有执行选课、申请、确认、提交、上传、删除、发信等学校侧写操作。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1700"/>
        <w:gridCol w:w="7660"/>
      </w:tblGrid>
      <w:tr>
        <w:trPr>
          <w:cantSplit/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字段 / 主题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当前实现的结构与语义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2933"/>
                <w:sz w:val="19"/>
              </w:rPr>
              <w:t>JWGLXT 快路径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资料、学期、课程、课表、成绩、考试、已选课程、学业进度、通知；由同步服务组织，认证方式可为独立教务 API 或已认证浏览器会话。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2933"/>
                <w:sz w:val="19"/>
              </w:rPr>
              <w:t>JWGLXT 扩展资料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当前源码白名单声明 15 个业务域、32 个只读菜单路由，统一保存到 academicExtras；培养方案 PDF 仅保存元数据到状态，二进制本地附件单独缓存。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2933"/>
                <w:sz w:val="19"/>
              </w:rPr>
              <w:t>THEOL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课程、作业/在线测试、通知等课程平台数据；它是独立来源，不应以教务数据缺失或重复来评价。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2933"/>
                <w:sz w:val="19"/>
              </w:rPr>
              <w:t>本地目录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体测按学年缓存、全校课表按学期缓存、官方校历资产和结构化分析；三者不混入个人教务快路径。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2933"/>
                <w:sz w:val="19"/>
              </w:rPr>
              <w:t>读取面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完整快照、受限 renderer snapshot、用户数据 DTO、回环 HTTP API、Feed/CSV/ICS 和受控的 AI/MCP 读取面。</w:t>
            </w:r>
          </w:p>
        </w:tc>
      </w:tr>
    </w:tbl>
    <w:p>
      <w:pPr>
        <w:spacing w:after="40"/>
      </w:pPr>
    </w:p>
    <w:p>
      <w:pPr>
        <w:pStyle w:val="Heading1"/>
      </w:pPr>
      <w:r>
        <w:t>2. 平台与采集方式核对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1500"/>
        <w:gridCol w:w="2500"/>
        <w:gridCol w:w="2900"/>
        <w:gridCol w:w="2460"/>
      </w:tblGrid>
      <w:tr>
        <w:trPr>
          <w:cantSplit/>
          <w:tblHeader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8"/>
              </w:rPr>
              <w:t>平台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8"/>
              </w:rPr>
              <w:t>当前接入方式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8"/>
              </w:rPr>
              <w:t>结构化落点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8"/>
              </w:rPr>
              <w:t>边界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JWGLXT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独立 direct API client；已认证 browser/session client；扩展页受控页面/查询读取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CampusState 的核心学业集合、academicExtras、schoolSchedule catalog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只读白名单；不调用确认、提交、上传或其它动作端点。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THEOL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平台适配器读取课程、作业和通知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courses、assignments、notices，及课程工作区元数据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与 JWGLXT 是不同平台，数据交集不代表可以相互覆盖。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体测平台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按学年读取并本地缓存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dataCatalog.collections.fitness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本轮不要求抓取体测内容；数据结构仍保留现有缓存合同。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教务处校历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官方资产下载、OCR/结构化分析缓存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dataCatalog.collections.academicCalendar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二进制资产与结构化日历分开；不把原始文件塞入状态 JSON。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6FA" w:val="clear"/>
          </w:tcPr>
          <w:p>
            <w:pPr>
              <w:spacing w:before="40" w:after="4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21"/>
              </w:rPr>
              <w:t xml:space="preserve">访问方式说明  </w:t>
            </w:r>
            <w:r>
              <w:rPr>
                <w:rFonts w:ascii="Calibri" w:hAnsi="Calibri" w:eastAsia="Microsoft YaHei"/>
                <w:b w:val="0"/>
                <w:i w:val="0"/>
                <w:color w:val="1F2933"/>
                <w:sz w:val="21"/>
              </w:rPr>
              <w:t>当前常规 Course、Grade、Exam 等记录包含 source/sourceUrl 等来源信息，但没有逐条 accessMode 字段。direct API 和浏览器会话是适配器/会话层的不同通道，结果在规范化后进入同一业务集合；sync 记录来源和完整性，但不能从单条核心记录反推出其一定来自哪一种通道。</w:t>
            </w:r>
          </w:p>
        </w:tc>
      </w:tr>
    </w:tbl>
    <w:p>
      <w:pPr>
        <w:spacing w:after="40"/>
      </w:pPr>
    </w:p>
    <w:p>
      <w:pPr>
        <w:pStyle w:val="Heading1"/>
      </w:pPr>
      <w:r>
        <w:t>3. 扩展教务资料与培养方案</w:t>
      </w:r>
    </w:p>
    <w:p>
      <w:pPr>
        <w:spacing w:after="120"/>
      </w:pPr>
      <w:r>
        <w:rPr>
          <w:rFonts w:ascii="Calibri" w:hAnsi="Calibri" w:eastAsia="Microsoft YaHei"/>
          <w:b/>
          <w:i w:val="0"/>
          <w:color w:val="1F2933"/>
          <w:sz w:val="22"/>
        </w:rPr>
        <w:t xml:space="preserve">刷新策略: 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扩展页不再被当作随启动全量爬取的对象。首次进入未采集域或用户明确请求时才按目标域读取；已有 capturedAt 的域优先展示本地快照。失败、认证失效、筛选不完整或空白占位页面不会覆盖旧记录。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2200"/>
        <w:gridCol w:w="3200"/>
        <w:gridCol w:w="3960"/>
      </w:tblGrid>
      <w:tr>
        <w:trPr>
          <w:cantSplit/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8"/>
              </w:rPr>
              <w:t>资料类别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8"/>
              </w:rPr>
              <w:t>当前数据形态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8"/>
              </w:rPr>
              <w:t>特别处理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培养方案与教学执行计划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academicExtras.academic-plan 的结构化记录与附件元数据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官方 PDF 写入本地附件缓存；状态中仅存 id、filename、bytes、sha256、sourceUrl 等 metadata。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成绩、考试、预警、毕业审核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统一的 AcademicExtraDomain / AcademicExtraRecord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页面表格或受控 JSON 被规整成字段列表；不保存 raw HTML、raw JSON 或请求参数。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申请、审核、学籍、报名、评价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只保存已存在的状态行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不会点击申请、确认、提交、上传、删除和操作按钮。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全校课表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扩展资料中的 jwglxt-school-schedule 与本地 schoolSchedule catalog 并存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两者含义不同，前者是教务扩展资料，后者是选课/检索使用的按学期缓存，不能合并 provenance。</w:t>
            </w:r>
          </w:p>
        </w:tc>
      </w:tr>
    </w:tbl>
    <w:p>
      <w:pPr>
        <w:spacing w:after="40"/>
      </w:pPr>
    </w:p>
    <w:p>
      <w:pPr>
        <w:pStyle w:val="Heading1"/>
      </w:pPr>
      <w:r>
        <w:t>4. 数据层收束与读取优化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1700"/>
        <w:gridCol w:w="7660"/>
      </w:tblGrid>
      <w:tr>
        <w:trPr>
          <w:cantSplit/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字段 / 主题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当前实现的结构与语义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2933"/>
                <w:sz w:val="19"/>
              </w:rPr>
              <w:t>规范化状态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空状态、输入迁移和每次加载均经 normalizeState；缺失字段补默认，富文本邮件按版本和安全规则净化。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2933"/>
                <w:sz w:val="19"/>
              </w:rPr>
              <w:t>分片存储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CampusStore 将状态拆成稳定业务片段，以 SHA-256 内容寻址，manifest 与备份 manifest 原子替换；按学期全校课表独立片段。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2933"/>
                <w:sz w:val="19"/>
              </w:rPr>
              <w:t>同步 provenance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每个域保留 attempted/succeeded/status/capturedAt/emptyConfirmed/contentEmptyConfirmed/retainedPrevious/completeness/errorCode 等事实，避免把空数组当作已确认无数据。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2933"/>
                <w:sz w:val="19"/>
              </w:rPr>
              <w:t>用户数据 DTO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新增 overview、domain summary 和按页 records 读取；可检索、按学期、状态、类型过滤，页大小上限 100。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2933"/>
                <w:sz w:val="19"/>
              </w:rPr>
              <w:t>renderer snapshot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普通 renderer 获取到的 snapshot 会清除扩展域大历史（成绩明细除外）、全校课表 records 和邮箱 body/bodyHtml；保留 recordCount 供设置页和概览显示。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2933"/>
                <w:sz w:val="19"/>
              </w:rPr>
              <w:t>本机 HTTP API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仅绑定 127.0.0.1、只允许 GET/HEAD、严格 Host/CORS；提供完整快照与有界 DTO 两类读取路线。</w:t>
            </w:r>
          </w:p>
        </w:tc>
      </w:tr>
    </w:tbl>
    <w:p>
      <w:pPr>
        <w:spacing w:after="40"/>
      </w:pPr>
    </w:p>
    <w:p>
      <w:pPr>
        <w:pStyle w:val="Heading1"/>
      </w:pPr>
      <w:r>
        <w:t>5. 本轮验证记录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2550"/>
        <w:gridCol w:w="1800"/>
        <w:gridCol w:w="5010"/>
      </w:tblGrid>
      <w:tr>
        <w:trPr>
          <w:cantSplit/>
          <w:tblHeader w:val="true"/>
        </w:trPr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8"/>
              </w:rPr>
              <w:t>检查项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8"/>
              </w:rPr>
              <w:t>结果</w:t>
            </w:r>
          </w:p>
        </w:tc>
        <w:tc>
          <w:tcPr>
            <w:tcW w:type="dxa" w:w="5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有界用户数据投影测试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14 / 14 通过</w:t>
            </w:r>
          </w:p>
        </w:tc>
        <w:tc>
          <w:tcPr>
            <w:tcW w:type="dxa" w:w="50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覆盖 overview、域摘要、分页 records、renderer snapshot 的边界。</w:t>
            </w:r>
          </w:p>
        </w:tc>
      </w:tr>
      <w:tr>
        <w:trPr>
          <w:cantSplit/>
        </w:trPr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npm run build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通过</w:t>
            </w:r>
          </w:p>
        </w:tc>
        <w:tc>
          <w:tcPr>
            <w:tcW w:type="dxa" w:w="50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TypeScript 编译与前端构建通过。</w:t>
            </w:r>
          </w:p>
        </w:tc>
      </w:tr>
      <w:tr>
        <w:trPr>
          <w:cantSplit/>
        </w:trPr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npm run lint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通过</w:t>
            </w:r>
          </w:p>
        </w:tc>
        <w:tc>
          <w:tcPr>
            <w:tcW w:type="dxa" w:w="50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当前共享工作树的 lint 通过。</w:t>
            </w:r>
          </w:p>
        </w:tc>
      </w:tr>
      <w:tr>
        <w:trPr>
          <w:cantSplit/>
        </w:trPr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git diff --check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通过</w:t>
            </w:r>
          </w:p>
        </w:tc>
        <w:tc>
          <w:tcPr>
            <w:tcW w:type="dxa" w:w="50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未检测到空白符错误。</w:t>
            </w:r>
          </w:p>
        </w:tc>
      </w:tr>
      <w:tr>
        <w:trPr>
          <w:cantSplit/>
        </w:trPr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npm test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752 / 753 通过</w:t>
            </w:r>
          </w:p>
        </w:tc>
        <w:tc>
          <w:tcPr>
            <w:tcW w:type="dxa" w:w="50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唯一失败为 tests/advisor-ultra.test.mjs 的既有 Ultra 路径期望值差异（期望模型调用 4、实际 2）；不属于 renderer snapshot / 数据投影改动，未在本轮随意修改。</w:t>
            </w:r>
          </w:p>
        </w:tc>
      </w:tr>
    </w:tbl>
    <w:p>
      <w:pPr>
        <w:spacing w:after="40"/>
      </w:pPr>
    </w:p>
    <w:p>
      <w:pPr>
        <w:pStyle w:val="Heading1"/>
      </w:pPr>
      <w:r>
        <w:t>6. 当前状态与后续审查点</w:t>
      </w:r>
    </w:p>
    <w:p>
      <w:pPr>
        <w:spacing w:after="120"/>
      </w:pPr>
      <w:r>
        <w:rPr>
          <w:rFonts w:ascii="Calibri" w:hAnsi="Calibri" w:eastAsia="Microsoft YaHei"/>
          <w:b/>
          <w:i w:val="0"/>
          <w:color w:val="1F2933"/>
          <w:sz w:val="22"/>
        </w:rPr>
        <w:t xml:space="preserve">审查基线: 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当前文档描述的是共享工作树中已经存在的实现合同，不把模拟浏览器、直连 API、教务和 THEOL 的逻辑差异简化成一个“统一来源”。数据消费端应先看域级 provenance，再解释记录内容。</w:t>
      </w:r>
    </w:p>
    <w:p>
      <w:pPr>
        <w:spacing w:after="120"/>
      </w:pPr>
      <w:r>
        <w:rPr>
          <w:rFonts w:ascii="Calibri" w:hAnsi="Calibri" w:eastAsia="Microsoft YaHei"/>
          <w:b/>
          <w:i w:val="0"/>
          <w:color w:val="1F2933"/>
          <w:sz w:val="22"/>
        </w:rPr>
        <w:t xml:space="preserve">已识别缺口: 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需要关注的结构性事实是：若产品要求在同一业务记录上永久保留 authenticated-browser-session 与 direct-api-client 两条采集证据，当前核心实体需要新增显式 accessMode / acquisition evidence 模型；目前该粒度没有落入 Course、Grade、Exam 等通用记录。</w:t>
      </w:r>
    </w:p>
    <w:p>
      <w:pPr>
        <w:spacing w:after="120"/>
      </w:pPr>
      <w:r>
        <w:rPr>
          <w:rFonts w:ascii="Calibri" w:hAnsi="Calibri" w:eastAsia="Microsoft YaHei"/>
          <w:b/>
          <w:i w:val="0"/>
          <w:color w:val="1F2933"/>
          <w:sz w:val="22"/>
        </w:rPr>
        <w:t xml:space="preserve">未做操作: 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本轮没有生成安装包、源码包或新版本发布物，也没有清理旧快照、会话目录、缓存和其它共享工作树改动。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 w:eastAsia="Microsoft YaHei"/>
        <w:b w:val="0"/>
        <w:i w:val="0"/>
        <w:color w:val="667085"/>
        <w:sz w:val="17"/>
      </w:rPr>
      <w:t xml:space="preserve">THEIA | 2026-08-17 | 第 </w:t>
    </w:r>
    <w:r>
      <w:rPr>
        <w:rFonts w:ascii="Calibri" w:hAnsi="Calibri" w:eastAsia="Microsoft YaHei"/>
        <w:b w:val="0"/>
        <w:i w:val="0"/>
        <w:color w:val="667085"/>
        <w:sz w:val="17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Microsoft YaHei"/>
        <w:b w:val="0"/>
        <w:i w:val="0"/>
        <w:color w:val="667085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Microsoft YaHei"/>
        <w:b/>
        <w:i w:val="0"/>
        <w:color w:val="667085"/>
        <w:sz w:val="17"/>
      </w:rPr>
      <w:t>THEIA 当前工作日志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color w:val="1F29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THEIA 当前工作日志</dc:title>
  <dc:subject>THEIA data layer review</dc:subject>
  <dc:creator>THEIA</dc:creator>
  <cp:keywords/>
  <dc:description>No credentials, cookies, session values, or personal samples are included.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