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before="0" w:after="80"/>
      </w:pPr>
      <w:r>
        <w:rPr>
          <w:rFonts w:ascii="Calibri" w:hAnsi="Calibri" w:eastAsia="Microsoft YaHei"/>
          <w:b/>
          <w:i w:val="0"/>
          <w:color w:val="1F2933"/>
          <w:sz w:val="46"/>
        </w:rPr>
        <w:t>THEIA 当前数据结构说明</w:t>
      </w:r>
    </w:p>
    <w:p>
      <w:pPr>
        <w:spacing w:after="280"/>
      </w:pPr>
      <w:r>
        <w:rPr>
          <w:rFonts w:ascii="Calibri" w:hAnsi="Calibri" w:eastAsia="Microsoft YaHei"/>
          <w:b w:val="0"/>
          <w:i w:val="0"/>
          <w:color w:val="667085"/>
          <w:sz w:val="24"/>
        </w:rPr>
        <w:t>实现快照 - 面向代码审查与后续数据层重构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2933"/>
          <w:sz w:val="21"/>
        </w:rPr>
        <w:t xml:space="preserve">日期: </w:t>
      </w:r>
      <w:r>
        <w:rPr>
          <w:rFonts w:ascii="Calibri" w:hAnsi="Calibri" w:eastAsia="Microsoft YaHei"/>
          <w:b w:val="0"/>
          <w:i w:val="0"/>
          <w:color w:val="1F2933"/>
          <w:sz w:val="21"/>
        </w:rPr>
        <w:t>2026-08-17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2933"/>
          <w:sz w:val="21"/>
        </w:rPr>
        <w:t xml:space="preserve">规范状态: </w:t>
      </w:r>
      <w:r>
        <w:rPr>
          <w:rFonts w:ascii="Calibri" w:hAnsi="Calibri" w:eastAsia="Microsoft YaHei"/>
          <w:b w:val="0"/>
          <w:i w:val="0"/>
          <w:color w:val="1F2933"/>
          <w:sz w:val="21"/>
        </w:rPr>
        <w:t>当前实现结构，不是未来方案或接口猜测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2933"/>
          <w:sz w:val="21"/>
        </w:rPr>
        <w:t xml:space="preserve">主模型: </w:t>
      </w:r>
      <w:r>
        <w:rPr>
          <w:rFonts w:ascii="Calibri" w:hAnsi="Calibri" w:eastAsia="Microsoft YaHei"/>
          <w:b w:val="0"/>
          <w:i w:val="0"/>
          <w:color w:val="1F2933"/>
          <w:sz w:val="21"/>
        </w:rPr>
        <w:t>theia-campus-data/v1 的 CampusState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2933"/>
          <w:sz w:val="21"/>
        </w:rPr>
        <w:t xml:space="preserve">隐私范围: </w:t>
      </w:r>
      <w:r>
        <w:rPr>
          <w:rFonts w:ascii="Calibri" w:hAnsi="Calibri" w:eastAsia="Microsoft YaHei"/>
          <w:b w:val="0"/>
          <w:i w:val="0"/>
          <w:color w:val="1F2933"/>
          <w:sz w:val="21"/>
        </w:rPr>
        <w:t>省略账号、密码、Cookie、session、授权头、个人值、原始 HTML/JSON 与附件二进制</w:t>
      </w:r>
    </w:p>
    <w:p>
      <w:pPr>
        <w:spacing w:before="200" w:after="80"/>
        <w:pBdr>
          <w:bottom w:val="single" w:sz="12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A" w:val="clea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如何阅读 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1"/>
              </w:rPr>
              <w:t>本说明从保存的规范化模型开始，再说明采集结果、同步证据、分片存储和不同读取投影。null 表示当前无值或未获得该可选值；空数组不自动表示学校确认无数据，必须结合 sync.domains 解释。</w:t>
            </w:r>
          </w:p>
        </w:tc>
      </w:tr>
    </w:tbl>
    <w:p>
      <w:pPr>
        <w:spacing w:after="40"/>
      </w:pPr>
    </w:p>
    <w:p>
      <w:pPr>
        <w:pStyle w:val="Heading1"/>
      </w:pPr>
      <w:r>
        <w:t>1. 结构边界与总览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主边界: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CampusState 是持久化的业务快照。它包含用户可以离线阅读的规范化校园数据、低敏感设置和同步证据；它不包含密码、独立 API cookie jar、Electron 浏览器 cookie/session storage、模型 API Key、邮件协议密码、原始认证页、附件二进制和可重放的学校写操作参数。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3000"/>
        <w:gridCol w:w="4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主要对象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采集与解析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适配器、SessionClient、AcademicApiClient、parser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从 JWGLXT / THEOL / 本地目录读取，只产生受控、只读的结构化结果。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规范化状态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CampusState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统一字段、类型、时间和默认值；是持久化与本地计算的基准。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持久化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theia-sharded-store/v1 manifest + SHA-256 fragments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原子提交、备份恢复、动态学期片段。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有界读取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renderer snapshot、UserData DTO、loopback API、MCP/AI projection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针对不同消费者裁剪大字段、内部字段和高风险内容。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根 schema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CampusState.schema 固定为 theia-campus-data/v1；appVersion 来自应用版本；createdAt / updatedAt 是快照元数据。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主要集合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profile、terms、courses、schedule、exams、grades、selectedCourses、academicProgress、academicExtras、assignments、workspaces、notices、emails、dataCatalog、sync、settings。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ID 原则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业务记录都有稳定字符串 id；扩展资料与附件可由稳定散列生成。内部网页 ID 可作为受控字段参与本地逻辑，但不会作为普通用户数据 DTO 的默认输出。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时间原则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收集/刷新时间通常为 ISO 8601 字符串；termId 是学年学期标识；页面显示时间与采集时间不是同一概念。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来源原则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核心实体以 source: jwglxt | theol 标注平台，sourceUrl 是可选来源页。数据通道 accessMode 目前不是这些通用实体的逐条字段。</w:t>
            </w:r>
          </w:p>
        </w:tc>
      </w:tr>
    </w:tbl>
    <w:p>
      <w:pPr>
        <w:spacing w:after="40"/>
      </w:pPr>
    </w:p>
    <w:p>
      <w:pPr>
        <w:pStyle w:val="Heading1"/>
      </w:pPr>
      <w:r>
        <w:t>2. CampusState 顶层字段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schema / appVersion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字符串；数据 schema 与写入时应用版本。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createdAt / updatedAt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ISO 时间；快照创建时间、最后成功写入时间。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profile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Profile | null；个人基础资料。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terms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Array&lt;Term&gt;；Term = { id, year, term, label }。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courses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Array&lt;Course&gt;；跨平台课程卡片及链接。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schedule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Array&lt;ScheduleItem&gt;；可定位的个人课表条目。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exams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Array&lt;Exam&gt;；考试安排。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grades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Array&lt;Grade&gt;；成绩记录，原始成绩和重修事实保留在集合中。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selectedCourses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Array&lt;SelectedCourse&gt;；当前/历史已选教学班。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academicProgress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AcademicProgress | null；官方或部分解析的 GPA、统计与培养要求树。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academicExtras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AcademicExtras；低频教务扩展域统一容器。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assignments / workspaces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Array&lt;Assignment&gt; / Array&lt;CourseWorkspace&gt;；THEOL/课程任务与本地准备元数据。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notices / emails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Array&lt;Notice&gt; / Array&lt;EmailMessage&gt;；通知与校园邮件。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dataCatalog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LocalDataCatalog；体测、全校课表、校历资产的本地缓存。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sync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聚合同步状态、每来源状态、每域 provenance / outcome。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settings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非秘密运行设置；凭据和会话不在此对象。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核心学业实体</w:t>
      </w:r>
    </w:p>
    <w:p>
      <w:pPr>
        <w:pStyle w:val="Heading2"/>
      </w:pPr>
      <w:r>
        <w:t>3.1 Profile 与学期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Profile.name / studentId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string | null；姓名与学号。敏感个人值，外部导出必须由用户明确选择并按使用目的裁剪。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Profile.gpa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number | null；资料页可提供的 GPA，不等同于由成绩重新计算的值。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Profile.academicTrack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string | string[] | null；用户可编辑的专业关键词，供本地校历匹配。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Profile.academicClass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string | null；行政班。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Term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{ id: string, year: number, term: string, label: string }；作为课程、课表、成绩、考试的常用关联键。</w:t>
            </w:r>
          </w:p>
        </w:tc>
      </w:tr>
    </w:tbl>
    <w:p>
      <w:pPr>
        <w:spacing w:after="40"/>
      </w:pPr>
    </w:p>
    <w:p>
      <w:pPr>
        <w:pStyle w:val="Heading2"/>
      </w:pPr>
      <w:r>
        <w:t>3.2 Course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必填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id、title、source。source 仅允许 jwglxt 或 theol。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识别与学期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code、termId、termIds、classId；均为可选字符串，termIds 可描述跨学期关联。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展示与教学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teacher、credits、category、location、description。credits 为 number | null。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链接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sourceUrl、resourceLinks[{title,url}]、assignmentLinks[{title,url}]；是来源/资源导航，不是认证材料。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采集证据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capturedAt；该实体当前没有 accessMode、rawPayload、cookie 或 requestHeaders 字段。</w:t>
            </w:r>
          </w:p>
        </w:tc>
      </w:tr>
    </w:tbl>
    <w:p>
      <w:pPr>
        <w:spacing w:after="40"/>
      </w:pPr>
    </w:p>
    <w:p>
      <w:pPr>
        <w:pStyle w:val="Heading2"/>
      </w:pPr>
      <w:r>
        <w:t>3.3 ScheduleItem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必填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id、title。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关联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termId、courseId。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时间与位置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weekday（1-7 或 null）、period、weeks、startAt、endAt、room。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显示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teacher、color、sourceUrl。颜色会在 state normalize 时按学期/课程稳定补齐，不能把缺少颜色理解为缺课程。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定位约束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可渲染课表行要求 weekday 在 1-7 且 period 非空；未定位数据不会取代已有定位课表。</w:t>
            </w:r>
          </w:p>
        </w:tc>
      </w:tr>
    </w:tbl>
    <w:p>
      <w:pPr>
        <w:spacing w:after="40"/>
      </w:pPr>
    </w:p>
    <w:p>
      <w:pPr>
        <w:pStyle w:val="Heading2"/>
      </w:pPr>
      <w:r>
        <w:t>3.4 Exam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必填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id、courseName。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学期与类型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termId、examType、mode、remark。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时间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examTime、startAt、endAt；可同时保留原始显示时间与结构化开始/结束时间。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地点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location、campus、seat。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导航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sourceUrl。</w:t>
            </w:r>
          </w:p>
        </w:tc>
      </w:tr>
    </w:tbl>
    <w:p>
      <w:pPr>
        <w:spacing w:after="40"/>
      </w:pPr>
    </w:p>
    <w:p>
      <w:pPr>
        <w:pStyle w:val="Heading2"/>
      </w:pPr>
      <w:r>
        <w:t>3.5 Grade 与成绩尝试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Grade 必填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id、courseName。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课程与学期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termId、courseCode、nature、category、teacher、assessment。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成绩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score（字符串以保留等级/文本）、point（number）、credits（number）、gpaIncluded（boolean | null）、status、remark。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GradeAttempt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派生分析项：schema、id、courseKey、attemptIndex、outcome、score、point、credits、gpaIncluded、creditIncluded、sourceUrl。保留重复修读/补考等尝试事实。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AcademicCourseAnalysis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按 courseKey 聚合 attempts，给出 attemptCount、isRetake、代表尝试、GPA 尝试、学分尝试、earnedCredits 与 status。</w:t>
            </w:r>
          </w:p>
        </w:tc>
      </w:tr>
    </w:tbl>
    <w:p>
      <w:pPr>
        <w:spacing w:after="40"/>
      </w:pPr>
    </w:p>
    <w:p>
      <w:pPr>
        <w:pStyle w:val="Heading2"/>
      </w:pPr>
      <w:r>
        <w:t>3.6 SelectedCourse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必填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id、title。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关联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termId、courseId、courseCode、classId。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教学信息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teacher、credits、category、location、time。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容量信息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capacity、enrolled、waiting；均为可选，不能假定所有选课页面都提供。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导航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sourceUrl。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学业进度、培养要求与派生分析</w:t>
      </w:r>
    </w:p>
    <w:p>
      <w:pPr>
        <w:pStyle w:val="Heading2"/>
      </w:pPr>
      <w:r>
        <w:t>4.1 AcademicProgress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gpa / program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number | null、string | null；来自学业进度页的官方或当前可获得值。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courseCounts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planned{total,passed,failed,notTaken,studying} 与 outsidePlan{passed,failed}；可为 null。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categories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平铺 Array&lt;AcademicRequirement&gt;，用于导出与兼容旧快照。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roots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层级 Array&lt;AcademicRequirement&gt;；官方培养要求树，可能缺失。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sourceUrl / capturedAt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来源页与抓取时间。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4.2 AcademicRequirement 与课程节点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AcademicRequirement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id、title、required；可选 earned、remaining、status、relation(and/or)、parentId、children、courses、sourceUrl。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AcademicRequirementCourse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id、title；可选 studyStatus、academicYear、term、courseCode、hours、nature、credits、category、bestScore、point、score、makeupScore、retakeScore、recommendedYear、recommendedTerm。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relation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and / or；由 JWGLXT 的父子关系描述。or 节点表示替代分支，不能把所有 child 的 required 简单相加。</w:t>
            </w:r>
          </w:p>
        </w:tc>
      </w:tr>
    </w:tbl>
    <w:p>
      <w:pPr>
        <w:spacing w:after="40"/>
      </w:pPr>
    </w:p>
    <w:p>
      <w:pPr>
        <w:pStyle w:val="Heading2"/>
      </w:pPr>
      <w:r>
        <w:t>4.3 AcademicAnalysis（本地派生，不是学校原始返回）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schema / evaluatedAt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theia-academic-analysis/v1 与分析计算时间。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gpa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value、officialValue、computedValue、source(official/computed/unknown)、credits、includedCourses。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gradeAttempts / courses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按 Grade 推导的尝试列表与按课程聚合结果。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requirements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source(official-tree/flat/missing)、roots、nodeCount。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creditLedger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earnedCredits、earnedCourses、attemptedCourses、unknownAttempts、unknownCredits、requirementRoots。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coverage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grades / requirements 各为 complete、partial 或 missing。派生结论必须尊重这个覆盖度。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A" w:val="clea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培养方案区分 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1"/>
              </w:rPr>
              <w:t>academicProgress 是学业完成度和培养要求树；academicExtras.academic-plan 是培养方案/教学执行计划的扩展资料域。两者相关但不是同一个对象，也不应强行相互覆盖。</w:t>
            </w:r>
          </w:p>
        </w:tc>
      </w:tr>
    </w:tbl>
    <w:p>
      <w:pPr>
        <w:spacing w:after="40"/>
      </w:pPr>
    </w:p>
    <w:p>
      <w:pPr>
        <w:pStyle w:val="Heading1"/>
      </w:pPr>
      <w:r>
        <w:t>5. 课程任务与通信实体</w:t>
      </w:r>
    </w:p>
    <w:p>
      <w:pPr>
        <w:pStyle w:val="Heading2"/>
      </w:pPr>
      <w:r>
        <w:t>5.1 Assignment 与 CourseWorkspace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Assignment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id、title、status 必填；kind、courseId、courseName、dueAt、score、sourceUrl、courseSourceUrl 可选。kind 允许 assignment、online-test 或扩展字符串。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CourseWorkspace 身份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id、assignmentId、title、kind；可关联 courseName、dueAt、sourceUrl。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CourseWorkspace 状态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state(prepared/answer-ready/扩展)、preparedAt、updatedAt、lastError、attachmentCount、questionCount。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本地引用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directory、manifestPath、taskPath、answerKeyPath、submissionPath、notesPath、notesPdfPath、paperPath、paperPdfPath、modelAnswerPath、modelAnswerPdfPath。它们是本地工作区元数据，不能随外部投影默认发送。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模型/测试填答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modelName、modelProcessedAt、lastTestFill{at,applied[],failed[{question,reason}],total}。这些只描述本地准备/记录，不表示已经向学校提交。</w:t>
            </w:r>
          </w:p>
        </w:tc>
      </w:tr>
    </w:tbl>
    <w:p>
      <w:pPr>
        <w:spacing w:after="40"/>
      </w:pPr>
    </w:p>
    <w:p>
      <w:pPr>
        <w:pStyle w:val="Heading2"/>
      </w:pPr>
      <w:r>
        <w:t>5.2 课程任务队列（辅助状态）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CourseWorkQueueSnapshot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schema=theia-course-work-queue/v1、enabled、updatedAt、jobs。属于辅助队列状态，不是 CampusState 顶层核心字段。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CourseWorkQueueJob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id、dedupeKey、assignmentId、operation、options、status、attempts、maxAttempts、createdAt、updatedAt、startedAt、completedAt、lastError、result。operation 包括 prepare/model/notes/paper。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状态枚举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queued、running、succeeded、failed、cancelled。队列结果应与学校侧提交状态区分。</w:t>
            </w:r>
          </w:p>
        </w:tc>
      </w:tr>
    </w:tbl>
    <w:p>
      <w:pPr>
        <w:spacing w:after="40"/>
      </w:pPr>
    </w:p>
    <w:p>
      <w:pPr>
        <w:pStyle w:val="Heading2"/>
      </w:pPr>
      <w:r>
        <w:t>5.3 Notice 与 EmailMessage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Notice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id、title、source 必填；summary、publishedAt、sourceUrl 可选。source 为 jwglxt 或 theol。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EmailMessage 基础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id、subject、from、receivedAt、source 必填；uid、fromAddress、snippet、unread、remoteMarker、capturedAt 可选。source 为 imap 或 webmail。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邮件正文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body、bodyHtml、bodyHtmlVersion 可选。normalizeState 只保留指定富文本版本且过滤危险标记；renderer snapshot 会清空 body/bodyHtml/bodyHtmlVersion。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邮件附件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attachments[{index?,filename,contentType?,size}]；保存的是附件描述而非二进制。</w:t>
            </w:r>
          </w:p>
        </w:tc>
      </w:tr>
    </w:tbl>
    <w:p>
      <w:pPr>
        <w:spacing w:after="40"/>
      </w:pPr>
    </w:p>
    <w:p>
      <w:pPr>
        <w:pStyle w:val="Heading1"/>
      </w:pPr>
      <w:r>
        <w:t>6. JWGLXT 扩展资料 academicExtras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容器语义: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academicExtras 以一个统一 envelope 保存低频、复杂或多路由的教务资料。核心字段不保存 raw HTML、raw JSON、请求参数、cookie 或隐式认证细节。每个域独立记录完整性与查询统计，因此不能只用 records.length 判断有没有数据。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AcademicExtras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schema、capturedAt、parserVersion、domains: Record&lt;string, AcademicExtraDomain&gt;。当前 parser 版本为 jwglxt-extra/v4。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AcademicExtraDomain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label、routeCodes[]、sourceUrl、capturedAt、completeness、queryStats、messages[]、filters[]、attachments[]、records[]。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queryStats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attempted、succeeded、failed、capped；表示白名单查询处理情况。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attachments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id、label、type、sourceUrl、cached、bytes、sha256、filename。可用于本地附件打开，二进制不嵌入 CampusState。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AcademicExtraRecord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id、title、fields[{name?,label,value}]，允许其它已净化键。fields 是最稳定的展示/导出形式。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recordCount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只在有界 renderer snapshot 中补充；规范化存储仍保留 records。它保证大 records 被裁剪后仍能显示数量。</w:t>
            </w:r>
          </w:p>
        </w:tc>
      </w:tr>
    </w:tbl>
    <w:p>
      <w:pPr>
        <w:spacing w:after="40"/>
      </w:pPr>
    </w:p>
    <w:p>
      <w:pPr>
        <w:pStyle w:val="Heading2"/>
      </w:pPr>
      <w:r>
        <w:t>6.1 当前扩展域清单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2600"/>
        <w:gridCol w:w="900"/>
        <w:gridCol w:w="40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域 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中文标签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路由数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典型记录/附件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academic-plan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培养方案与教学执行计划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计划/执行表记录；官方培养计划 PDF 附件。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academic-warning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学业预警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预警与处理状态。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graduation-audit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毕业审核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审核结果/条件状态。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grade-details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成绩明细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逐条成绩明细；renderer snapshot 保留本域 records，供本地分组页面使用。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exam-extra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考试附加信息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补考、名单或设计页展示的考试相关资料。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free-classroom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空闲教室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教室、时间、筛选结果。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jwglxt-school-schedule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全校课表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教务扩展资料；不等同于 local catalog 的 school-schedule。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weekly-schedule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按周课表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周课表/教学安排记录。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thesis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毕业设计与论文成绩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选题、过程、成绩等状态资料。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profile-extra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档案补充信息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个人档案/监护人等补充字段。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academic-workflows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学业申请与审核状态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6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课程替换、学分相关等已提交状态。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student-status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学籍与专业状态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异动、转专业等已有状态。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student-workflows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学生事务申请状态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学生事务申请状态行。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selection-workflows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选课与报名状态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辅修、创新、教学任务等报名/选课状态。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evaluation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教学评价状态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教学评价完成/状态资料。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A" w:val="clea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读写边界 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1"/>
              </w:rPr>
              <w:t>当前源码共声明 15 个扩展业务域、32 个只读路由。名称看似动作的页面只读取既有数据行；不读取或执行专业确认、提交、上传、删除等学校侧操作。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dataCatalog：本地缓存集合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LocalDataCatalog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schema=theia-local-data/v1、updatedAt、collections{fitness,schoolSchedule,academicCalendar}。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fitness 概览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source、parserVersion、lastRefreshedAt、availableYears[]、records{}。yearKey 格式为 20xx-20xx_n。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Fitness record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id、scope{yearKey}、capturedAt、source、parserVersion、refreshState(ready/empty)、normalized。normalized 含 gender、year、academicGrade、gradeGroup、vitality、run50、flex、jump、strength、endureSecs、heightCm、weightKg。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schoolSchedule 概览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source、parserVersion、lastRefreshedAt、records{}；每项按学期成为独立持久化碎片。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SchoolSchedule record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id、scope{termId,keyword,teacher,department,category,nature,format,affiliation}、capturedAt、source、parserVersion、total、complete、items[]。保存时 cache scope 以 termId 为边界。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SchoolScheduleItem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id、termId、classId、courseCode、title、className、combinedClassInfo、teacher、time、location、credits、nature、category、department、status、affiliation、sourceUrl。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academicCalendar 概览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source、parserVersion、lastRefreshedAt、assets、calendar、calendarError、analysis、analysisError。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calendar assets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calendar / teachingSchedule / weeklyCalendar 的 filename、sourceUrl、fetchedAt、nextRefreshAfter、bytes。图像/PDF 文件在状态之外。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A" w:val="clea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catalog 独立性 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1"/>
              </w:rPr>
              <w:t>体测、全校课表与校历是独立本地目录；它们的同步/缓存语义不要和个人教务 fast-path 或 academicExtras 的页面采集结果混用。</w:t>
            </w:r>
          </w:p>
        </w:tc>
      </w:tr>
    </w:tbl>
    <w:p>
      <w:pPr>
        <w:spacing w:after="40"/>
      </w:pPr>
    </w:p>
    <w:p>
      <w:pPr>
        <w:pStyle w:val="Heading1"/>
      </w:pPr>
      <w:r>
        <w:t>8. 同步 provenance 与结果语义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为什么重要: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CampusState.sync 同时保存一次聚合同步的时间线、来源连接状态与每一个数据域的 outcome。它是解释“本地没有记录”时必须一起读取的证据层。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sync 聚合字段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lastStartedAt、lastCompletedAt、lastRunAt、lastSuccessAt、lastError、runId。lastSuccessAt 不能代替每个域的 sourceSucceededAt。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sync.sources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Partial&lt;Record&lt;jwglxt | theol, SourceStatus&gt;&gt;。每个 source 可有 connected、checkedAt、authRequired、error、url、errors[]。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sync.domains[domain]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schema=theia-domain-provenance/v1、runId、source[]、attempted、succeeded、attemptedAt、completedAt、status、capturedAt、sourceSucceededAt、emptyConfirmed、contentEmptyConfirmed、retainedPrevious、completeness、parserVersion、errorCode、成功/失败 term ID。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outcomes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域下可存在每来源 outcome：schema=theia-domain-outcome/v1，字段与域级 provenance 对应。用于保留独立来源的事实。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status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never、not-attempted、succeeded、failed、auth-required。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completeness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complete、partial、unknown。必须与 status / emptyConfirmed 一起解释。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emptyConfirmed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最近一次成功且完整尝试明确无记录时为 true，可安全清空本域。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contentEmptyConfirmed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当前保存内容曾被完整来源确认为空；与本轮是否尝试不同。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retainedPrevious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本轮失败/不可靠空结果而保留旧数据时为 true。旧数据仍可读，但不能描述成刚从学校确认。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3700"/>
        <w:gridCol w:w="31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看到的现象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正确解释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存储动作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域不存在或 never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尚未采集 / 不可知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不创建“无数据”结论。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complete + emptyConfirmed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学校侧本次明确无记录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可替换为确认空。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partial 或筛选条件不完整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不能推断无记录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不以空结果覆盖旧值。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failed / auth-required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本轮未获得可信新值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保留旧数据，retainedPrevious=true。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成功部分学期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范围内成功、整体不完整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只替换成功范围；successfulTermIds/failedTermIds 作证据。</w:t>
            </w:r>
          </w:p>
        </w:tc>
      </w:tr>
    </w:tbl>
    <w:p>
      <w:pPr>
        <w:spacing w:after="40"/>
      </w:pPr>
    </w:p>
    <w:p>
      <w:pPr>
        <w:pStyle w:val="Heading1"/>
      </w:pPr>
      <w:r>
        <w:t>9. settings：可保存但非秘密的配置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API 与同步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apiPort(1024-65535)、syncIntervalMinutes(5-1440)、autoSync、openOriginalInApp。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教务认证策略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academicAuthMode(unified/api)、academicApiEnabled；这里仅保存模式/启用状态，不保存用户名、密码或 cookie。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邮件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mail.enabled、mail.pollIntervalMinutes(1-60)。邮件密码在受保护凭据存储，不在 CampusState。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模型基础配置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modelBaseUrl、modelProvider、modelName、modelModels[]。provider 可为 openai-compatible、anthropic-messages、gemini-generate-content、ollama-chat。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模型路由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modelRouting{advisorFastModel,advisorDeepModel,courseworkModel,fallbackModel}。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顾问配置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advisorConfig{reasoningEffort, responseStyle, responseLength, temperature, budgetLevel}；这是行为配置，不携带用户校园数据。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规范化边界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load 时限制端口、间隔、字符串长度、模型列表数量、温度和枚举；非法设置回退为安全默认值。</w:t>
            </w:r>
          </w:p>
        </w:tc>
      </w:tr>
    </w:tbl>
    <w:p>
      <w:pPr>
        <w:spacing w:after="40"/>
      </w:pPr>
    </w:p>
    <w:p>
      <w:pPr>
        <w:pStyle w:val="Heading1"/>
      </w:pPr>
      <w:r>
        <w:t>10. 分片存储与恢复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提交模型: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持久化根使用 theia-sharded-store/v1。CampusStore 将一个规范化 CampusState 拆成内容寻址片段，manifest 指向对象并保存哈希；写入先产生新对象，再备份并原子替换 manifest。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200"/>
        <w:gridCol w:w="5160"/>
      </w:tblGrid>
      <w:tr>
        <w:trPr>
          <w:cantSplit/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分片键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state/meta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appVersion、createdAt、updatedAt。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state/profile / state/settings / state/sync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基础资料、非秘密设置、同步证据。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academic/terms、courses、schedule、exams、grades、selected-courses、progress、extras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核心 JWGLXT/学业数据。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coursework/assignments、coursework/workspaces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课程任务与工作区 metadata。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communication/notices、communication/emails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通知与邮件 metadata/经净化正文。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catalog/index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fitness、academicCalendar 和 schoolSchedule 的索引；schoolSchedule records 从 index 剥离。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catalog/school-schedule/&lt;term&gt;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按学期动态创建的完整全校课表缓存记录。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manifest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data/manifest.json；备份为 manifest.json.bak。每片是 theia-state-fragment/v1，带内容 hash。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对象布局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data/objects/&lt;kind&gt;/&lt;sha256&gt;.json；不可变对象可被当前或备用 manifest 引用。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加载恢复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主/备 manifest 均检查 schema、相对路径边界、fragment kind 和 digest；单片损坏可从另一份 manifest 恢复。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旧格式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buct-data.json 与 .bak 保留为旧迁移来源；新写入以 sharded manifest 为主。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避免误删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新分片对旧 manifest 可为可选；动态 schoolSchedule 分片不会因一次普通同步未包含此域而删除。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读取投影与 API 合同</w:t>
      </w:r>
    </w:p>
    <w:p>
      <w:pPr>
        <w:pStyle w:val="Heading2"/>
      </w:pPr>
      <w:r>
        <w:t>11.1 有界 renderer snapshot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入口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IPC: theia:get-renderer-snapshot；preload: getRendererSnapshot()。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academicExtras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每个域计算 recordCount；除 grade-details 外 records 被替换为空数组。canonical storage 的 records 不变。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schoolSchedule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recordCount 计数后 records 置空，避免普通桌面状态长期携带全校课表历史。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emails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body、bodyHtml、bodyHtmlVersion 全部置 null；邮件详情需走受控读取。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保留原因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grade-details 的 records 因本地成绩分组页面需要被保留；这是明确的例外，不是一般扩展资料处理方式。</w:t>
            </w:r>
          </w:p>
        </w:tc>
      </w:tr>
    </w:tbl>
    <w:p>
      <w:pPr>
        <w:spacing w:after="40"/>
      </w:pPr>
    </w:p>
    <w:p>
      <w:pPr>
        <w:pStyle w:val="Heading2"/>
      </w:pPr>
      <w:r>
        <w:t>11.2 UserData DTO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UserDataOverview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schema=theia-user-data-view/v1、view=overview、snapshotRevision、generatedAt、currentTerm、attentionItems、sections、extraDomains、sync 摘要。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UserDataDomainSummary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domain、label、count、scopes[]、completeness、status/statusLabel、capturedAt、stale、primaryAction、retainedPrevious、errorCode、snapshotRevision。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UserDataRecordsPage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domain、label、scope(current/all)、total、items、nextCursor、hasMore、snapshotRevision。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UserDataRecord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id、label、scopeLabel、status/statusLabel、completeness、capturedAt、sourcePlatform、attributes[]、domain、recordKind、recordType、attachment metadata。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过滤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records 支持 q、termId、status、scope、limit、cursor、recordType；limit 在本地投影层限制为 1-100，默认 50。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隐去字段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投影会隐藏 raw/rawHtml/rawJson、body/content、sourceUrl、routeCode、parserVersion、请求参数、内部 ID、fields、附件原列表等。</w:t>
            </w:r>
          </w:p>
        </w:tc>
      </w:tr>
    </w:tbl>
    <w:p>
      <w:pPr>
        <w:spacing w:after="40"/>
      </w:pPr>
    </w:p>
    <w:p>
      <w:pPr>
        <w:pStyle w:val="Heading2"/>
      </w:pPr>
      <w:r>
        <w:t>11.3 回环 HTTP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00"/>
        <w:gridCol w:w="3700"/>
        <w:gridCol w:w="33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主要路径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响应特点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健康与发现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/v1/health、/v1/collections、/v1/profile、/v1/sync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状态/集合摘要。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有界用户数据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/v1/overview、/v1/domain-summary/:domain、/v1/records/:domain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UserData DTO；记录按页、按条件读取。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完整/结构化数据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/v1/snapshot、/v1/data-manifest、/v1/data-catalog、/v1/academic-extras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完整本地状态或结构化容器，仅应在受控本地消费者使用。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扩展资料表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/v1/academic-extras/:domain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列推断、过滤、最多 1000 行的表格式响应。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目录与分析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/v1/fitness、/v1/school-schedule、/v1/academic-calendar、/v1/academic-analysis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本地缓存/派生学业分析。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常用导出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/v1/feed、/v1/theia、/v1/calendar.ics、集合 CSV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Feed/日历/CSV。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A" w:val="clea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服务安全 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1"/>
              </w:rPr>
              <w:t>API 仅监听 127.0.0.1，严格检查 Host，只允许 GET/HEAD/OPTIONS；非 GET/HEAD 返回 405。CORS 只接受受控本地来源或 packaged renderer 的 null origin。</w:t>
            </w:r>
          </w:p>
        </w:tc>
      </w:tr>
    </w:tbl>
    <w:p>
      <w:pPr>
        <w:spacing w:after="40"/>
      </w:pPr>
    </w:p>
    <w:p>
      <w:pPr>
        <w:pStyle w:val="Heading1"/>
      </w:pPr>
      <w:r>
        <w:t>12. 当前访问方式与数据统一的事实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实装现状: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JWGLXT 的 direct API client 与 authenticated browser session 具有不同 cookie 容器和认证生命周期。前者能否读数据不等同于后者能否直接打开来源页面。SyncService 可以优先使用 API，再在失败域回退会话读取，但当前规范化核心记录以平台 source 区分，不保留一条记录的 accessMode 枚举、请求证据或双通道副本。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结构结论: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因此，当前“数据统一”主要指同一业务语义进入统一集合、使用统一 empty/partial/retainedPrevious 规则；它不等价于“可以从每条记录审计 API 与前端模拟各自得到的同一份数据”。若后续要求两种通道同时保留、可并列对比，应引入 acquisition envelope（platform、accessMode、evidence、capturedAt、canonical record reference）并把它与业务实体分离。</w:t>
      </w:r>
    </w:p>
    <w:p>
      <w:pPr>
        <w:pStyle w:val="Heading1"/>
      </w:pPr>
      <w:r>
        <w:t>13. 隐私、保留与使用规则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 / 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当前实现的结构与语义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绝不进入 CampusState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密码、邮箱授权码、模型 API Key、Cookie、浏览器 session、独立 API cookie jar、原始认证页、绝对本机路径、附件二进制、可重放学校写操作字段。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仍然敏感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姓名、学号、成绩、GPA、选课、考试位置、邮件发件人/正文、培养计划、来源 URL、本地工作区 metadata。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外部导出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AI/MCP 读取必须使用脱敏、有界投影；需要个人资料时由用户明确选择。AI 导出包不是 CampusState 的字节级备份。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旧数据保留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同步失败或不可靠空响应不应擦除已知旧值；数据陈旧要通过 provenance 显示，而不是伪造实时性。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2933"/>
                <w:sz w:val="19"/>
              </w:rPr>
              <w:t>删除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迁移或新格式写入不授权清理旧 snapshot、manifest、工作区、校历资产或 course-selection journal；删除需要单独的用户面对策略。</w:t>
            </w:r>
          </w:p>
        </w:tc>
      </w:tr>
    </w:tbl>
    <w:p>
      <w:pPr>
        <w:spacing w:after="40"/>
      </w:pPr>
    </w:p>
    <w:p>
      <w:pPr>
        <w:pStyle w:val="Heading1"/>
      </w:pPr>
      <w:r>
        <w:t>14. 审查时优先看什么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数据可信度: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先看 sync.domains.&lt;domain&gt; 的 status、completeness、emptyConfirmed、contentEmptyConfirmed、retainedPrevious、capturedAt / sourceSucceededAt，再解释 records 或业务字段。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性能边界: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普通渲染页面应优先使用 overview、domain summary 和 records；只有确实需要完整关系计算或本地导出时才读取完整 snapshot。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2933"/>
          <w:sz w:val="22"/>
        </w:rPr>
        <w:t xml:space="preserve">平台边界: 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教务的 API 与浏览器会话、THEOL、体测、校历、全校课表不应被误视为一个单一来源。它们分别有自己的采集边界、缓存边界、完整性和权限语义。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THEIA | 2026-08-17 | 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667085"/>
        <w:sz w:val="17"/>
      </w:rPr>
      <w:t>THEIA 当前数据结构说明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THEIA 当前数据结构说明</dc:title>
  <dc:subject>THEIA data layer review</dc:subject>
  <dc:creator>THEIA</dc:creator>
  <cp:keywords/>
  <dc:description>No credentials, cookies, session values, or personal samples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