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823B" w14:textId="696F0D10" w:rsidR="001044AA" w:rsidRDefault="001044AA" w:rsidP="7EA3CBC8">
      <w:pPr>
        <w:rPr>
          <w:sz w:val="32"/>
          <w:szCs w:val="32"/>
        </w:rPr>
      </w:pPr>
      <w:r w:rsidRPr="7EA3CBC8">
        <w:rPr>
          <w:sz w:val="36"/>
          <w:szCs w:val="36"/>
        </w:rPr>
        <w:t>Trading Written Assignment for Group Iron Age Chimp</w:t>
      </w:r>
    </w:p>
    <w:p w14:paraId="273F0EB8" w14:textId="690538AC" w:rsidR="7EA3CBC8" w:rsidRDefault="7EA3CBC8" w:rsidP="7EA3CBC8">
      <w:pPr>
        <w:rPr>
          <w:sz w:val="44"/>
          <w:szCs w:val="44"/>
        </w:rPr>
      </w:pPr>
    </w:p>
    <w:p w14:paraId="31034477" w14:textId="77777777" w:rsidR="001044AA" w:rsidRPr="001044AA" w:rsidRDefault="001044AA" w:rsidP="001044AA">
      <w:pPr>
        <w:rPr>
          <w:b/>
          <w:bCs/>
        </w:rPr>
      </w:pPr>
      <w:r w:rsidRPr="001044AA">
        <w:rPr>
          <w:b/>
          <w:bCs/>
        </w:rPr>
        <w:t>1. Strategy Overview and Investment Hypotheses</w:t>
      </w:r>
    </w:p>
    <w:p w14:paraId="65665FC5" w14:textId="77777777" w:rsidR="001044AA" w:rsidRPr="001044AA" w:rsidRDefault="001044AA" w:rsidP="001044AA">
      <w:r w:rsidRPr="001044AA">
        <w:t>The investment strategy for the period focused on a multi-factor approach across the global commodities complex, primarily utilizing futures and options on futures to express views on macroeconomic shifts, seasonal supply dynamics, and volatility regimes.</w:t>
      </w:r>
    </w:p>
    <w:p w14:paraId="237500E7" w14:textId="77777777" w:rsidR="001044AA" w:rsidRPr="001044AA" w:rsidRDefault="001044AA" w:rsidP="001044AA">
      <w:r w:rsidRPr="001044AA">
        <w:rPr>
          <w:b/>
          <w:bCs/>
        </w:rPr>
        <w:t>Trading Rationale Categories</w:t>
      </w:r>
    </w:p>
    <w:tbl>
      <w:tblPr>
        <w:tblStyle w:val="TableGrid"/>
        <w:tblW w:w="0" w:type="auto"/>
        <w:tblLook w:val="04A0" w:firstRow="1" w:lastRow="0" w:firstColumn="1" w:lastColumn="0" w:noHBand="0" w:noVBand="1"/>
      </w:tblPr>
      <w:tblGrid>
        <w:gridCol w:w="2652"/>
        <w:gridCol w:w="6364"/>
      </w:tblGrid>
      <w:tr w:rsidR="001044AA" w:rsidRPr="001044AA" w14:paraId="19678686" w14:textId="77777777" w:rsidTr="0008397B">
        <w:tc>
          <w:tcPr>
            <w:tcW w:w="0" w:type="auto"/>
            <w:hideMark/>
          </w:tcPr>
          <w:p w14:paraId="03EAECFD" w14:textId="77777777" w:rsidR="001044AA" w:rsidRPr="001044AA" w:rsidRDefault="001044AA" w:rsidP="001044AA">
            <w:pPr>
              <w:spacing w:after="160" w:line="278" w:lineRule="auto"/>
            </w:pPr>
            <w:r w:rsidRPr="001044AA">
              <w:rPr>
                <w:b/>
                <w:bCs/>
              </w:rPr>
              <w:t>Category</w:t>
            </w:r>
          </w:p>
        </w:tc>
        <w:tc>
          <w:tcPr>
            <w:tcW w:w="0" w:type="auto"/>
            <w:hideMark/>
          </w:tcPr>
          <w:p w14:paraId="66926632" w14:textId="77777777" w:rsidR="001044AA" w:rsidRPr="001044AA" w:rsidRDefault="001044AA" w:rsidP="001044AA">
            <w:pPr>
              <w:spacing w:after="160" w:line="278" w:lineRule="auto"/>
            </w:pPr>
            <w:r w:rsidRPr="001044AA">
              <w:rPr>
                <w:b/>
                <w:bCs/>
              </w:rPr>
              <w:t>Key Drivers / Examples</w:t>
            </w:r>
          </w:p>
        </w:tc>
      </w:tr>
      <w:tr w:rsidR="001044AA" w:rsidRPr="001044AA" w14:paraId="5315F99F" w14:textId="77777777" w:rsidTr="0008397B">
        <w:tc>
          <w:tcPr>
            <w:tcW w:w="0" w:type="auto"/>
            <w:hideMark/>
          </w:tcPr>
          <w:p w14:paraId="33A08DE9" w14:textId="77777777" w:rsidR="001044AA" w:rsidRPr="001044AA" w:rsidRDefault="001044AA" w:rsidP="001044AA">
            <w:pPr>
              <w:spacing w:after="160" w:line="278" w:lineRule="auto"/>
            </w:pPr>
            <w:r w:rsidRPr="001044AA">
              <w:rPr>
                <w:b/>
                <w:bCs/>
              </w:rPr>
              <w:t>Macro/Geopolitical</w:t>
            </w:r>
          </w:p>
        </w:tc>
        <w:tc>
          <w:tcPr>
            <w:tcW w:w="0" w:type="auto"/>
            <w:hideMark/>
          </w:tcPr>
          <w:p w14:paraId="3170E535" w14:textId="77777777" w:rsidR="001044AA" w:rsidRPr="001044AA" w:rsidRDefault="001044AA" w:rsidP="001044AA">
            <w:pPr>
              <w:spacing w:after="160" w:line="278" w:lineRule="auto"/>
            </w:pPr>
            <w:r w:rsidRPr="001044AA">
              <w:t>Fed policy uncertainty, US Administration transitions, and the "war premium" compression in the Strait of Hormuz.</w:t>
            </w:r>
          </w:p>
        </w:tc>
      </w:tr>
      <w:tr w:rsidR="001044AA" w:rsidRPr="001044AA" w14:paraId="1D7F9161" w14:textId="77777777" w:rsidTr="0008397B">
        <w:tc>
          <w:tcPr>
            <w:tcW w:w="0" w:type="auto"/>
            <w:hideMark/>
          </w:tcPr>
          <w:p w14:paraId="0D161AA9" w14:textId="77777777" w:rsidR="001044AA" w:rsidRPr="001044AA" w:rsidRDefault="001044AA" w:rsidP="001044AA">
            <w:pPr>
              <w:spacing w:after="160" w:line="278" w:lineRule="auto"/>
            </w:pPr>
            <w:r w:rsidRPr="001044AA">
              <w:rPr>
                <w:b/>
                <w:bCs/>
              </w:rPr>
              <w:t>Seasonal/Supply-Demand</w:t>
            </w:r>
          </w:p>
        </w:tc>
        <w:tc>
          <w:tcPr>
            <w:tcW w:w="0" w:type="auto"/>
            <w:hideMark/>
          </w:tcPr>
          <w:p w14:paraId="24098D54" w14:textId="77777777" w:rsidR="001044AA" w:rsidRPr="001044AA" w:rsidRDefault="001044AA" w:rsidP="001044AA">
            <w:pPr>
              <w:spacing w:after="160" w:line="278" w:lineRule="auto"/>
            </w:pPr>
            <w:r w:rsidRPr="001044AA">
              <w:t>Natural Gas March demand troughs, Soybean China demand peaks (May), and West African Cocoa stock accumulation.</w:t>
            </w:r>
          </w:p>
        </w:tc>
      </w:tr>
      <w:tr w:rsidR="001044AA" w:rsidRPr="001044AA" w14:paraId="6097617E" w14:textId="77777777" w:rsidTr="0008397B">
        <w:tc>
          <w:tcPr>
            <w:tcW w:w="0" w:type="auto"/>
            <w:hideMark/>
          </w:tcPr>
          <w:p w14:paraId="41F9031D" w14:textId="77777777" w:rsidR="001044AA" w:rsidRPr="001044AA" w:rsidRDefault="001044AA" w:rsidP="001044AA">
            <w:pPr>
              <w:spacing w:after="160" w:line="278" w:lineRule="auto"/>
            </w:pPr>
            <w:r w:rsidRPr="001044AA">
              <w:rPr>
                <w:b/>
                <w:bCs/>
              </w:rPr>
              <w:t>Technical/Volatility</w:t>
            </w:r>
          </w:p>
        </w:tc>
        <w:tc>
          <w:tcPr>
            <w:tcW w:w="0" w:type="auto"/>
            <w:hideMark/>
          </w:tcPr>
          <w:p w14:paraId="08F95751" w14:textId="77777777" w:rsidR="001044AA" w:rsidRPr="001044AA" w:rsidRDefault="001044AA" w:rsidP="001044AA">
            <w:pPr>
              <w:spacing w:after="160" w:line="278" w:lineRule="auto"/>
            </w:pPr>
            <w:r w:rsidRPr="001044AA">
              <w:t>Delta-neutral volatility harvesting in Silver/Gold; momentum-based shorting in Dutch TTF following trend breakdowns.</w:t>
            </w:r>
          </w:p>
        </w:tc>
      </w:tr>
    </w:tbl>
    <w:p w14:paraId="2BB9E5FF" w14:textId="77777777" w:rsidR="001044AA" w:rsidRDefault="001044AA"/>
    <w:p w14:paraId="2A88F4FF" w14:textId="77777777" w:rsidR="001044AA" w:rsidRPr="001044AA" w:rsidRDefault="001044AA" w:rsidP="001044AA">
      <w:r w:rsidRPr="001044AA">
        <w:rPr>
          <w:b/>
          <w:bCs/>
        </w:rPr>
        <w:t>Hypothesis Synthesis</w:t>
      </w:r>
    </w:p>
    <w:p w14:paraId="632BA830" w14:textId="77777777" w:rsidR="001044AA" w:rsidRPr="001044AA" w:rsidRDefault="001044AA" w:rsidP="001044AA">
      <w:pPr>
        <w:numPr>
          <w:ilvl w:val="0"/>
          <w:numId w:val="5"/>
        </w:numPr>
      </w:pPr>
      <w:r w:rsidRPr="001044AA">
        <w:rPr>
          <w:b/>
          <w:bCs/>
        </w:rPr>
        <w:t>Macro/Geopolitical:</w:t>
      </w:r>
      <w:r w:rsidRPr="001044AA">
        <w:t xml:space="preserve"> Entry logic was predicated on a Gold price rally fueled by Federal Reserve policy ambiguity and administrative transitions. Tactically, the strategy pivoted to shorting European energy (Dutch TTF) to capitalize on the rapid evaporation of the "war premium" as geopolitical tensions in the Strait of Hormuz cooled.</w:t>
      </w:r>
    </w:p>
    <w:p w14:paraId="1CE01334" w14:textId="77777777" w:rsidR="001044AA" w:rsidRPr="001044AA" w:rsidRDefault="001044AA" w:rsidP="001044AA">
      <w:pPr>
        <w:numPr>
          <w:ilvl w:val="0"/>
          <w:numId w:val="5"/>
        </w:numPr>
      </w:pPr>
      <w:r w:rsidRPr="001044AA">
        <w:rPr>
          <w:b/>
          <w:bCs/>
        </w:rPr>
        <w:t>Seasonal/Supply-Demand:</w:t>
      </w:r>
      <w:r w:rsidRPr="001044AA">
        <w:t xml:space="preserve"> The strategy utilized a seasonal bearish bias in Natural Gas, anticipating a price floor collapse by March. In agricultural markets, the hypothesis leaned on supply constraints in Ghana and West Africa for Cocoa, paired with recurring seasonal soybean purchase cycles from China.</w:t>
      </w:r>
    </w:p>
    <w:p w14:paraId="5B4D7C98" w14:textId="77777777" w:rsidR="001044AA" w:rsidRPr="001044AA" w:rsidRDefault="001044AA" w:rsidP="001044AA">
      <w:pPr>
        <w:numPr>
          <w:ilvl w:val="0"/>
          <w:numId w:val="5"/>
        </w:numPr>
      </w:pPr>
      <w:r w:rsidRPr="7865D146">
        <w:rPr>
          <w:b/>
          <w:bCs/>
        </w:rPr>
        <w:t>Technical/Volatility:</w:t>
      </w:r>
      <w:r>
        <w:t xml:space="preserve"> Strategy execution involved "Bet on Volatility" plays in the precious metals complex. By utilizing strangles and credit spreads, the portfolio sought to capture inflated premiums during tariff-driven Implied Volatility (IV) spikes, while using structural protection to mitigate tail risk.</w:t>
      </w:r>
    </w:p>
    <w:p w14:paraId="6D20B2B3" w14:textId="3BFCA714" w:rsidR="7865D146" w:rsidRDefault="7865D146" w:rsidP="7865D146">
      <w:pPr>
        <w:rPr>
          <w:b/>
          <w:bCs/>
        </w:rPr>
      </w:pPr>
    </w:p>
    <w:p w14:paraId="5D4AACC2" w14:textId="6D18D55C" w:rsidR="7EA3CBC8" w:rsidRDefault="7EA3CBC8" w:rsidP="7EA3CBC8">
      <w:pPr>
        <w:rPr>
          <w:b/>
          <w:bCs/>
        </w:rPr>
      </w:pPr>
    </w:p>
    <w:p w14:paraId="64368239" w14:textId="5793151B" w:rsidR="7EA3CBC8" w:rsidRDefault="7EA3CBC8" w:rsidP="7EA3CBC8">
      <w:pPr>
        <w:rPr>
          <w:b/>
          <w:bCs/>
        </w:rPr>
      </w:pPr>
    </w:p>
    <w:p w14:paraId="6EE3D8B8" w14:textId="52A09985" w:rsidR="7EA3CBC8" w:rsidRDefault="7EA3CBC8" w:rsidP="7EA3CBC8">
      <w:pPr>
        <w:rPr>
          <w:b/>
          <w:bCs/>
        </w:rPr>
      </w:pPr>
    </w:p>
    <w:p w14:paraId="33C0990D" w14:textId="480269AE" w:rsidR="7EA3CBC8" w:rsidRDefault="7EA3CBC8" w:rsidP="7EA3CBC8">
      <w:pPr>
        <w:rPr>
          <w:b/>
          <w:bCs/>
        </w:rPr>
      </w:pPr>
    </w:p>
    <w:p w14:paraId="7B8F1EF6" w14:textId="77777777" w:rsidR="001044AA" w:rsidRPr="001044AA" w:rsidRDefault="001044AA" w:rsidP="001044AA">
      <w:pPr>
        <w:rPr>
          <w:b/>
          <w:bCs/>
        </w:rPr>
      </w:pPr>
      <w:r w:rsidRPr="001044AA">
        <w:rPr>
          <w:b/>
          <w:bCs/>
        </w:rPr>
        <w:t>2. Comprehensive Performance Summary</w:t>
      </w:r>
    </w:p>
    <w:p w14:paraId="3CA3B722" w14:textId="566B1AA5" w:rsidR="001044AA" w:rsidRPr="001044AA" w:rsidRDefault="001044AA" w:rsidP="001044AA">
      <w:r w:rsidRPr="001044AA">
        <w:t>The Individual Demo account underwent a severe capital contraction during the 8-week period ending March 20, 2026.</w:t>
      </w:r>
    </w:p>
    <w:p w14:paraId="6FB55F40" w14:textId="77777777" w:rsidR="001044AA" w:rsidRPr="001044AA" w:rsidRDefault="001044AA" w:rsidP="001044AA">
      <w:r w:rsidRPr="001044AA">
        <w:rPr>
          <w:b/>
          <w:bCs/>
        </w:rPr>
        <w:t>High-Level Account Metrics</w:t>
      </w:r>
    </w:p>
    <w:p w14:paraId="1C141A88" w14:textId="77777777" w:rsidR="001044AA" w:rsidRPr="001044AA" w:rsidRDefault="001044AA" w:rsidP="001044AA">
      <w:pPr>
        <w:numPr>
          <w:ilvl w:val="0"/>
          <w:numId w:val="6"/>
        </w:numPr>
      </w:pPr>
      <w:r w:rsidRPr="001044AA">
        <w:rPr>
          <w:b/>
          <w:bCs/>
        </w:rPr>
        <w:t>Starting Net Asset Value:</w:t>
      </w:r>
      <w:r w:rsidRPr="001044AA">
        <w:t xml:space="preserve"> $1,000,000.00 </w:t>
      </w:r>
    </w:p>
    <w:p w14:paraId="4A4A85AF" w14:textId="77777777" w:rsidR="001044AA" w:rsidRPr="001044AA" w:rsidRDefault="001044AA" w:rsidP="001044AA">
      <w:pPr>
        <w:numPr>
          <w:ilvl w:val="0"/>
          <w:numId w:val="6"/>
        </w:numPr>
      </w:pPr>
      <w:r w:rsidRPr="001044AA">
        <w:rPr>
          <w:b/>
          <w:bCs/>
        </w:rPr>
        <w:t>Ending Net Asset Value:</w:t>
      </w:r>
      <w:r w:rsidRPr="001044AA">
        <w:t xml:space="preserve"> $549,839.44 </w:t>
      </w:r>
    </w:p>
    <w:p w14:paraId="27F75FD8" w14:textId="77777777" w:rsidR="001044AA" w:rsidRPr="001044AA" w:rsidRDefault="001044AA" w:rsidP="001044AA">
      <w:pPr>
        <w:numPr>
          <w:ilvl w:val="0"/>
          <w:numId w:val="6"/>
        </w:numPr>
      </w:pPr>
      <w:r w:rsidRPr="001044AA">
        <w:rPr>
          <w:b/>
          <w:bCs/>
        </w:rPr>
        <w:t>Total Change in NAV:</w:t>
      </w:r>
      <w:r w:rsidRPr="001044AA">
        <w:t xml:space="preserve"> -$450,160.56 </w:t>
      </w:r>
    </w:p>
    <w:p w14:paraId="5824B011" w14:textId="77777777" w:rsidR="001044AA" w:rsidRPr="001044AA" w:rsidRDefault="001044AA" w:rsidP="001044AA">
      <w:pPr>
        <w:numPr>
          <w:ilvl w:val="0"/>
          <w:numId w:val="6"/>
        </w:numPr>
      </w:pPr>
      <w:r w:rsidRPr="001044AA">
        <w:rPr>
          <w:b/>
          <w:bCs/>
        </w:rPr>
        <w:t>Time-Weighted Rate of Return:</w:t>
      </w:r>
      <w:r w:rsidRPr="001044AA">
        <w:t xml:space="preserve"> -45.02% </w:t>
      </w:r>
    </w:p>
    <w:p w14:paraId="12836AC6" w14:textId="77777777" w:rsidR="001044AA" w:rsidRPr="001044AA" w:rsidRDefault="001044AA" w:rsidP="001044AA">
      <w:r w:rsidRPr="001044AA">
        <w:rPr>
          <w:b/>
          <w:bCs/>
        </w:rPr>
        <w:t>P&amp;L Breakdown by Asset Class</w:t>
      </w:r>
    </w:p>
    <w:tbl>
      <w:tblPr>
        <w:tblStyle w:val="TableGrid"/>
        <w:tblW w:w="0" w:type="auto"/>
        <w:tblLook w:val="04A0" w:firstRow="1" w:lastRow="0" w:firstColumn="1" w:lastColumn="0" w:noHBand="0" w:noVBand="1"/>
      </w:tblPr>
      <w:tblGrid>
        <w:gridCol w:w="3858"/>
        <w:gridCol w:w="1629"/>
        <w:gridCol w:w="1523"/>
        <w:gridCol w:w="2006"/>
      </w:tblGrid>
      <w:tr w:rsidR="001044AA" w:rsidRPr="001044AA" w14:paraId="44F58573" w14:textId="77777777" w:rsidTr="0008397B">
        <w:tc>
          <w:tcPr>
            <w:tcW w:w="0" w:type="auto"/>
            <w:hideMark/>
          </w:tcPr>
          <w:p w14:paraId="305A1C07" w14:textId="77777777" w:rsidR="001044AA" w:rsidRPr="001044AA" w:rsidRDefault="001044AA" w:rsidP="001044AA">
            <w:pPr>
              <w:spacing w:after="160" w:line="278" w:lineRule="auto"/>
            </w:pPr>
            <w:r w:rsidRPr="001044AA">
              <w:rPr>
                <w:b/>
                <w:bCs/>
              </w:rPr>
              <w:t>Asset Class</w:t>
            </w:r>
          </w:p>
        </w:tc>
        <w:tc>
          <w:tcPr>
            <w:tcW w:w="0" w:type="auto"/>
            <w:hideMark/>
          </w:tcPr>
          <w:p w14:paraId="0BF205CC" w14:textId="77777777" w:rsidR="001044AA" w:rsidRPr="001044AA" w:rsidRDefault="001044AA" w:rsidP="001044AA">
            <w:pPr>
              <w:spacing w:after="160" w:line="278" w:lineRule="auto"/>
            </w:pPr>
            <w:r w:rsidRPr="001044AA">
              <w:rPr>
                <w:b/>
                <w:bCs/>
              </w:rPr>
              <w:t>Total Realized P/L</w:t>
            </w:r>
          </w:p>
        </w:tc>
        <w:tc>
          <w:tcPr>
            <w:tcW w:w="0" w:type="auto"/>
            <w:hideMark/>
          </w:tcPr>
          <w:p w14:paraId="5ED52100" w14:textId="77777777" w:rsidR="001044AA" w:rsidRPr="001044AA" w:rsidRDefault="001044AA" w:rsidP="001044AA">
            <w:pPr>
              <w:spacing w:after="160" w:line="278" w:lineRule="auto"/>
            </w:pPr>
            <w:r w:rsidRPr="001044AA">
              <w:rPr>
                <w:b/>
                <w:bCs/>
              </w:rPr>
              <w:t>MTM P/L</w:t>
            </w:r>
          </w:p>
        </w:tc>
        <w:tc>
          <w:tcPr>
            <w:tcW w:w="0" w:type="auto"/>
            <w:hideMark/>
          </w:tcPr>
          <w:p w14:paraId="315FD830" w14:textId="77777777" w:rsidR="001044AA" w:rsidRPr="001044AA" w:rsidRDefault="001044AA" w:rsidP="001044AA">
            <w:pPr>
              <w:spacing w:after="160" w:line="278" w:lineRule="auto"/>
            </w:pPr>
            <w:r w:rsidRPr="001044AA">
              <w:rPr>
                <w:b/>
                <w:bCs/>
              </w:rPr>
              <w:t>% Impact on Starting Capital (Realized + MTM)</w:t>
            </w:r>
          </w:p>
        </w:tc>
      </w:tr>
      <w:tr w:rsidR="001044AA" w:rsidRPr="001044AA" w14:paraId="75E63605" w14:textId="77777777" w:rsidTr="0008397B">
        <w:tc>
          <w:tcPr>
            <w:tcW w:w="0" w:type="auto"/>
            <w:hideMark/>
          </w:tcPr>
          <w:p w14:paraId="1A0D68B8" w14:textId="77777777" w:rsidR="001044AA" w:rsidRPr="001044AA" w:rsidRDefault="001044AA" w:rsidP="001044AA">
            <w:pPr>
              <w:spacing w:after="160" w:line="278" w:lineRule="auto"/>
            </w:pPr>
            <w:r w:rsidRPr="001044AA">
              <w:rPr>
                <w:b/>
                <w:bCs/>
              </w:rPr>
              <w:t>Futures</w:t>
            </w:r>
          </w:p>
        </w:tc>
        <w:tc>
          <w:tcPr>
            <w:tcW w:w="0" w:type="auto"/>
            <w:hideMark/>
          </w:tcPr>
          <w:p w14:paraId="0F770974" w14:textId="77777777" w:rsidR="001044AA" w:rsidRPr="001044AA" w:rsidRDefault="001044AA" w:rsidP="001044AA">
            <w:pPr>
              <w:spacing w:after="160" w:line="278" w:lineRule="auto"/>
            </w:pPr>
            <w:r w:rsidRPr="001044AA">
              <w:t>-$131,885.83</w:t>
            </w:r>
          </w:p>
        </w:tc>
        <w:tc>
          <w:tcPr>
            <w:tcW w:w="0" w:type="auto"/>
            <w:hideMark/>
          </w:tcPr>
          <w:p w14:paraId="64B259DD" w14:textId="77777777" w:rsidR="001044AA" w:rsidRPr="001044AA" w:rsidRDefault="001044AA" w:rsidP="001044AA">
            <w:pPr>
              <w:spacing w:after="160" w:line="278" w:lineRule="auto"/>
            </w:pPr>
            <w:r w:rsidRPr="001044AA">
              <w:t>-$105,081.18</w:t>
            </w:r>
          </w:p>
        </w:tc>
        <w:tc>
          <w:tcPr>
            <w:tcW w:w="0" w:type="auto"/>
            <w:hideMark/>
          </w:tcPr>
          <w:p w14:paraId="292E725E" w14:textId="77777777" w:rsidR="001044AA" w:rsidRPr="001044AA" w:rsidRDefault="001044AA" w:rsidP="001044AA">
            <w:pPr>
              <w:spacing w:after="160" w:line="278" w:lineRule="auto"/>
            </w:pPr>
            <w:r w:rsidRPr="001044AA">
              <w:rPr>
                <w:b/>
                <w:bCs/>
              </w:rPr>
              <w:t>-23.70%</w:t>
            </w:r>
          </w:p>
        </w:tc>
      </w:tr>
      <w:tr w:rsidR="001044AA" w:rsidRPr="001044AA" w14:paraId="5B843D9D" w14:textId="77777777" w:rsidTr="0008397B">
        <w:tc>
          <w:tcPr>
            <w:tcW w:w="0" w:type="auto"/>
            <w:hideMark/>
          </w:tcPr>
          <w:p w14:paraId="1BB34EA9" w14:textId="77777777" w:rsidR="001044AA" w:rsidRPr="001044AA" w:rsidRDefault="001044AA" w:rsidP="001044AA">
            <w:pPr>
              <w:spacing w:after="160" w:line="278" w:lineRule="auto"/>
            </w:pPr>
            <w:r w:rsidRPr="001044AA">
              <w:rPr>
                <w:b/>
                <w:bCs/>
              </w:rPr>
              <w:t>Options on Futures</w:t>
            </w:r>
          </w:p>
        </w:tc>
        <w:tc>
          <w:tcPr>
            <w:tcW w:w="0" w:type="auto"/>
            <w:hideMark/>
          </w:tcPr>
          <w:p w14:paraId="48DD7226" w14:textId="77777777" w:rsidR="001044AA" w:rsidRPr="001044AA" w:rsidRDefault="001044AA" w:rsidP="001044AA">
            <w:pPr>
              <w:spacing w:after="160" w:line="278" w:lineRule="auto"/>
            </w:pPr>
            <w:r w:rsidRPr="001044AA">
              <w:t>-$221,784.98</w:t>
            </w:r>
          </w:p>
        </w:tc>
        <w:tc>
          <w:tcPr>
            <w:tcW w:w="0" w:type="auto"/>
            <w:hideMark/>
          </w:tcPr>
          <w:p w14:paraId="727103F4" w14:textId="77777777" w:rsidR="001044AA" w:rsidRPr="001044AA" w:rsidRDefault="001044AA" w:rsidP="001044AA">
            <w:pPr>
              <w:spacing w:after="160" w:line="278" w:lineRule="auto"/>
            </w:pPr>
            <w:r w:rsidRPr="001044AA">
              <w:t>-$347,339.32</w:t>
            </w:r>
          </w:p>
        </w:tc>
        <w:tc>
          <w:tcPr>
            <w:tcW w:w="0" w:type="auto"/>
            <w:hideMark/>
          </w:tcPr>
          <w:p w14:paraId="74B193E9" w14:textId="77777777" w:rsidR="001044AA" w:rsidRPr="001044AA" w:rsidRDefault="001044AA" w:rsidP="001044AA">
            <w:pPr>
              <w:spacing w:after="160" w:line="278" w:lineRule="auto"/>
            </w:pPr>
            <w:r w:rsidRPr="001044AA">
              <w:rPr>
                <w:b/>
                <w:bCs/>
              </w:rPr>
              <w:t>-56.91%</w:t>
            </w:r>
          </w:p>
        </w:tc>
      </w:tr>
      <w:tr w:rsidR="001044AA" w:rsidRPr="001044AA" w14:paraId="283B5D88" w14:textId="77777777" w:rsidTr="0008397B">
        <w:tc>
          <w:tcPr>
            <w:tcW w:w="0" w:type="auto"/>
            <w:hideMark/>
          </w:tcPr>
          <w:p w14:paraId="7B3CA67E" w14:textId="77777777" w:rsidR="001044AA" w:rsidRPr="001044AA" w:rsidRDefault="001044AA" w:rsidP="001044AA">
            <w:pPr>
              <w:spacing w:after="160" w:line="278" w:lineRule="auto"/>
            </w:pPr>
            <w:r w:rsidRPr="001044AA">
              <w:rPr>
                <w:b/>
                <w:bCs/>
              </w:rPr>
              <w:t>Equity and Index Options</w:t>
            </w:r>
          </w:p>
        </w:tc>
        <w:tc>
          <w:tcPr>
            <w:tcW w:w="0" w:type="auto"/>
            <w:hideMark/>
          </w:tcPr>
          <w:p w14:paraId="60CC36A5" w14:textId="77777777" w:rsidR="001044AA" w:rsidRPr="001044AA" w:rsidRDefault="001044AA" w:rsidP="001044AA">
            <w:pPr>
              <w:spacing w:after="160" w:line="278" w:lineRule="auto"/>
            </w:pPr>
            <w:r w:rsidRPr="001044AA">
              <w:t>$34.64</w:t>
            </w:r>
          </w:p>
        </w:tc>
        <w:tc>
          <w:tcPr>
            <w:tcW w:w="0" w:type="auto"/>
            <w:hideMark/>
          </w:tcPr>
          <w:p w14:paraId="15592FFC" w14:textId="77777777" w:rsidR="001044AA" w:rsidRPr="001044AA" w:rsidRDefault="001044AA" w:rsidP="001044AA">
            <w:pPr>
              <w:spacing w:after="160" w:line="278" w:lineRule="auto"/>
            </w:pPr>
            <w:r w:rsidRPr="001044AA">
              <w:t>$34.64</w:t>
            </w:r>
          </w:p>
        </w:tc>
        <w:tc>
          <w:tcPr>
            <w:tcW w:w="0" w:type="auto"/>
            <w:hideMark/>
          </w:tcPr>
          <w:p w14:paraId="19929A6F" w14:textId="77777777" w:rsidR="001044AA" w:rsidRPr="001044AA" w:rsidRDefault="001044AA" w:rsidP="001044AA">
            <w:pPr>
              <w:spacing w:after="160" w:line="278" w:lineRule="auto"/>
            </w:pPr>
            <w:r w:rsidRPr="001044AA">
              <w:rPr>
                <w:b/>
                <w:bCs/>
              </w:rPr>
              <w:t>0.00%</w:t>
            </w:r>
          </w:p>
        </w:tc>
      </w:tr>
      <w:tr w:rsidR="001044AA" w:rsidRPr="001044AA" w14:paraId="0325C4BD" w14:textId="77777777" w:rsidTr="0008397B">
        <w:tc>
          <w:tcPr>
            <w:tcW w:w="0" w:type="auto"/>
            <w:hideMark/>
          </w:tcPr>
          <w:p w14:paraId="087FEFA5" w14:textId="77777777" w:rsidR="001044AA" w:rsidRPr="001044AA" w:rsidRDefault="001044AA" w:rsidP="001044AA">
            <w:pPr>
              <w:spacing w:after="160" w:line="278" w:lineRule="auto"/>
            </w:pPr>
            <w:r w:rsidRPr="001044AA">
              <w:rPr>
                <w:i/>
                <w:iCs/>
              </w:rPr>
              <w:t>(Note: Total percentage impact accounts for overlapping realized/unrealized offsets during the period).</w:t>
            </w:r>
          </w:p>
        </w:tc>
        <w:tc>
          <w:tcPr>
            <w:tcW w:w="0" w:type="auto"/>
            <w:hideMark/>
          </w:tcPr>
          <w:p w14:paraId="2F193A20" w14:textId="77777777" w:rsidR="001044AA" w:rsidRPr="001044AA" w:rsidRDefault="001044AA" w:rsidP="001044AA">
            <w:pPr>
              <w:spacing w:after="160" w:line="278" w:lineRule="auto"/>
            </w:pPr>
          </w:p>
        </w:tc>
        <w:tc>
          <w:tcPr>
            <w:tcW w:w="0" w:type="auto"/>
            <w:hideMark/>
          </w:tcPr>
          <w:p w14:paraId="75D7A567" w14:textId="77777777" w:rsidR="001044AA" w:rsidRPr="001044AA" w:rsidRDefault="001044AA" w:rsidP="001044AA">
            <w:pPr>
              <w:spacing w:after="160" w:line="278" w:lineRule="auto"/>
            </w:pPr>
          </w:p>
        </w:tc>
        <w:tc>
          <w:tcPr>
            <w:tcW w:w="0" w:type="auto"/>
            <w:hideMark/>
          </w:tcPr>
          <w:p w14:paraId="6CF16111" w14:textId="77777777" w:rsidR="001044AA" w:rsidRPr="001044AA" w:rsidRDefault="001044AA" w:rsidP="001044AA">
            <w:pPr>
              <w:spacing w:after="160" w:line="278" w:lineRule="auto"/>
            </w:pPr>
          </w:p>
        </w:tc>
      </w:tr>
    </w:tbl>
    <w:p w14:paraId="3E9C3B42" w14:textId="77777777" w:rsidR="001044AA" w:rsidRDefault="001044AA"/>
    <w:tbl>
      <w:tblPr>
        <w:tblStyle w:val="TableGrid"/>
        <w:tblW w:w="9344" w:type="dxa"/>
        <w:tblLook w:val="04A0" w:firstRow="1" w:lastRow="0" w:firstColumn="1" w:lastColumn="0" w:noHBand="0" w:noVBand="1"/>
      </w:tblPr>
      <w:tblGrid>
        <w:gridCol w:w="1793"/>
        <w:gridCol w:w="1543"/>
        <w:gridCol w:w="1560"/>
        <w:gridCol w:w="4448"/>
      </w:tblGrid>
      <w:tr w:rsidR="0008397B" w:rsidRPr="0008397B" w14:paraId="3768C286" w14:textId="77777777" w:rsidTr="0008397B">
        <w:tc>
          <w:tcPr>
            <w:tcW w:w="0" w:type="auto"/>
            <w:hideMark/>
          </w:tcPr>
          <w:p w14:paraId="3D5FE80B" w14:textId="77777777" w:rsidR="0008397B" w:rsidRPr="0008397B" w:rsidRDefault="0008397B" w:rsidP="0008397B">
            <w:pPr>
              <w:spacing w:after="160" w:line="278" w:lineRule="auto"/>
              <w:rPr>
                <w:b/>
                <w:bCs/>
              </w:rPr>
            </w:pPr>
            <w:r w:rsidRPr="0008397B">
              <w:rPr>
                <w:b/>
                <w:bCs/>
              </w:rPr>
              <w:t>Symbol</w:t>
            </w:r>
          </w:p>
        </w:tc>
        <w:tc>
          <w:tcPr>
            <w:tcW w:w="0" w:type="auto"/>
            <w:hideMark/>
          </w:tcPr>
          <w:p w14:paraId="2355B601" w14:textId="77777777" w:rsidR="0008397B" w:rsidRPr="0008397B" w:rsidRDefault="0008397B" w:rsidP="0008397B">
            <w:pPr>
              <w:spacing w:after="160" w:line="278" w:lineRule="auto"/>
              <w:rPr>
                <w:b/>
                <w:bCs/>
              </w:rPr>
            </w:pPr>
            <w:r w:rsidRPr="0008397B">
              <w:rPr>
                <w:b/>
                <w:bCs/>
              </w:rPr>
              <w:t>Total P/L</w:t>
            </w:r>
          </w:p>
        </w:tc>
        <w:tc>
          <w:tcPr>
            <w:tcW w:w="0" w:type="auto"/>
            <w:hideMark/>
          </w:tcPr>
          <w:p w14:paraId="2A340D32" w14:textId="77777777" w:rsidR="0008397B" w:rsidRPr="0008397B" w:rsidRDefault="0008397B" w:rsidP="0008397B">
            <w:pPr>
              <w:spacing w:after="160" w:line="278" w:lineRule="auto"/>
              <w:rPr>
                <w:b/>
                <w:bCs/>
              </w:rPr>
            </w:pPr>
            <w:r w:rsidRPr="0008397B">
              <w:rPr>
                <w:b/>
                <w:bCs/>
              </w:rPr>
              <w:t>% of Starting Capital</w:t>
            </w:r>
          </w:p>
        </w:tc>
        <w:tc>
          <w:tcPr>
            <w:tcW w:w="0" w:type="auto"/>
            <w:hideMark/>
          </w:tcPr>
          <w:p w14:paraId="29EAFFEC" w14:textId="77777777" w:rsidR="0008397B" w:rsidRPr="0008397B" w:rsidRDefault="0008397B" w:rsidP="0008397B">
            <w:pPr>
              <w:spacing w:after="160" w:line="278" w:lineRule="auto"/>
              <w:rPr>
                <w:b/>
                <w:bCs/>
              </w:rPr>
            </w:pPr>
            <w:r w:rsidRPr="0008397B">
              <w:rPr>
                <w:b/>
                <w:bCs/>
              </w:rPr>
              <w:t>Performance Note</w:t>
            </w:r>
          </w:p>
        </w:tc>
      </w:tr>
      <w:tr w:rsidR="0008397B" w:rsidRPr="0008397B" w14:paraId="44A53DFF" w14:textId="77777777" w:rsidTr="0008397B">
        <w:tc>
          <w:tcPr>
            <w:tcW w:w="0" w:type="auto"/>
            <w:hideMark/>
          </w:tcPr>
          <w:p w14:paraId="48FB5496" w14:textId="77777777" w:rsidR="0008397B" w:rsidRPr="0008397B" w:rsidRDefault="0008397B" w:rsidP="0008397B">
            <w:pPr>
              <w:spacing w:after="160" w:line="278" w:lineRule="auto"/>
              <w:rPr>
                <w:b/>
                <w:bCs/>
              </w:rPr>
            </w:pPr>
            <w:r w:rsidRPr="0008397B">
              <w:rPr>
                <w:b/>
                <w:bCs/>
              </w:rPr>
              <w:lastRenderedPageBreak/>
              <w:t>CC JUN26 4000 C</w:t>
            </w:r>
          </w:p>
        </w:tc>
        <w:tc>
          <w:tcPr>
            <w:tcW w:w="0" w:type="auto"/>
            <w:hideMark/>
          </w:tcPr>
          <w:p w14:paraId="6CE8EA63" w14:textId="77777777" w:rsidR="0008397B" w:rsidRPr="0008397B" w:rsidRDefault="0008397B" w:rsidP="0008397B">
            <w:pPr>
              <w:spacing w:after="160" w:line="278" w:lineRule="auto"/>
              <w:rPr>
                <w:b/>
                <w:bCs/>
              </w:rPr>
            </w:pPr>
            <w:r w:rsidRPr="0008397B">
              <w:rPr>
                <w:b/>
                <w:bCs/>
              </w:rPr>
              <w:t>+$42,617.63</w:t>
            </w:r>
          </w:p>
        </w:tc>
        <w:tc>
          <w:tcPr>
            <w:tcW w:w="0" w:type="auto"/>
            <w:hideMark/>
          </w:tcPr>
          <w:p w14:paraId="3E74C762" w14:textId="77777777" w:rsidR="0008397B" w:rsidRPr="0008397B" w:rsidRDefault="0008397B" w:rsidP="0008397B">
            <w:pPr>
              <w:spacing w:after="160" w:line="278" w:lineRule="auto"/>
              <w:rPr>
                <w:b/>
                <w:bCs/>
              </w:rPr>
            </w:pPr>
            <w:r w:rsidRPr="0008397B">
              <w:rPr>
                <w:b/>
                <w:bCs/>
              </w:rPr>
              <w:t>+4.26%</w:t>
            </w:r>
          </w:p>
        </w:tc>
        <w:tc>
          <w:tcPr>
            <w:tcW w:w="0" w:type="auto"/>
            <w:hideMark/>
          </w:tcPr>
          <w:p w14:paraId="2111D857" w14:textId="77777777" w:rsidR="0008397B" w:rsidRPr="0008397B" w:rsidRDefault="0008397B" w:rsidP="0008397B">
            <w:pPr>
              <w:spacing w:after="160" w:line="278" w:lineRule="auto"/>
              <w:rPr>
                <w:b/>
                <w:bCs/>
              </w:rPr>
            </w:pPr>
            <w:r w:rsidRPr="0008397B">
              <w:rPr>
                <w:b/>
                <w:bCs/>
              </w:rPr>
              <w:t>Single largest winner; open short position benefiting from favorable price decay/move.</w:t>
            </w:r>
          </w:p>
        </w:tc>
      </w:tr>
      <w:tr w:rsidR="0008397B" w:rsidRPr="0008397B" w14:paraId="4E1B7F2F" w14:textId="77777777" w:rsidTr="0008397B">
        <w:tc>
          <w:tcPr>
            <w:tcW w:w="0" w:type="auto"/>
            <w:hideMark/>
          </w:tcPr>
          <w:p w14:paraId="124848EA" w14:textId="77777777" w:rsidR="0008397B" w:rsidRPr="0008397B" w:rsidRDefault="0008397B" w:rsidP="0008397B">
            <w:pPr>
              <w:spacing w:after="160" w:line="278" w:lineRule="auto"/>
              <w:rPr>
                <w:b/>
                <w:bCs/>
              </w:rPr>
            </w:pPr>
            <w:r w:rsidRPr="0008397B">
              <w:rPr>
                <w:b/>
                <w:bCs/>
              </w:rPr>
              <w:t>GC MAY26 5400 C</w:t>
            </w:r>
          </w:p>
        </w:tc>
        <w:tc>
          <w:tcPr>
            <w:tcW w:w="0" w:type="auto"/>
            <w:hideMark/>
          </w:tcPr>
          <w:p w14:paraId="7A21F459" w14:textId="77777777" w:rsidR="0008397B" w:rsidRPr="0008397B" w:rsidRDefault="0008397B" w:rsidP="0008397B">
            <w:pPr>
              <w:spacing w:after="160" w:line="278" w:lineRule="auto"/>
              <w:rPr>
                <w:b/>
                <w:bCs/>
              </w:rPr>
            </w:pPr>
            <w:r w:rsidRPr="0008397B">
              <w:rPr>
                <w:b/>
                <w:bCs/>
              </w:rPr>
              <w:t>-$248,705.36</w:t>
            </w:r>
          </w:p>
        </w:tc>
        <w:tc>
          <w:tcPr>
            <w:tcW w:w="0" w:type="auto"/>
            <w:hideMark/>
          </w:tcPr>
          <w:p w14:paraId="03A7F525" w14:textId="77777777" w:rsidR="0008397B" w:rsidRPr="0008397B" w:rsidRDefault="0008397B" w:rsidP="0008397B">
            <w:pPr>
              <w:spacing w:after="160" w:line="278" w:lineRule="auto"/>
              <w:rPr>
                <w:b/>
                <w:bCs/>
              </w:rPr>
            </w:pPr>
            <w:r w:rsidRPr="0008397B">
              <w:rPr>
                <w:b/>
                <w:bCs/>
              </w:rPr>
              <w:t>-24.87%</w:t>
            </w:r>
          </w:p>
        </w:tc>
        <w:tc>
          <w:tcPr>
            <w:tcW w:w="0" w:type="auto"/>
            <w:hideMark/>
          </w:tcPr>
          <w:p w14:paraId="5D7434D4" w14:textId="77777777" w:rsidR="0008397B" w:rsidRPr="0008397B" w:rsidRDefault="0008397B" w:rsidP="0008397B">
            <w:pPr>
              <w:spacing w:after="160" w:line="278" w:lineRule="auto"/>
              <w:rPr>
                <w:b/>
                <w:bCs/>
              </w:rPr>
            </w:pPr>
            <w:r w:rsidRPr="0008397B">
              <w:rPr>
                <w:b/>
                <w:bCs/>
              </w:rPr>
              <w:t>Single largest loss; open long position devastated by adverse Gold price action.</w:t>
            </w:r>
          </w:p>
        </w:tc>
      </w:tr>
      <w:tr w:rsidR="0008397B" w:rsidRPr="0008397B" w14:paraId="11341F57" w14:textId="77777777" w:rsidTr="0008397B">
        <w:tc>
          <w:tcPr>
            <w:tcW w:w="0" w:type="auto"/>
            <w:hideMark/>
          </w:tcPr>
          <w:p w14:paraId="0FEB0392" w14:textId="77777777" w:rsidR="0008397B" w:rsidRPr="0008397B" w:rsidRDefault="0008397B" w:rsidP="0008397B">
            <w:pPr>
              <w:spacing w:after="160" w:line="278" w:lineRule="auto"/>
              <w:rPr>
                <w:b/>
                <w:bCs/>
              </w:rPr>
            </w:pPr>
            <w:r w:rsidRPr="0008397B">
              <w:rPr>
                <w:b/>
                <w:bCs/>
              </w:rPr>
              <w:t>Dutch TTF (TFMJ6/K6)</w:t>
            </w:r>
          </w:p>
        </w:tc>
        <w:tc>
          <w:tcPr>
            <w:tcW w:w="0" w:type="auto"/>
            <w:hideMark/>
          </w:tcPr>
          <w:p w14:paraId="45F4B52E" w14:textId="77777777" w:rsidR="0008397B" w:rsidRPr="0008397B" w:rsidRDefault="0008397B" w:rsidP="0008397B">
            <w:pPr>
              <w:spacing w:after="160" w:line="278" w:lineRule="auto"/>
              <w:rPr>
                <w:b/>
                <w:bCs/>
              </w:rPr>
            </w:pPr>
            <w:r w:rsidRPr="0008397B">
              <w:rPr>
                <w:b/>
                <w:bCs/>
              </w:rPr>
              <w:t>-$96,594.31</w:t>
            </w:r>
          </w:p>
        </w:tc>
        <w:tc>
          <w:tcPr>
            <w:tcW w:w="0" w:type="auto"/>
            <w:hideMark/>
          </w:tcPr>
          <w:p w14:paraId="57D787F1" w14:textId="77777777" w:rsidR="0008397B" w:rsidRPr="0008397B" w:rsidRDefault="0008397B" w:rsidP="0008397B">
            <w:pPr>
              <w:spacing w:after="160" w:line="278" w:lineRule="auto"/>
              <w:rPr>
                <w:b/>
                <w:bCs/>
              </w:rPr>
            </w:pPr>
            <w:r w:rsidRPr="0008397B">
              <w:rPr>
                <w:b/>
                <w:bCs/>
              </w:rPr>
              <w:t>-9.66%</w:t>
            </w:r>
          </w:p>
        </w:tc>
        <w:tc>
          <w:tcPr>
            <w:tcW w:w="0" w:type="auto"/>
            <w:hideMark/>
          </w:tcPr>
          <w:p w14:paraId="0287076A" w14:textId="77777777" w:rsidR="0008397B" w:rsidRPr="0008397B" w:rsidRDefault="0008397B" w:rsidP="0008397B">
            <w:pPr>
              <w:spacing w:after="160" w:line="278" w:lineRule="auto"/>
              <w:rPr>
                <w:b/>
                <w:bCs/>
              </w:rPr>
            </w:pPr>
            <w:r w:rsidRPr="0008397B">
              <w:rPr>
                <w:b/>
                <w:bCs/>
              </w:rPr>
              <w:t>Significant realized loss; failed directional momentum play in European energy.</w:t>
            </w:r>
          </w:p>
        </w:tc>
      </w:tr>
      <w:tr w:rsidR="0008397B" w:rsidRPr="0008397B" w14:paraId="35D9FC9C" w14:textId="77777777" w:rsidTr="0008397B">
        <w:tc>
          <w:tcPr>
            <w:tcW w:w="0" w:type="auto"/>
            <w:hideMark/>
          </w:tcPr>
          <w:p w14:paraId="17A2F812" w14:textId="77777777" w:rsidR="0008397B" w:rsidRPr="0008397B" w:rsidRDefault="0008397B" w:rsidP="0008397B">
            <w:pPr>
              <w:spacing w:after="160" w:line="278" w:lineRule="auto"/>
              <w:rPr>
                <w:b/>
                <w:bCs/>
              </w:rPr>
            </w:pPr>
            <w:r w:rsidRPr="0008397B">
              <w:rPr>
                <w:b/>
                <w:bCs/>
              </w:rPr>
              <w:t>GC MAY26 5150 C</w:t>
            </w:r>
          </w:p>
        </w:tc>
        <w:tc>
          <w:tcPr>
            <w:tcW w:w="0" w:type="auto"/>
            <w:hideMark/>
          </w:tcPr>
          <w:p w14:paraId="62137C24" w14:textId="77777777" w:rsidR="0008397B" w:rsidRPr="0008397B" w:rsidRDefault="0008397B" w:rsidP="0008397B">
            <w:pPr>
              <w:spacing w:after="160" w:line="278" w:lineRule="auto"/>
              <w:rPr>
                <w:b/>
                <w:bCs/>
              </w:rPr>
            </w:pPr>
            <w:r w:rsidRPr="0008397B">
              <w:rPr>
                <w:b/>
                <w:bCs/>
              </w:rPr>
              <w:t>-$62,655.28</w:t>
            </w:r>
          </w:p>
        </w:tc>
        <w:tc>
          <w:tcPr>
            <w:tcW w:w="0" w:type="auto"/>
            <w:hideMark/>
          </w:tcPr>
          <w:p w14:paraId="208E545C" w14:textId="77777777" w:rsidR="0008397B" w:rsidRPr="0008397B" w:rsidRDefault="0008397B" w:rsidP="0008397B">
            <w:pPr>
              <w:spacing w:after="160" w:line="278" w:lineRule="auto"/>
              <w:rPr>
                <w:b/>
                <w:bCs/>
              </w:rPr>
            </w:pPr>
            <w:r w:rsidRPr="0008397B">
              <w:rPr>
                <w:b/>
                <w:bCs/>
              </w:rPr>
              <w:t>-6.27%</w:t>
            </w:r>
          </w:p>
        </w:tc>
        <w:tc>
          <w:tcPr>
            <w:tcW w:w="0" w:type="auto"/>
            <w:hideMark/>
          </w:tcPr>
          <w:p w14:paraId="0F471AC0" w14:textId="77777777" w:rsidR="0008397B" w:rsidRPr="0008397B" w:rsidRDefault="0008397B" w:rsidP="0008397B">
            <w:pPr>
              <w:spacing w:after="160" w:line="278" w:lineRule="auto"/>
              <w:rPr>
                <w:b/>
                <w:bCs/>
              </w:rPr>
            </w:pPr>
            <w:r w:rsidRPr="0008397B">
              <w:rPr>
                <w:b/>
                <w:bCs/>
              </w:rPr>
              <w:t>Massive open loss; significant exposure to long delta despite rally failure.</w:t>
            </w:r>
          </w:p>
        </w:tc>
      </w:tr>
    </w:tbl>
    <w:p w14:paraId="079DEEDC" w14:textId="77777777" w:rsidR="001044AA" w:rsidRDefault="001044AA"/>
    <w:p w14:paraId="449FB748" w14:textId="77777777" w:rsidR="0008397B" w:rsidRPr="0008397B" w:rsidRDefault="0008397B" w:rsidP="0008397B">
      <w:pPr>
        <w:rPr>
          <w:b/>
          <w:bCs/>
        </w:rPr>
      </w:pPr>
      <w:r w:rsidRPr="0008397B">
        <w:rPr>
          <w:b/>
          <w:bCs/>
        </w:rPr>
        <w:t>3. Risk Management Review</w:t>
      </w:r>
    </w:p>
    <w:p w14:paraId="3E470E10" w14:textId="77777777" w:rsidR="0008397B" w:rsidRPr="0008397B" w:rsidRDefault="0008397B" w:rsidP="0008397B">
      <w:r w:rsidRPr="0008397B">
        <w:rPr>
          <w:b/>
          <w:bCs/>
        </w:rPr>
        <w:t>Quantitative Risk Modeling vs. Actual Drawdown</w:t>
      </w:r>
    </w:p>
    <w:p w14:paraId="46F34B89" w14:textId="77777777" w:rsidR="0008397B" w:rsidRPr="0008397B" w:rsidRDefault="0008397B" w:rsidP="0008397B">
      <w:r w:rsidRPr="0008397B">
        <w:t>A review of our modeled portfolio risk metrics highlights a critical failure in our stress testing and correlation assumptions. Based on the portfolio risk measures chart:</w:t>
      </w:r>
    </w:p>
    <w:p w14:paraId="7EA5AACC" w14:textId="77777777" w:rsidR="0008397B" w:rsidRPr="0008397B" w:rsidRDefault="0008397B" w:rsidP="0008397B">
      <w:pPr>
        <w:numPr>
          <w:ilvl w:val="0"/>
          <w:numId w:val="7"/>
        </w:numPr>
      </w:pPr>
      <w:r w:rsidRPr="0008397B">
        <w:rPr>
          <w:b/>
          <w:bCs/>
        </w:rPr>
        <w:t>Value at Risk (95%):</w:t>
      </w:r>
      <w:r w:rsidRPr="0008397B">
        <w:t xml:space="preserve"> Modeled at approximately -$190,000 (-19.0%).</w:t>
      </w:r>
    </w:p>
    <w:p w14:paraId="349640C2" w14:textId="77777777" w:rsidR="0008397B" w:rsidRPr="0008397B" w:rsidRDefault="0008397B" w:rsidP="0008397B">
      <w:pPr>
        <w:numPr>
          <w:ilvl w:val="0"/>
          <w:numId w:val="7"/>
        </w:numPr>
      </w:pPr>
      <w:r w:rsidRPr="0008397B">
        <w:rPr>
          <w:b/>
          <w:bCs/>
        </w:rPr>
        <w:t>Value at Risk (99%):</w:t>
      </w:r>
      <w:r w:rsidRPr="0008397B">
        <w:t xml:space="preserve"> Modeled at approximately -$275,000 (-27.5%).</w:t>
      </w:r>
    </w:p>
    <w:p w14:paraId="033F14A4" w14:textId="77777777" w:rsidR="0008397B" w:rsidRPr="0008397B" w:rsidRDefault="0008397B" w:rsidP="0008397B">
      <w:pPr>
        <w:numPr>
          <w:ilvl w:val="0"/>
          <w:numId w:val="7"/>
        </w:numPr>
      </w:pPr>
      <w:r w:rsidRPr="0008397B">
        <w:rPr>
          <w:b/>
          <w:bCs/>
        </w:rPr>
        <w:t>Expected Shortfall (99%):</w:t>
      </w:r>
      <w:r w:rsidRPr="0008397B">
        <w:t xml:space="preserve"> Modeled at approximately -$340,000 (-34.0%).</w:t>
      </w:r>
    </w:p>
    <w:p w14:paraId="260799F7" w14:textId="77777777" w:rsidR="0008397B" w:rsidRPr="0008397B" w:rsidRDefault="0008397B" w:rsidP="0008397B">
      <w:r w:rsidRPr="0008397B">
        <w:rPr>
          <w:b/>
          <w:bCs/>
        </w:rPr>
        <w:t>Critical Finding:</w:t>
      </w:r>
      <w:r w:rsidRPr="0008397B">
        <w:t xml:space="preserve"> Our actual total drawdown for the period was </w:t>
      </w:r>
      <w:r w:rsidRPr="0008397B">
        <w:rPr>
          <w:b/>
          <w:bCs/>
        </w:rPr>
        <w:t>-$450,160.56 (-45.02%)</w:t>
      </w:r>
      <w:r w:rsidRPr="0008397B">
        <w:t>. This realized loss significantly breached not only our 99% VaR but also our 99% Expected Shortfall (Conditional VaR). A breach of this magnitude indicates that the portfolio experienced a severe tail-risk event that our models failed to anticipate. This was primarily driven by the extreme concentration and simultaneous adverse moves in highly leveraged, correlated positions (specifically the out-of-the-money Gold call options and European natural gas futures).</w:t>
      </w:r>
    </w:p>
    <w:p w14:paraId="0CAA7007" w14:textId="77777777" w:rsidR="0008397B" w:rsidRPr="0008397B" w:rsidRDefault="0008397B" w:rsidP="0008397B">
      <w:r w:rsidRPr="0008397B">
        <w:rPr>
          <w:b/>
          <w:bCs/>
        </w:rPr>
        <w:t>Technique Evaluation</w:t>
      </w:r>
    </w:p>
    <w:p w14:paraId="0198781D" w14:textId="77777777" w:rsidR="0008397B" w:rsidRPr="0008397B" w:rsidRDefault="0008397B" w:rsidP="0008397B">
      <w:r w:rsidRPr="0008397B">
        <w:t>The strategy utilized several structural risk management tools, though their efficacy was ultimately compromised by the concentration issues highlighted above.</w:t>
      </w:r>
    </w:p>
    <w:p w14:paraId="5144B385" w14:textId="77777777" w:rsidR="0008397B" w:rsidRPr="0008397B" w:rsidRDefault="0008397B" w:rsidP="0008397B">
      <w:pPr>
        <w:numPr>
          <w:ilvl w:val="0"/>
          <w:numId w:val="8"/>
        </w:numPr>
      </w:pPr>
      <w:r w:rsidRPr="0008397B">
        <w:rPr>
          <w:b/>
          <w:bCs/>
        </w:rPr>
        <w:t>Position Sizing:</w:t>
      </w:r>
      <w:r w:rsidRPr="0008397B">
        <w:t xml:space="preserve"> Exposure was calibrated by unit counts per commodity, including 250 metric tons for Crude Palm Oil, 100,000 MMBtu for Natural Gas, and 5,000 troy ounces for Silver. However, notional exposure was allowed to drift far beyond acceptable limits relative to account equity.</w:t>
      </w:r>
    </w:p>
    <w:p w14:paraId="53A7DDFE" w14:textId="77777777" w:rsidR="0008397B" w:rsidRPr="0008397B" w:rsidRDefault="0008397B" w:rsidP="0008397B">
      <w:pPr>
        <w:numPr>
          <w:ilvl w:val="0"/>
          <w:numId w:val="8"/>
        </w:numPr>
      </w:pPr>
      <w:r w:rsidRPr="0008397B">
        <w:rPr>
          <w:b/>
          <w:bCs/>
        </w:rPr>
        <w:lastRenderedPageBreak/>
        <w:t>Stop-Loss and Target Levels:</w:t>
      </w:r>
      <w:r w:rsidRPr="0008397B">
        <w:t xml:space="preserve"> Discipline was maintained through explicit stop-loss orders on certain assets, such as the 4000 level for Crude Palm Oil. Entry orders were predominantly managed via target fill levels to minimize chasing (e.g., 4290 Target for Palm Oil).</w:t>
      </w:r>
    </w:p>
    <w:p w14:paraId="69FC350F" w14:textId="77777777" w:rsidR="0008397B" w:rsidRPr="0008397B" w:rsidRDefault="0008397B" w:rsidP="0008397B">
      <w:pPr>
        <w:numPr>
          <w:ilvl w:val="0"/>
          <w:numId w:val="8"/>
        </w:numPr>
      </w:pPr>
      <w:r w:rsidRPr="0008397B">
        <w:rPr>
          <w:b/>
          <w:bCs/>
        </w:rPr>
        <w:t>Hedging and Structural Protection:</w:t>
      </w:r>
      <w:r w:rsidRPr="0008397B">
        <w:t xml:space="preserve"> The portfolio successfully utilized "protection legs" in Silver put credit spreads to strictly cap maximum loss. Additionally, tactical hedging involved selling OTM calls against existing long positions to convert exposure into bull call spreads during high IV regimes. Unfortunately, these hedges were insufficient in sizing to offset the primary directional losses.</w:t>
      </w:r>
    </w:p>
    <w:p w14:paraId="0B8C6DD9" w14:textId="77777777" w:rsidR="0008397B" w:rsidRPr="0008397B" w:rsidRDefault="0008397B" w:rsidP="0008397B">
      <w:r w:rsidRPr="0008397B">
        <w:rPr>
          <w:b/>
          <w:bCs/>
        </w:rPr>
        <w:t>Exposure Assessment</w:t>
      </w:r>
    </w:p>
    <w:p w14:paraId="255ED8CD" w14:textId="77777777" w:rsidR="0008397B" w:rsidRPr="0008397B" w:rsidRDefault="0008397B" w:rsidP="0008397B">
      <w:r w:rsidRPr="0008397B">
        <w:t>The portfolio exhibited extreme concentration in high-margin instruments. The Dutch TTF (TFMJ6) position alone required an initial margin of €137.6k for just five contracts. This high capital requirement, combined with the inherent volatility of European energy, created a risk profile that was entirely disproportionate to the account's available liquidity and effectively bypassed our VaR parameters.</w:t>
      </w:r>
    </w:p>
    <w:p w14:paraId="366EE2AC" w14:textId="6BB3D4DB" w:rsidR="0008397B" w:rsidRDefault="0008397B"/>
    <w:p w14:paraId="5B541DD2" w14:textId="77777777" w:rsidR="0008397B" w:rsidRDefault="0008397B"/>
    <w:p w14:paraId="0312ACE7" w14:textId="77777777" w:rsidR="0008397B" w:rsidRDefault="0008397B"/>
    <w:p w14:paraId="05C9C675" w14:textId="77777777" w:rsidR="0008397B" w:rsidRDefault="0008397B"/>
    <w:p w14:paraId="3102B768" w14:textId="77777777" w:rsidR="0008397B" w:rsidRDefault="0008397B"/>
    <w:p w14:paraId="2E7B121D" w14:textId="77777777" w:rsidR="0008397B" w:rsidRDefault="0008397B"/>
    <w:p w14:paraId="4375A5CB" w14:textId="77777777" w:rsidR="0008397B" w:rsidRDefault="0008397B"/>
    <w:p w14:paraId="52DBAF14" w14:textId="77777777" w:rsidR="0008397B" w:rsidRDefault="0008397B"/>
    <w:p w14:paraId="708ED64B" w14:textId="77777777" w:rsidR="0008397B" w:rsidRPr="0008397B" w:rsidRDefault="0008397B" w:rsidP="0008397B">
      <w:pPr>
        <w:rPr>
          <w:b/>
          <w:bCs/>
        </w:rPr>
      </w:pPr>
      <w:r w:rsidRPr="0008397B">
        <w:rPr>
          <w:b/>
          <w:bCs/>
        </w:rPr>
        <w:t>4. Mistakes and Tactical Challenges</w:t>
      </w:r>
    </w:p>
    <w:p w14:paraId="32BFDF47" w14:textId="3D7E2E2A" w:rsidR="0008397B" w:rsidRPr="0008397B" w:rsidRDefault="0008397B" w:rsidP="0008397B">
      <w:r w:rsidRPr="0008397B">
        <w:rPr>
          <w:b/>
          <w:bCs/>
        </w:rPr>
        <w:t>Directional Risk and "Falling Knife" Momentum</w:t>
      </w:r>
      <w:r w:rsidRPr="0008397B">
        <w:t xml:space="preserve"> A primary failure was the over-reliance on pure directional plays in volatile energy markets. The Dutch TTF short was a momentum-chasing play initiated after a 16% intraday crash. In quantitative terms, this represented "catching a falling knife" under the guise of momentum, leading to substantial realized losses when the market mean-reverted violently.</w:t>
      </w:r>
      <w:r w:rsidR="00A96D09">
        <w:t xml:space="preserve"> (</w:t>
      </w:r>
      <w:r w:rsidR="00A96D09" w:rsidRPr="00A96D09">
        <w:t>Betting on the continuation of downward momentum following a violent 16% intraday crash. Shorting futures to capitalize on the rapid evaporation of the "war premium" as geopolitical tensions regarding the Strait of Hormuz appear to be cooling.</w:t>
      </w:r>
      <w:r w:rsidR="00A96D09">
        <w:t>)</w:t>
      </w:r>
    </w:p>
    <w:p w14:paraId="05E56D28" w14:textId="77777777" w:rsidR="0008397B" w:rsidRPr="0008397B" w:rsidRDefault="0008397B" w:rsidP="0008397B">
      <w:r w:rsidRPr="0008397B">
        <w:rPr>
          <w:b/>
          <w:bCs/>
        </w:rPr>
        <w:lastRenderedPageBreak/>
        <w:t>Volatility Miscalculation (IV Crush)</w:t>
      </w:r>
      <w:r w:rsidRPr="0008397B">
        <w:t xml:space="preserve"> Despite a fundamentally sound hypothesis regarding central bank uncertainty, long Gold call options suffered from massive value erosion. This indicates a failure to properly price Implied Volatility; the positions were likely entered at the peak of the IV curve, leading to an "IV crush" where the decline in premium outpaced any favorable movement in the underlying price.</w:t>
      </w:r>
    </w:p>
    <w:p w14:paraId="4D993A26" w14:textId="77777777" w:rsidR="0008397B" w:rsidRPr="0008397B" w:rsidRDefault="0008397B" w:rsidP="0008397B">
      <w:r w:rsidRPr="0008397B">
        <w:rPr>
          <w:b/>
          <w:bCs/>
        </w:rPr>
        <w:t>Critical Execution Gaps</w:t>
      </w:r>
      <w:r w:rsidRPr="0008397B">
        <w:t xml:space="preserve"> Quantitative audit of the trade log reveals severe tactical slippage. While minor gaps existed in Crude Palm Oil (4290 Target vs. 4292 Fill), the most egregious error occurred in </w:t>
      </w:r>
      <w:r w:rsidRPr="0008397B">
        <w:rPr>
          <w:b/>
          <w:bCs/>
        </w:rPr>
        <w:t>Trade #11 (Silver)</w:t>
      </w:r>
      <w:r w:rsidRPr="0008397B">
        <w:t>. The Target Entry was 12.378, but the Fill Level was 13.912—a slippage of approximately 12.4% upon entry. Such discrepancies suggest poor order execution discipline in fast-moving markets, significantly degrading the strategy's expected value.</w:t>
      </w:r>
    </w:p>
    <w:p w14:paraId="1A1F94D4" w14:textId="77777777" w:rsidR="0008397B" w:rsidRDefault="0008397B"/>
    <w:p w14:paraId="654AF880" w14:textId="77777777" w:rsidR="0008397B" w:rsidRDefault="0008397B"/>
    <w:p w14:paraId="412B8C53" w14:textId="77777777" w:rsidR="0008397B" w:rsidRPr="0008397B" w:rsidRDefault="0008397B" w:rsidP="0008397B">
      <w:pPr>
        <w:rPr>
          <w:b/>
          <w:bCs/>
        </w:rPr>
      </w:pPr>
      <w:r w:rsidRPr="0008397B">
        <w:rPr>
          <w:b/>
          <w:bCs/>
        </w:rPr>
        <w:t>5. Lessons Learned and Future Improvements</w:t>
      </w:r>
    </w:p>
    <w:p w14:paraId="3EB32D2F" w14:textId="77777777" w:rsidR="0008397B" w:rsidRPr="0008397B" w:rsidRDefault="0008397B" w:rsidP="0008397B">
      <w:r w:rsidRPr="0008397B">
        <w:rPr>
          <w:b/>
          <w:bCs/>
        </w:rPr>
        <w:t>Successes vs. Failures</w:t>
      </w:r>
    </w:p>
    <w:tbl>
      <w:tblPr>
        <w:tblW w:w="0" w:type="auto"/>
        <w:tblCellSpacing w:w="15" w:type="dxa"/>
        <w:tblCellMar>
          <w:left w:w="0" w:type="dxa"/>
          <w:right w:w="0" w:type="dxa"/>
        </w:tblCellMar>
        <w:tblLook w:val="04A0" w:firstRow="1" w:lastRow="0" w:firstColumn="1" w:lastColumn="0" w:noHBand="0" w:noVBand="1"/>
      </w:tblPr>
      <w:tblGrid>
        <w:gridCol w:w="4335"/>
        <w:gridCol w:w="4675"/>
      </w:tblGrid>
      <w:tr w:rsidR="0008397B" w:rsidRPr="0008397B" w14:paraId="11BE91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C74F8" w14:textId="77777777" w:rsidR="0008397B" w:rsidRPr="0008397B" w:rsidRDefault="0008397B" w:rsidP="0008397B">
            <w:r w:rsidRPr="0008397B">
              <w:rPr>
                <w:b/>
                <w:bCs/>
              </w:rPr>
              <w:t>Successes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804AB3" w14:textId="77777777" w:rsidR="0008397B" w:rsidRPr="0008397B" w:rsidRDefault="0008397B" w:rsidP="0008397B">
            <w:r w:rsidRPr="0008397B">
              <w:rPr>
                <w:b/>
                <w:bCs/>
              </w:rPr>
              <w:t>Failures</w:t>
            </w:r>
          </w:p>
        </w:tc>
      </w:tr>
      <w:tr w:rsidR="0008397B" w:rsidRPr="0008397B" w14:paraId="2AEC6D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047CB" w14:textId="77777777" w:rsidR="0008397B" w:rsidRPr="0008397B" w:rsidRDefault="0008397B" w:rsidP="0008397B">
            <w:r w:rsidRPr="0008397B">
              <w:t>Seasonal hypothesis in Natural Gas Puts (+$7,352.60 realized).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F1959" w14:textId="77777777" w:rsidR="0008397B" w:rsidRPr="0008397B" w:rsidRDefault="0008397B" w:rsidP="0008397B">
            <w:r w:rsidRPr="0008397B">
              <w:t>Platinum/Palladium "Precious metals rise" bet (-$27,043.80 total).</w:t>
            </w:r>
          </w:p>
        </w:tc>
      </w:tr>
      <w:tr w:rsidR="0008397B" w:rsidRPr="0008397B" w14:paraId="1EF60B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1FB5EE" w14:textId="77777777" w:rsidR="0008397B" w:rsidRPr="0008397B" w:rsidRDefault="0008397B" w:rsidP="0008397B">
            <w:r w:rsidRPr="0008397B">
              <w:t>Cocoa Call spreads/shorting (+$42,617.63 MTM).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934620" w14:textId="77777777" w:rsidR="0008397B" w:rsidRPr="0008397B" w:rsidRDefault="0008397B" w:rsidP="0008397B">
            <w:r w:rsidRPr="0008397B">
              <w:t>High-leverage directional momentum in Dutch TTF (-$96,594.31 total).</w:t>
            </w:r>
          </w:p>
        </w:tc>
      </w:tr>
    </w:tbl>
    <w:p w14:paraId="204336E2" w14:textId="77777777" w:rsidR="0008397B" w:rsidRDefault="0008397B"/>
    <w:p w14:paraId="542AA36B" w14:textId="77777777" w:rsidR="0008397B" w:rsidRDefault="0008397B"/>
    <w:p w14:paraId="6D05B5A3" w14:textId="77777777" w:rsidR="0008397B" w:rsidRDefault="0008397B"/>
    <w:p w14:paraId="6F03B60C" w14:textId="77777777" w:rsidR="0008397B" w:rsidRPr="0008397B" w:rsidRDefault="0008397B" w:rsidP="0008397B">
      <w:r w:rsidRPr="0008397B">
        <w:rPr>
          <w:b/>
          <w:bCs/>
        </w:rPr>
        <w:t>Future Improvements</w:t>
      </w:r>
    </w:p>
    <w:p w14:paraId="7C6BDF65" w14:textId="77777777" w:rsidR="0008397B" w:rsidRPr="0008397B" w:rsidRDefault="0008397B" w:rsidP="0008397B">
      <w:pPr>
        <w:numPr>
          <w:ilvl w:val="0"/>
          <w:numId w:val="9"/>
        </w:numPr>
      </w:pPr>
      <w:r w:rsidRPr="0008397B">
        <w:rPr>
          <w:b/>
          <w:bCs/>
        </w:rPr>
        <w:t>Systematic Volatility Curve Analysis:</w:t>
      </w:r>
      <w:r w:rsidRPr="0008397B">
        <w:t xml:space="preserve"> Optimize entry and exit signals through rigorous backtesting of seasonal volatility curves to avoid entering long-gamma positions during IV peaks.</w:t>
      </w:r>
    </w:p>
    <w:p w14:paraId="51661B67" w14:textId="77777777" w:rsidR="0008397B" w:rsidRPr="0008397B" w:rsidRDefault="0008397B" w:rsidP="0008397B">
      <w:pPr>
        <w:numPr>
          <w:ilvl w:val="0"/>
          <w:numId w:val="9"/>
        </w:numPr>
      </w:pPr>
      <w:r w:rsidRPr="0008397B">
        <w:rPr>
          <w:b/>
          <w:bCs/>
        </w:rPr>
        <w:lastRenderedPageBreak/>
        <w:t>Strategic De-leveraging:</w:t>
      </w:r>
      <w:r w:rsidRPr="0008397B">
        <w:t xml:space="preserve"> Transition from pure directional futures to delta-neutral or credit-based volatility strategies to capture theta and harvest inflated risk premiums.</w:t>
      </w:r>
    </w:p>
    <w:p w14:paraId="5536260B" w14:textId="77777777" w:rsidR="0008397B" w:rsidRPr="0008397B" w:rsidRDefault="0008397B" w:rsidP="0008397B">
      <w:pPr>
        <w:numPr>
          <w:ilvl w:val="0"/>
          <w:numId w:val="9"/>
        </w:numPr>
      </w:pPr>
      <w:r w:rsidRPr="0008397B">
        <w:rPr>
          <w:b/>
          <w:bCs/>
        </w:rPr>
        <w:t>Risk-Weighted Capital Allocation:</w:t>
      </w:r>
      <w:r w:rsidRPr="0008397B">
        <w:t xml:space="preserve"> Implement stricter exposure limits and absolute capital caps on high-margin European energy products via a risk-weighted allocation framework.</w:t>
      </w:r>
    </w:p>
    <w:p w14:paraId="195E55DB" w14:textId="77777777" w:rsidR="0008397B" w:rsidRPr="0008397B" w:rsidRDefault="0008397B" w:rsidP="0008397B">
      <w:pPr>
        <w:numPr>
          <w:ilvl w:val="0"/>
          <w:numId w:val="9"/>
        </w:numPr>
      </w:pPr>
      <w:r w:rsidRPr="0008397B">
        <w:rPr>
          <w:b/>
          <w:bCs/>
        </w:rPr>
        <w:t>Execution Algorithm Refinement:</w:t>
      </w:r>
      <w:r w:rsidRPr="0008397B">
        <w:t xml:space="preserve"> Implement tighter "Limit" constraints to prevent 10%+ slippage on entry, particularly in volatile Silver and Energy contracts.</w:t>
      </w:r>
    </w:p>
    <w:p w14:paraId="5F9E1787" w14:textId="77777777" w:rsidR="0008397B" w:rsidRDefault="0008397B"/>
    <w:p w14:paraId="444B7B0F" w14:textId="77777777" w:rsidR="0008397B" w:rsidRPr="0008397B" w:rsidRDefault="0008397B" w:rsidP="0008397B">
      <w:pPr>
        <w:rPr>
          <w:b/>
          <w:bCs/>
        </w:rPr>
      </w:pPr>
      <w:r w:rsidRPr="0008397B">
        <w:rPr>
          <w:b/>
          <w:bCs/>
        </w:rPr>
        <w:t>6. Conclusion: Summary of Experience</w:t>
      </w:r>
    </w:p>
    <w:p w14:paraId="1EBCD853" w14:textId="77777777" w:rsidR="0008397B" w:rsidRPr="0008397B" w:rsidRDefault="0008397B" w:rsidP="0008397B">
      <w:r w:rsidRPr="0008397B">
        <w:t>The Q1 2026 trading period resulted in a disappointing 45.02% drawdown. While the underlying fundamental hypotheses—particularly seasonal shifts in Natural Gas and supply dynamics in Cocoa—were largely validated by price action, the strategy failed due to a disconnect between macro theory and tactical execution. Excessive leverage in Dutch TTF and poorly timed long-volatility bets in Gold overwhelmed the successful seasonal plays. Moving forward, the portfolio must prioritize risk-defined structures over high-margin directional exposure.</w:t>
      </w:r>
    </w:p>
    <w:p w14:paraId="45847EE6" w14:textId="77777777" w:rsidR="0008397B" w:rsidRDefault="0008397B"/>
    <w:p w14:paraId="456DC8EE" w14:textId="77777777" w:rsidR="0008397B" w:rsidRPr="0008397B" w:rsidRDefault="0008397B" w:rsidP="0008397B">
      <w:pPr>
        <w:rPr>
          <w:b/>
          <w:bCs/>
        </w:rPr>
      </w:pPr>
      <w:r w:rsidRPr="0008397B">
        <w:rPr>
          <w:b/>
          <w:bCs/>
        </w:rPr>
        <w:t>7. Mandatory Attachments</w:t>
      </w:r>
    </w:p>
    <w:p w14:paraId="1FC21C31" w14:textId="77777777" w:rsidR="0008397B" w:rsidRPr="0008397B" w:rsidRDefault="0008397B" w:rsidP="0008397B">
      <w:r w:rsidRPr="0008397B">
        <w:rPr>
          <w:b/>
          <w:bCs/>
        </w:rPr>
        <w:t>P&amp;L Visual Instruction</w:t>
      </w:r>
    </w:p>
    <w:p w14:paraId="4799EAC6" w14:textId="77777777" w:rsidR="0008397B" w:rsidRDefault="0008397B"/>
    <w:sectPr w:rsidR="000839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9E636" w14:textId="77777777" w:rsidR="00242BB0" w:rsidRDefault="00242BB0" w:rsidP="0008397B">
      <w:pPr>
        <w:spacing w:after="0" w:line="240" w:lineRule="auto"/>
      </w:pPr>
      <w:r>
        <w:separator/>
      </w:r>
    </w:p>
  </w:endnote>
  <w:endnote w:type="continuationSeparator" w:id="0">
    <w:p w14:paraId="26435C12" w14:textId="77777777" w:rsidR="00242BB0" w:rsidRDefault="00242BB0" w:rsidP="00083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ACE82" w14:textId="77777777" w:rsidR="00242BB0" w:rsidRDefault="00242BB0" w:rsidP="0008397B">
      <w:pPr>
        <w:spacing w:after="0" w:line="240" w:lineRule="auto"/>
      </w:pPr>
      <w:r>
        <w:separator/>
      </w:r>
    </w:p>
  </w:footnote>
  <w:footnote w:type="continuationSeparator" w:id="0">
    <w:p w14:paraId="2A729E79" w14:textId="77777777" w:rsidR="00242BB0" w:rsidRDefault="00242BB0" w:rsidP="00083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25E1"/>
    <w:multiLevelType w:val="multilevel"/>
    <w:tmpl w:val="B71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B4110"/>
    <w:multiLevelType w:val="multilevel"/>
    <w:tmpl w:val="67D6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511B6"/>
    <w:multiLevelType w:val="multilevel"/>
    <w:tmpl w:val="66B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20E24"/>
    <w:multiLevelType w:val="multilevel"/>
    <w:tmpl w:val="3554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6F0E"/>
    <w:multiLevelType w:val="multilevel"/>
    <w:tmpl w:val="522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A1C98"/>
    <w:multiLevelType w:val="multilevel"/>
    <w:tmpl w:val="63F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354F8"/>
    <w:multiLevelType w:val="multilevel"/>
    <w:tmpl w:val="D754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B2FD8"/>
    <w:multiLevelType w:val="multilevel"/>
    <w:tmpl w:val="576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449E6"/>
    <w:multiLevelType w:val="multilevel"/>
    <w:tmpl w:val="85A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228163">
    <w:abstractNumId w:val="5"/>
  </w:num>
  <w:num w:numId="2" w16cid:durableId="1373650782">
    <w:abstractNumId w:val="7"/>
  </w:num>
  <w:num w:numId="3" w16cid:durableId="1938364621">
    <w:abstractNumId w:val="6"/>
  </w:num>
  <w:num w:numId="4" w16cid:durableId="1743673342">
    <w:abstractNumId w:val="1"/>
  </w:num>
  <w:num w:numId="5" w16cid:durableId="862979201">
    <w:abstractNumId w:val="0"/>
  </w:num>
  <w:num w:numId="6" w16cid:durableId="600843436">
    <w:abstractNumId w:val="8"/>
  </w:num>
  <w:num w:numId="7" w16cid:durableId="1535314825">
    <w:abstractNumId w:val="2"/>
  </w:num>
  <w:num w:numId="8" w16cid:durableId="1855415956">
    <w:abstractNumId w:val="3"/>
  </w:num>
  <w:num w:numId="9" w16cid:durableId="854199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4AA"/>
    <w:rsid w:val="0008397B"/>
    <w:rsid w:val="001044AA"/>
    <w:rsid w:val="00242BB0"/>
    <w:rsid w:val="002A2118"/>
    <w:rsid w:val="002F5164"/>
    <w:rsid w:val="00484758"/>
    <w:rsid w:val="004C0D4D"/>
    <w:rsid w:val="00503CA5"/>
    <w:rsid w:val="00605B92"/>
    <w:rsid w:val="00675ECC"/>
    <w:rsid w:val="007C4BA4"/>
    <w:rsid w:val="00986915"/>
    <w:rsid w:val="009F5881"/>
    <w:rsid w:val="00A825B0"/>
    <w:rsid w:val="00A96D09"/>
    <w:rsid w:val="00BE6F03"/>
    <w:rsid w:val="00CD22D8"/>
    <w:rsid w:val="00E93EF8"/>
    <w:rsid w:val="00F92F4C"/>
    <w:rsid w:val="7865D146"/>
    <w:rsid w:val="7EA3CBC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3E01"/>
  <w15:chartTrackingRefBased/>
  <w15:docId w15:val="{7852BE2E-AFE9-4C4D-A0A6-3BE3B7DA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4AA"/>
    <w:rPr>
      <w:rFonts w:eastAsiaTheme="majorEastAsia" w:cstheme="majorBidi"/>
      <w:color w:val="272727" w:themeColor="text1" w:themeTint="D8"/>
    </w:rPr>
  </w:style>
  <w:style w:type="paragraph" w:styleId="Title">
    <w:name w:val="Title"/>
    <w:basedOn w:val="Normal"/>
    <w:next w:val="Normal"/>
    <w:link w:val="TitleChar"/>
    <w:uiPriority w:val="10"/>
    <w:qFormat/>
    <w:rsid w:val="00104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4AA"/>
    <w:pPr>
      <w:spacing w:before="160"/>
      <w:jc w:val="center"/>
    </w:pPr>
    <w:rPr>
      <w:i/>
      <w:iCs/>
      <w:color w:val="404040" w:themeColor="text1" w:themeTint="BF"/>
    </w:rPr>
  </w:style>
  <w:style w:type="character" w:customStyle="1" w:styleId="QuoteChar">
    <w:name w:val="Quote Char"/>
    <w:basedOn w:val="DefaultParagraphFont"/>
    <w:link w:val="Quote"/>
    <w:uiPriority w:val="29"/>
    <w:rsid w:val="001044AA"/>
    <w:rPr>
      <w:i/>
      <w:iCs/>
      <w:color w:val="404040" w:themeColor="text1" w:themeTint="BF"/>
    </w:rPr>
  </w:style>
  <w:style w:type="paragraph" w:styleId="ListParagraph">
    <w:name w:val="List Paragraph"/>
    <w:basedOn w:val="Normal"/>
    <w:uiPriority w:val="34"/>
    <w:qFormat/>
    <w:rsid w:val="001044AA"/>
    <w:pPr>
      <w:ind w:left="720"/>
      <w:contextualSpacing/>
    </w:pPr>
  </w:style>
  <w:style w:type="character" w:styleId="IntenseEmphasis">
    <w:name w:val="Intense Emphasis"/>
    <w:basedOn w:val="DefaultParagraphFont"/>
    <w:uiPriority w:val="21"/>
    <w:qFormat/>
    <w:rsid w:val="001044AA"/>
    <w:rPr>
      <w:i/>
      <w:iCs/>
      <w:color w:val="0F4761" w:themeColor="accent1" w:themeShade="BF"/>
    </w:rPr>
  </w:style>
  <w:style w:type="paragraph" w:styleId="IntenseQuote">
    <w:name w:val="Intense Quote"/>
    <w:basedOn w:val="Normal"/>
    <w:next w:val="Normal"/>
    <w:link w:val="IntenseQuoteChar"/>
    <w:uiPriority w:val="30"/>
    <w:qFormat/>
    <w:rsid w:val="00104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4AA"/>
    <w:rPr>
      <w:i/>
      <w:iCs/>
      <w:color w:val="0F4761" w:themeColor="accent1" w:themeShade="BF"/>
    </w:rPr>
  </w:style>
  <w:style w:type="character" w:styleId="IntenseReference">
    <w:name w:val="Intense Reference"/>
    <w:basedOn w:val="DefaultParagraphFont"/>
    <w:uiPriority w:val="32"/>
    <w:qFormat/>
    <w:rsid w:val="001044AA"/>
    <w:rPr>
      <w:b/>
      <w:bCs/>
      <w:smallCaps/>
      <w:color w:val="0F4761" w:themeColor="accent1" w:themeShade="BF"/>
      <w:spacing w:val="5"/>
    </w:rPr>
  </w:style>
  <w:style w:type="character" w:styleId="Strong">
    <w:name w:val="Strong"/>
    <w:basedOn w:val="DefaultParagraphFont"/>
    <w:uiPriority w:val="22"/>
    <w:qFormat/>
    <w:rsid w:val="001044AA"/>
    <w:rPr>
      <w:b/>
      <w:bCs/>
    </w:rPr>
  </w:style>
  <w:style w:type="table" w:styleId="TableGrid">
    <w:name w:val="Table Grid"/>
    <w:basedOn w:val="TableNormal"/>
    <w:uiPriority w:val="39"/>
    <w:rsid w:val="00083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CD22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22D8"/>
  </w:style>
  <w:style w:type="paragraph" w:styleId="Footer">
    <w:name w:val="footer"/>
    <w:basedOn w:val="Normal"/>
    <w:link w:val="FooterChar"/>
    <w:uiPriority w:val="99"/>
    <w:semiHidden/>
    <w:unhideWhenUsed/>
    <w:rsid w:val="00CD22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2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1321</Words>
  <Characters>7530</Characters>
  <Application>Microsoft Office Word</Application>
  <DocSecurity>0</DocSecurity>
  <Lines>62</Lines>
  <Paragraphs>17</Paragraphs>
  <ScaleCrop>false</ScaleCrop>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Zheng Yang</dc:creator>
  <cp:keywords/>
  <dc:description/>
  <cp:lastModifiedBy>Chin Zheng Yang</cp:lastModifiedBy>
  <cp:revision>2</cp:revision>
  <dcterms:created xsi:type="dcterms:W3CDTF">2026-03-21T11:31:00Z</dcterms:created>
  <dcterms:modified xsi:type="dcterms:W3CDTF">2026-03-21T11:31:00Z</dcterms:modified>
</cp:coreProperties>
</file>