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1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25.png" ContentType="image/png"/>
  <Override PartName="/word/media/rId26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aq"/>
      <w:r>
        <w:t xml:space="preserve">FAQ</w:t>
      </w:r>
      <w:bookmarkEnd w:id="20"/>
    </w:p>
    <w:p>
      <w:pPr>
        <w:pStyle w:val="Heading2"/>
      </w:pPr>
      <w:bookmarkStart w:id="21" w:name="storage-explorer"/>
      <w:r>
        <w:t xml:space="preserve">Storage Explorer</w:t>
      </w:r>
      <w:bookmarkEnd w:id="21"/>
    </w:p>
    <w:p>
      <w:pPr>
        <w:pStyle w:val="Heading3"/>
      </w:pPr>
      <w:bookmarkStart w:id="22" w:name="how-do-i-ingest-data-into-the-platform"/>
      <w:r>
        <w:t xml:space="preserve">How do I ingest data into the platform?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Files may be uploaded into an external storage account, as documented in</w:t>
      </w:r>
      <w:r>
        <w:t xml:space="preserve"> </w:t>
      </w:r>
      <w:hyperlink r:id="rId23">
        <w:r>
          <w:rPr>
            <w:rStyle w:val="Hyperlink"/>
          </w:rPr>
          <w:t xml:space="preserve">Azure Storage Explorer</w:t>
        </w:r>
      </w:hyperlink>
      <w:r>
        <w:t xml:space="preserve">. These files will then automatically be moved into an internal storage account (Data Lake), and made accessible from authorized services.</w:t>
      </w:r>
    </w:p>
    <w:p>
      <w:pPr>
        <w:pStyle w:val="Compact"/>
        <w:numPr>
          <w:numId w:val="1001"/>
          <w:ilvl w:val="0"/>
        </w:numPr>
      </w:pPr>
      <w:r>
        <w:t xml:space="preserve">Platform tools such as Databricks or Data Factory may be used to ingest data from public data sources.</w:t>
      </w:r>
    </w:p>
    <w:p>
      <w:pPr>
        <w:pStyle w:val="Heading3"/>
      </w:pPr>
      <w:bookmarkStart w:id="24" w:name="how-do-i-configure-azure-storage-explorer-proxy-settings-on-a-network-b-vdi"/>
      <w:r>
        <w:t xml:space="preserve">How do I configure Azure Storage Explorer proxy settings on a network B VDI?</w:t>
      </w:r>
      <w:bookmarkEnd w:id="24"/>
    </w:p>
    <w:p>
      <w:pPr>
        <w:pStyle w:val="FirstParagraph"/>
      </w:pPr>
      <w:r>
        <w:rPr>
          <w:i/>
        </w:rPr>
        <w:t xml:space="preserve">For Statistics Canada Employees only</w:t>
      </w:r>
      <w:r>
        <w:t xml:space="preserve"> </w:t>
      </w:r>
      <w:r>
        <w:t xml:space="preserve">1. Proxy configuration is required if you receive the following error:</w:t>
      </w:r>
      <w:r>
        <w:br w:type="textWrapping"/>
      </w:r>
      <w:r>
        <w:drawing>
          <wp:inline>
            <wp:extent cx="5334000" cy="3005931"/>
            <wp:effectExtent b="0" l="0" r="0" t="0"/>
            <wp:docPr descr="Storage Explorer Proxy Error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StorageExplorer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1. In Azure Storage Explorer, go to</w:t>
      </w:r>
      <w:r>
        <w:t xml:space="preserve"> </w:t>
      </w:r>
      <w:r>
        <w:rPr>
          <w:b/>
        </w:rPr>
        <w:t xml:space="preserve">Edit</w:t>
      </w:r>
      <w:r>
        <w:t xml:space="preserve"> </w:t>
      </w:r>
      <w:r>
        <w:t xml:space="preserve">–&gt;</w:t>
      </w:r>
      <w:r>
        <w:t xml:space="preserve"> </w:t>
      </w:r>
      <w:r>
        <w:rPr>
          <w:b/>
        </w:rPr>
        <w:t xml:space="preserve">Proxy Settings</w:t>
      </w:r>
      <w:r>
        <w:t xml:space="preserve">. Enter the necessary proxy settings, and click on</w:t>
      </w:r>
      <w:r>
        <w:t xml:space="preserve"> </w:t>
      </w:r>
      <w:r>
        <w:rPr>
          <w:b/>
        </w:rPr>
        <w:t xml:space="preserve">OK</w:t>
      </w:r>
      <w:r>
        <w:t xml:space="preserve">.</w:t>
      </w:r>
      <w:r>
        <w:br w:type="textWrapping"/>
      </w:r>
      <w:r>
        <w:drawing>
          <wp:inline>
            <wp:extent cx="5334000" cy="3738852"/>
            <wp:effectExtent b="0" l="0" r="0" t="0"/>
            <wp:docPr descr="Storage Explorer Proxy Settings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StorageExplorerProx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how-do-i-request-a-new-sas-token-required-for-azure-storage-explorer-on-a-network-b-vdi"/>
      <w:r>
        <w:t xml:space="preserve">How do I request a new SAS token (required for Azure Storage Explorer on a Network B VDI)?</w:t>
      </w:r>
      <w:bookmarkEnd w:id="27"/>
    </w:p>
    <w:p>
      <w:pPr>
        <w:pStyle w:val="FirstParagraph"/>
      </w:pPr>
      <w:r>
        <w:rPr>
          <w:i/>
        </w:rPr>
        <w:t xml:space="preserve">For Statistics Canada Employees only</w:t>
      </w:r>
    </w:p>
    <w:p>
      <w:pPr>
        <w:pStyle w:val="BodyText"/>
      </w:pPr>
      <w:r>
        <w:t xml:space="preserve">Please contact the support team through the https://cae-eac.slack.com channel to request a temporary SAS token.</w:t>
      </w:r>
    </w:p>
    <w:p>
      <w:pPr>
        <w:pStyle w:val="Heading3"/>
      </w:pPr>
      <w:bookmarkStart w:id="28" w:name="why-do-i-get-an-error-message-when-accessing-the-internal-data-lake"/>
      <w:r>
        <w:t xml:space="preserve">Why do I get an error message when accessing the internal Data Lake?</w:t>
      </w:r>
      <w:bookmarkEnd w:id="28"/>
    </w:p>
    <w:p>
      <w:pPr>
        <w:pStyle w:val="FirstParagraph"/>
      </w:pPr>
      <w:r>
        <w:t xml:space="preserve">The internal Data Lake is only accessible from within a VM in the Collaborative Analytics Environment (CAE). It is not accessible from your personal or work laptop, Network B VDI or other cloud VM.</w:t>
      </w:r>
    </w:p>
    <w:p>
      <w:pPr>
        <w:pStyle w:val="Heading2"/>
      </w:pPr>
      <w:bookmarkStart w:id="29" w:name="source-code-control"/>
      <w:r>
        <w:t xml:space="preserve">Source Code Control</w:t>
      </w:r>
      <w:bookmarkEnd w:id="29"/>
    </w:p>
    <w:p>
      <w:pPr>
        <w:pStyle w:val="Heading3"/>
      </w:pPr>
      <w:bookmarkStart w:id="30" w:name="how-do-i-link-my-visual-studio-subscription-to-my-statcan-cloud-account"/>
      <w:r>
        <w:t xml:space="preserve">How do I link my Visual Studio Subscription to my StatCan cloud account?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Login to https://visualstudio.microsoft.com/subscriptions/ with your organization’s email address. For StatCan employees, this will be your canada.ca email address.</w:t>
      </w:r>
      <w:r>
        <w:br w:type="textWrapping"/>
      </w:r>
      <w:r>
        <w:drawing>
          <wp:inline>
            <wp:extent cx="5334000" cy="2670371"/>
            <wp:effectExtent b="0" l="0" r="0" t="0"/>
            <wp:docPr descr="Sign in to Visual Studiosubscription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AzureSubscrip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Add your cloud account as an alternate account. This will allow you to use your licenses for Visual Studio &amp; Azure DevOps in the CAE.</w:t>
      </w:r>
      <w:r>
        <w:br w:type="textWrapping"/>
      </w:r>
      <w:r>
        <w:drawing>
          <wp:inline>
            <wp:extent cx="5334000" cy="2883012"/>
            <wp:effectExtent b="0" l="0" r="0" t="0"/>
            <wp:docPr descr="Add alternate email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AlternateAccou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For Statistics Canada employees:</w:t>
      </w:r>
      <w:r>
        <w:t xml:space="preserve"> </w:t>
      </w:r>
      <w:r>
        <w:t xml:space="preserve">If you do not have a Visual Studio Subscription, please consult your supervisor. If they decide that a subscription is needed, they can then contact StatCan Software Asset Management by submitting an SRM to request a license on your behalf.</w:t>
      </w:r>
    </w:p>
    <w:p>
      <w:pPr>
        <w:pStyle w:val="Heading2"/>
      </w:pPr>
      <w:bookmarkStart w:id="33" w:name="virtual-machines"/>
      <w:r>
        <w:t xml:space="preserve">Virtual Machines</w:t>
      </w:r>
      <w:bookmarkEnd w:id="33"/>
    </w:p>
    <w:p>
      <w:pPr>
        <w:pStyle w:val="Heading3"/>
      </w:pPr>
      <w:bookmarkStart w:id="34" w:name="what-do-i-do-if-i-have-forgotten-the-password-for-my-virtual-machine"/>
      <w:r>
        <w:t xml:space="preserve">What do I do if I have forgotten the password for my virtual machine?</w:t>
      </w:r>
      <w:bookmarkEnd w:id="34"/>
    </w:p>
    <w:p>
      <w:pPr>
        <w:pStyle w:val="FirstParagraph"/>
      </w:pPr>
      <w:r>
        <w:t xml:space="preserve">If you forget the password of your virtual machine you can delete then recreate your virtual machine. Unfortunately, you will lose any data and software on your old machine.</w:t>
      </w:r>
    </w:p>
    <w:p>
      <w:pPr>
        <w:pStyle w:val="Heading3"/>
      </w:pPr>
      <w:bookmarkStart w:id="35" w:name="what-do-i-do-if-i-need-to-run-a-long-running-job-on-my-virtual-machine"/>
      <w:r>
        <w:t xml:space="preserve">What do I do if I need to run a long running job on my virtual machine?</w:t>
      </w:r>
      <w:bookmarkEnd w:id="35"/>
    </w:p>
    <w:p>
      <w:pPr>
        <w:pStyle w:val="FirstParagraph"/>
      </w:pPr>
      <w:r>
        <w:t xml:space="preserve">Machines are shut down every day at 7pm EST in order to reduce costs. If you have a long-running job, it is recommended that you use Databricks or Data Factory.</w:t>
      </w:r>
    </w:p>
    <w:p>
      <w:pPr>
        <w:pStyle w:val="BodyText"/>
      </w:pPr>
      <w:r>
        <w:rPr>
          <w:b/>
        </w:rPr>
        <w:t xml:space="preserve">WARNING:</w:t>
      </w:r>
      <w:r>
        <w:t xml:space="preserve"> </w:t>
      </w:r>
      <w:r>
        <w:t xml:space="preserve">Disabling Auto-shutdown 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recommended as it can incur significant costs.</w:t>
      </w:r>
      <w:r>
        <w:br w:type="textWrapping"/>
      </w:r>
      <w:r>
        <w:t xml:space="preserve">To disable Auto-shutdown:</w:t>
      </w:r>
      <w:r>
        <w:br w:type="textWrapping"/>
      </w:r>
      <w:r>
        <w:t xml:space="preserve">1. Navigate to your virtual machine in the Azure Portal.</w:t>
      </w:r>
      <w:r>
        <w:t xml:space="preserve"> </w:t>
      </w:r>
      <w:r>
        <w:t xml:space="preserve">2. Disable Auto-shutdown.</w:t>
      </w:r>
      <w:r>
        <w:br w:type="textWrapping"/>
      </w:r>
      <w:r>
        <w:drawing>
          <wp:inline>
            <wp:extent cx="5334000" cy="3109670"/>
            <wp:effectExtent b="0" l="0" r="0" t="0"/>
            <wp:docPr descr="Auto Shutoff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VirtualMachineAutoShuto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how-do-i-request-changes-to-my-virtual-machine"/>
      <w:r>
        <w:t xml:space="preserve">How do I request changes to my virtual machine?</w:t>
      </w:r>
      <w:bookmarkEnd w:id="37"/>
    </w:p>
    <w:p>
      <w:pPr>
        <w:pStyle w:val="FirstParagraph"/>
      </w:pPr>
      <w:r>
        <w:t xml:space="preserve">If the virtual machine you are currently using does not meet your requirements, please contact the support team through the https://cae-eac.slack.com channel.</w:t>
      </w:r>
    </w:p>
    <w:p>
      <w:pPr>
        <w:pStyle w:val="Heading2"/>
      </w:pPr>
      <w:bookmarkStart w:id="38" w:name="databricks"/>
      <w:r>
        <w:t xml:space="preserve">Databricks</w:t>
      </w:r>
      <w:bookmarkEnd w:id="38"/>
    </w:p>
    <w:p>
      <w:pPr>
        <w:pStyle w:val="Heading3"/>
      </w:pPr>
      <w:bookmarkStart w:id="39" w:name="why-am-i-unable-to-run-code-from-my-databricks-notebook"/>
      <w:r>
        <w:t xml:space="preserve">Why am I unable to run code from my Databricks notebook?</w:t>
      </w:r>
      <w:bookmarkEnd w:id="39"/>
    </w:p>
    <w:p>
      <w:pPr>
        <w:pStyle w:val="FirstParagraph"/>
      </w:pPr>
      <w:r>
        <w:t xml:space="preserve">You must first start a Databricks cluster that was previously created for you:</w:t>
      </w:r>
      <w:r>
        <w:t xml:space="preserve"> </w:t>
      </w:r>
      <w:r>
        <w:t xml:space="preserve">1. Click on Clusters.</w:t>
      </w:r>
      <w:r>
        <w:br w:type="textWrapping"/>
      </w:r>
      <w:r>
        <w:t xml:space="preserve">2. Navigate to your cluster and click on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(arrow) button.</w:t>
      </w:r>
      <w:r>
        <w:br w:type="textWrapping"/>
      </w:r>
      <w:r>
        <w:drawing>
          <wp:inline>
            <wp:extent cx="5334000" cy="1967459"/>
            <wp:effectExtent b="0" l="0" r="0" t="0"/>
            <wp:docPr descr="Start Cluster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DataBricksStartClust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ther"/>
      <w:r>
        <w:t xml:space="preserve">Other</w:t>
      </w:r>
      <w:bookmarkEnd w:id="41"/>
    </w:p>
    <w:p>
      <w:pPr>
        <w:pStyle w:val="Heading3"/>
      </w:pPr>
      <w:bookmarkStart w:id="42" w:name="how-do-i-connect-to-an-azure-sql-database"/>
      <w:r>
        <w:t xml:space="preserve">How do I connect to an Azure SQL Database?</w:t>
      </w:r>
      <w:bookmarkEnd w:id="42"/>
    </w:p>
    <w:p>
      <w:pPr>
        <w:pStyle w:val="FirstParagraph"/>
      </w:pPr>
      <w:r>
        <w:t xml:space="preserve">Prerequisites:</w:t>
      </w:r>
      <w:r>
        <w:t xml:space="preserve"> </w:t>
      </w:r>
      <w:r>
        <w:t xml:space="preserve">1. A VM in the Collaborative Analytics Environment (CAE).</w:t>
      </w:r>
      <w:r>
        <w:t xml:space="preserve"> </w:t>
      </w:r>
      <w:r>
        <w:t xml:space="preserve">1. SQL Server Management Studio or another tool such as Power BI Desktop. (These tools are available by default in the Data Science Virtual Machine images.)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1. Login to your CAE VM.</w:t>
      </w:r>
      <w:r>
        <w:br w:type="textWrapping"/>
      </w:r>
      <w:r>
        <w:t xml:space="preserve">1. Launch a tool such as SQL Server Management Studio.</w:t>
      </w:r>
      <w:r>
        <w:br w:type="textWrapping"/>
      </w:r>
      <w:r>
        <w:t xml:space="preserve">1. Enter your SQL Server server Name.</w:t>
      </w:r>
      <w:r>
        <w:br w:type="textWrapping"/>
      </w:r>
      <w:r>
        <w:drawing>
          <wp:inline>
            <wp:extent cx="4668252" cy="5082138"/>
            <wp:effectExtent b="0" l="0" r="0" t="0"/>
            <wp:docPr descr="SQL Server Login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SQLServ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1. Enter the database name.</w:t>
      </w:r>
      <w:r>
        <w:br w:type="textWrapping"/>
      </w:r>
      <w:r>
        <w:drawing>
          <wp:inline>
            <wp:extent cx="4726004" cy="5024387"/>
            <wp:effectExtent b="0" l="0" r="0" t="0"/>
            <wp:docPr descr="Specify database name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SQLServ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how-do-i-add-a-faq"/>
      <w:r>
        <w:t xml:space="preserve">How do I add a FAQ?</w:t>
      </w:r>
      <w:bookmarkEnd w:id="45"/>
    </w:p>
    <w:p>
      <w:pPr>
        <w:pStyle w:val="FirstParagraph"/>
      </w:pPr>
      <w:r>
        <w:t xml:space="preserve">Please send your suggestion through the https://cae-eac.slack.com channel.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hyperlink" Id="rId23" Target="StorageExplorer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StorageExplorer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2020-07-07T00:02:32Z</dcterms:created>
  <dcterms:modified xsi:type="dcterms:W3CDTF">2020-07-07T00:02:32Z</dcterms:modified>
</cp:coreProperties>
</file>