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jc w:val="center"/>
        <w:rPr>
          <w:rFonts w:ascii="宋体" w:hAnsi="宋体" w:eastAsia="宋体" w:cs="宋体"/>
          <w:color w:val="1A703A"/>
        </w:rPr>
      </w:pPr>
      <w:bookmarkStart w:id="0" w:name="_heading=h.fuuxw87etzty" w:colFirst="0" w:colLast="0"/>
      <w:bookmarkEnd w:id="0"/>
      <w:r>
        <w:rPr>
          <w:rFonts w:ascii="宋体" w:hAnsi="宋体" w:eastAsia="宋体" w:cs="宋体"/>
          <w:color w:val="1A703A"/>
          <w:rtl w:val="0"/>
        </w:rPr>
        <w:t>部署与使用手册</w:t>
      </w:r>
    </w:p>
    <w:p w14:paraId="00000002">
      <w:pPr>
        <w:rPr>
          <w:rFonts w:ascii="宋体" w:hAnsi="宋体" w:eastAsia="宋体" w:cs="宋体"/>
          <w:color w:val="002715"/>
        </w:rPr>
      </w:pPr>
    </w:p>
    <w:p w14:paraId="00000003">
      <w:pPr>
        <w:rPr>
          <w:rFonts w:ascii="宋体" w:hAnsi="宋体" w:eastAsia="宋体" w:cs="宋体"/>
          <w:color w:val="002715"/>
        </w:rPr>
      </w:pPr>
    </w:p>
    <w:p w14:paraId="00000004">
      <w:pPr>
        <w:rPr>
          <w:rFonts w:ascii="宋体" w:hAnsi="宋体" w:eastAsia="宋体" w:cs="宋体"/>
          <w:color w:val="002715"/>
        </w:rPr>
      </w:pPr>
      <w:r>
        <mc:AlternateContent>
          <mc:Choice Requires="wps">
            <w:drawing>
              <wp:anchor distT="228600" distB="228600" distL="228600" distR="228600" simplePos="0" relativeHeight="251659264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510"/>
                <wp:effectExtent l="0" t="0" r="0" b="0"/>
                <wp:wrapTopAndBottom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143A4B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4.75pt;margin-top:27.75pt;height:1.3pt;width:58.5pt;mso-wrap-distance-bottom:18pt;mso-wrap-distance-top:18pt;z-index:251659264;v-text-anchor:middle;mso-width-relative:page;mso-height-relative:page;" fillcolor="#1A703A" filled="t" stroked="f" coordsize="21600,21600" o:gfxdata="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gddO01gAAAAkBAAAPAAAAAAAAAAEAIAAAACIAAABkcnMvZG93bnJl&#10;di54bWxQSwECFAAUAAAACACHTuJAJHBxiP8BAAD1AwAADgAAAAAAAAABACAAAAAlAQAAZHJzL2Uy&#10;b0RvYy54bWxQSwUGAAAAAAYABgBZAQAAlgUAAAAA&#10;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9143A4B"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0000005">
      <w:pPr>
        <w:rPr>
          <w:rFonts w:ascii="宋体" w:hAnsi="宋体" w:eastAsia="宋体" w:cs="宋体"/>
          <w:color w:val="002715"/>
        </w:rPr>
      </w:pPr>
    </w:p>
    <w:p w14:paraId="00000006">
      <w:pPr>
        <w:rPr>
          <w:rFonts w:ascii="宋体" w:hAnsi="宋体" w:eastAsia="宋体" w:cs="宋体"/>
          <w:color w:val="002715"/>
        </w:rPr>
      </w:pPr>
    </w:p>
    <w:p w14:paraId="00000007">
      <w:pPr>
        <w:pStyle w:val="10"/>
        <w:rPr>
          <w:rFonts w:ascii="宋体" w:hAnsi="宋体" w:eastAsia="宋体" w:cs="宋体"/>
          <w:color w:val="1A703A"/>
        </w:rPr>
      </w:pPr>
      <w:r>
        <w:rPr>
          <w:rFonts w:ascii="宋体" w:hAnsi="宋体" w:eastAsia="宋体" w:cs="宋体"/>
          <w:color w:val="1A703A"/>
          <w:sz w:val="60"/>
          <w:szCs w:val="60"/>
          <w:rtl w:val="0"/>
        </w:rPr>
        <w:t>基于AI的智能代码分析工具</w:t>
      </w:r>
    </w:p>
    <w:p w14:paraId="00000008">
      <w:pPr>
        <w:pStyle w:val="10"/>
        <w:rPr>
          <w:rFonts w:ascii="宋体" w:hAnsi="宋体" w:eastAsia="宋体" w:cs="宋体"/>
          <w:color w:val="1A703A"/>
        </w:rPr>
      </w:pPr>
      <w:r>
        <w:rPr>
          <w:rFonts w:ascii="宋体" w:hAnsi="宋体" w:eastAsia="宋体" w:cs="宋体"/>
          <w:color w:val="1A703A"/>
          <w:sz w:val="60"/>
          <w:szCs w:val="60"/>
          <w:rtl w:val="0"/>
        </w:rPr>
        <w:t>用户手册</w:t>
      </w:r>
    </w:p>
    <w:p w14:paraId="00000009">
      <w:pPr>
        <w:pStyle w:val="4"/>
        <w:rPr>
          <w:color w:val="105128"/>
        </w:rPr>
      </w:pPr>
      <w:bookmarkStart w:id="1" w:name="_heading=h.vj0y3v9ru4fn" w:colFirst="0" w:colLast="0"/>
      <w:bookmarkEnd w:id="1"/>
    </w:p>
    <w:p w14:paraId="0000000A">
      <w:pPr>
        <w:pStyle w:val="4"/>
        <w:rPr>
          <w:color w:val="105128"/>
        </w:rPr>
      </w:pPr>
      <w:bookmarkStart w:id="2" w:name="_heading=h.r64a6lc0ytip" w:colFirst="0" w:colLast="0"/>
      <w:bookmarkEnd w:id="2"/>
    </w:p>
    <w:p w14:paraId="0000000B">
      <w:pPr>
        <w:pStyle w:val="4"/>
        <w:rPr>
          <w:color w:val="105128"/>
        </w:rPr>
      </w:pPr>
      <w:bookmarkStart w:id="3" w:name="_heading=h.8n89tlutz5i6" w:colFirst="0" w:colLast="0"/>
      <w:bookmarkEnd w:id="3"/>
    </w:p>
    <w:p w14:paraId="0000000C">
      <w:pPr>
        <w:pStyle w:val="4"/>
        <w:rPr>
          <w:color w:val="053B22"/>
        </w:rPr>
      </w:pPr>
      <w:bookmarkStart w:id="4" w:name="_heading=h.rnjlnh61vquq" w:colFirst="0" w:colLast="0"/>
      <w:bookmarkEnd w:id="4"/>
    </w:p>
    <w:p w14:paraId="0000000D">
      <w:pPr>
        <w:rPr>
          <w:color w:val="002715"/>
        </w:rPr>
      </w:pPr>
    </w:p>
    <w:p w14:paraId="0000000E">
      <w:pPr>
        <w:rPr>
          <w:color w:val="002715"/>
        </w:rPr>
      </w:pPr>
    </w:p>
    <w:p w14:paraId="0000000F">
      <w:pPr>
        <w:rPr>
          <w:color w:val="002715"/>
        </w:rPr>
      </w:pPr>
    </w:p>
    <w:p w14:paraId="00000010">
      <w:pPr>
        <w:rPr>
          <w:color w:val="002715"/>
        </w:rPr>
      </w:pPr>
    </w:p>
    <w:p w14:paraId="00000011">
      <w:pPr>
        <w:rPr>
          <w:color w:val="002715"/>
        </w:rPr>
      </w:pPr>
    </w:p>
    <w:p w14:paraId="00000012">
      <w:pPr>
        <w:rPr>
          <w:color w:val="002715"/>
        </w:rPr>
      </w:pPr>
    </w:p>
    <w:p w14:paraId="00000013">
      <w:pPr>
        <w:rPr>
          <w:color w:val="002715"/>
        </w:rPr>
      </w:pPr>
    </w:p>
    <w:p w14:paraId="00000014">
      <w:pPr>
        <w:rPr>
          <w:color w:val="002715"/>
        </w:rPr>
      </w:pPr>
    </w:p>
    <w:p w14:paraId="00000015">
      <w:pPr>
        <w:rPr>
          <w:color w:val="002715"/>
        </w:rPr>
      </w:pPr>
    </w:p>
    <w:p w14:paraId="00000016">
      <w:pPr>
        <w:rPr>
          <w:color w:val="002715"/>
        </w:rPr>
      </w:pPr>
    </w:p>
    <w:p w14:paraId="00000017">
      <w:pPr>
        <w:rPr>
          <w:color w:val="434343"/>
        </w:rPr>
      </w:pPr>
    </w:p>
    <w:p w14:paraId="00000019">
      <w:pPr>
        <w:pStyle w:val="4"/>
        <w:rPr>
          <w:rFonts w:ascii="宋体" w:hAnsi="宋体" w:eastAsia="宋体" w:cs="宋体"/>
          <w:color w:val="000000"/>
        </w:rPr>
      </w:pPr>
      <w:bookmarkStart w:id="5" w:name="_heading=h.io4lnv62zpnv" w:colFirst="0" w:colLast="0"/>
      <w:bookmarkEnd w:id="5"/>
      <w:r>
        <w:rPr>
          <w:rFonts w:ascii="宋体" w:hAnsi="宋体" w:eastAsia="宋体" w:cs="宋体"/>
          <w:color w:val="000000"/>
          <w:rtl w:val="0"/>
        </w:rPr>
        <w:t>2026 年 10 月 22 日  文档版本 1.1</w:t>
      </w:r>
    </w:p>
    <w:p w14:paraId="0000001A">
      <w:pPr>
        <w:pStyle w:val="4"/>
        <w:rPr>
          <w:color w:val="000000"/>
        </w:rPr>
      </w:pPr>
      <w:bookmarkStart w:id="6" w:name="_heading=h.l0z5dez015hw" w:colFirst="0" w:colLast="0"/>
      <w:bookmarkEnd w:id="6"/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23"/>
            <w:spacing w:before="0" w:after="120" w:line="260" w:lineRule="auto"/>
            <w:jc w:val="center"/>
          </w:pPr>
          <w:r>
            <w:rPr>
              <w:rFonts w:ascii="宋体" w:hAnsi="宋体" w:eastAsia="宋体" w:cs="宋体"/>
              <w:b/>
              <w:sz w:val="36"/>
              <w:szCs w:val="36"/>
            </w:rPr>
            <w:t>目录</w:t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"DeliveryGlossary"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术语表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DeliveryGlossary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3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"DeliveryUChapter1"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 系统使用概览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DeliveryUChapter1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5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"DeliveryUChapter2"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2 部署环境与网络说明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DeliveryUChapter2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7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"DeliveryUChapter3"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3 离线部署包与首次部署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DeliveryUChapter3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10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"DeliveryUChapter4"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4 启用专项与 Agent 新库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DeliveryUChapter4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14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"DeliveryUChapter5"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5 运行维护、升级与回退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DeliveryUChapter5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16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"DeliveryUChapter6"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6 模型接入与验证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DeliveryUChapter6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18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"DeliveryUChapter7"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7 提示词管理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DeliveryUChapter7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20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"DeliveryUChapter8"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8 审查策略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DeliveryUChapter8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21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"DeliveryUChapter9"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9 项目、分支与代码浏览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DeliveryUChapter9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22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"DeliveryUChapter10"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10 发起专项审查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DeliveryUChapter10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24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"DeliveryUChapter11"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11 发起 Agent 分析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DeliveryUChapter11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26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"DeliveryUChapter12"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12 结果、材料与反馈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DeliveryUChapter12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28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"DeliveryUChapter13"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13 报告生成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DeliveryUChapter13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29</w:t>
          </w:r>
          <w:r>
            <w:fldChar w:fldCharType="end"/>
          </w:r>
        </w:p>
        <w:p>
          <w:pPr>
            <w:pStyle w:val="8"/>
            <w:spacing w:before="0" w:after="120" w:line="260" w:lineRule="auto"/>
            <w:jc w:val="left"/>
          </w:pPr>
          <w:r>
            <w:fldChar w:fldCharType="begin"/>
          </w:r>
          <w:r>
            <w:instrText xml:space="preserve"> HYPERLINK \l "DeliveryUChapter14"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14 常见故障与交付留存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PAGEREF DeliveryUChapter14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30</w:t>
          </w:r>
          <w:r>
            <w:fldChar w:fldCharType="end"/>
          </w:r>
          <w:r>
            <w:fldChar w:fldCharType="end"/>
          </w:r>
        </w:p>
      </w:sdtContent>
    </w:sdt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0" w:name="DeliveryGlossary"/>
      <w:r>
        <w:rPr>
          <w:rFonts w:ascii="宋体" w:hAnsi="宋体" w:eastAsia="宋体" w:cs="宋体"/>
        </w:rPr>
        <w:t>术语表</w:t>
      </w:r>
      <w:bookmarkEnd w:id="100"/>
    </w:p>
    <w:p>
      <w:pPr>
        <w:spacing w:before="0" w:after="12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1"/>
          <w:szCs w:val="21"/>
        </w:rPr>
        <w:t>本表解释正文中反复出现的概念。可先阅读，也可在遇到陌生术语时返回查阅。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术语</w:t>
            </w:r>
          </w:p>
        </w:tc>
        <w:tc>
          <w:tcPr>
            <w:tcW w:w="66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通俗说明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代码仓库 / Git / Gitea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代码仓库集中保存项目文件和修改历史。Git 记录版本；Gitea 是现场使用的 Git 网页服务。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分支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同一项目的一条开发路线。分支名称会随着新的提交改变指向，不能把它当成永远不变的版本。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提交 / SHA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一次被保存的修改。SHA 是这次提交的编号。查看文件内容时，系统使用完整的 40 位编号。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固定版本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发起任务时冻结的那一次提交。之后分支又有新提交，也不会改变这次任务已经读到的代码。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差异 / 第一父提交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差异列出增加、删除和修改。第一父提交是当前提交的直接前一版。合并提交也按第一个父提交比较。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专项审查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问题审查、设计模式或耦合度。问题审查可以看文件，也可以看一次提交的差异；另外两类只看文件。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Agent 分析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说明调查要求后，由模型使用只读工具查看固定版本，并提交一份带引用的结论。它不能修改仓库。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实际发给模型或由工具读回的代码片段。结论里的引用应当能打开到这些片段。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提示词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交给模型的规则或补充说明。用途分为专项通用规则、报告生成和 Agent 指导，不同页面只能选用对应用途。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模型名 / 接口地址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模型名是网关接受的调用标识。接口地址填写网关根，不要自行补上 /chat/completions。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Token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访问网关或仓库的凭据。页面不回显已经保存的明文。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上下文窗口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模型一次能接受的输入上限。Agent 接近上限时会停止，不会把前文压缩后再继续。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新库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存放专项、Agent 和现行报告的数据库，库名是 ai_code_review_agent。不配置它时，现行菜单里的操作不能完成。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反馈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对某条问题或整份模式、耦合结果选择准确、不准确或无法判断。反馈是人工记录，不表示代码已经改好。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离线部署包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事先导出的镜像、脚本和配置。装载镜像不需要公网仓库；运行时仍要连接现场 Git 和 AI 网关。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备份 / 回退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备份是另存数据库。回退是换回较早的应用镜像。换镜像不会自动恢复数据库，也不会撤销已经执行的库结构变更。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文档信息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文档属性</w:t>
            </w:r>
          </w:p>
        </w:tc>
        <w:tc>
          <w:tcPr>
            <w:tcW w:w="66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内容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系统名称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基于AI的智能代码分析工具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文档版本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适用分支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dev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适用源码基线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3025dfed67e7b7c013d88b77d579f9e7c43ebac9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编制日期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2026-10-22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适用人员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部署负责人、系统运维人员、代码审查人员、项目负责人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本手册说明当前 dev 基线的离线部署、新库启用、模型与仓库接入、专项审查、Agent 分析、反馈和报告。应用或部署包升级后，应按对应版本核对本手册。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尖括号中的版本、目标机地址、网关主机、账号和密码都是现场填写项。命令示例使用 Linux 终端。示例不包含真实密码或令牌。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长命令和配置值可能因版面自动折行。抄写时每条命令和每个配置值保持为一行。.env 中的 JAVA_OPTS 必须保留整段双引号。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1" w:name="DeliveryUChapter1"/>
      <w:r>
        <w:rPr>
          <w:rFonts w:ascii="宋体" w:hAnsi="宋体" w:eastAsia="宋体" w:cs="宋体"/>
        </w:rPr>
        <w:t>1 系统使用概览</w:t>
      </w:r>
      <w:bookmarkEnd w:id="101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1.1 系统用途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本系统接入 Git 仓库，对固定版本做问题审查、设计模式识别和耦合度解释，也可以发起只读的 Agent 分析。已完成的结果可以复核，并汇总成 Markdown 报告。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任务显示已完成，只说明这次执行结束。它不表示代码没有缺陷，也不表示模型意见已经由人员确认。材料不足的 Agent 结果必须保留未解决事项，不能改写成“已经全部查清”。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1.2 页面入口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默认访问地址为：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http://&lt;目标机内网IP&gt;:18080/#/reviews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浏览器标题为“智能代码分析工具”。左侧导航分两组。WORKSPACE 下是审查中心、代码浏览、报告。MANAGE 下是项目管理、模型管理、提示词管理、策略管理。侧栏底部有“专项与 Agent 工作台”和“固定版本 · 只读调查”的说明。首页就是审查中心。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页面</w:t>
            </w:r>
          </w:p>
        </w:tc>
        <w:tc>
          <w:tcPr>
            <w:tcW w:w="69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主要操作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审查中心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查看任务，发起专项审查或 Agent 分析，进入报告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代码浏览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选择项目、分支和文件，查看原文或差异，再带入发起审查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报告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从已完成结果里选材、生成并下载 Markdown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项目管理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新建、编辑和删除项目。列表不能点进旧的项目详情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模型管理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维护网关地址、模型名和凭据，执行验证和 Agent 验证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提示词管理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按用途编写规则并保留版本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策略管理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把专项类型、模型和支持规则组合成可复用策略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当前版本没有登录页面，也没有内建角色。部署负责人应通过内网范围和主机访问策略保护入口。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地址 /#/projects/项目ID 仍能打开旧版项目详情，里面保留结构视图、提交视图和五种旧分析器。现行导航没有这个入口。日常操作不要依赖该页。旧页使用另一套数据库记录，和审查中心里的任务不是同一份列表。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1.3 首次使用顺序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 部署离线包，确认应用和数据库健康。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 按第 4 章创建新库并重启应用，确认 /api/v2/health 返回版本 1。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 在模型管理中新建模型，先做验证，再做 Agent 验证。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 按需要编写提示词，并在策略管理中建立专项策略。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 在项目管理中接入仓库。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6. 用代码浏览或“发起专项审查”做一次小范围问题审查。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7. 在任务详情中阅读结果和材料，并保存反馈。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8. 需要调查某个问题时，再发起 Agent 分析。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9. 在报告中冻结已经核对过的结果，生成并下载 Markdown。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截图采集说明：打开审查中心，完整显示左侧两组菜单和任务列表区域。使用可公开的任务名，遮蔽仓库地址、令牌和浏览器内部地址。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图2 审查中心与左侧导航  现场截图预留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2" w:name="DeliveryUChapter2"/>
      <w:r>
        <w:rPr>
          <w:rFonts w:ascii="宋体" w:hAnsi="宋体" w:eastAsia="宋体" w:cs="宋体"/>
        </w:rPr>
        <w:t>2 部署环境与网络说明</w:t>
      </w:r>
      <w:bookmarkEnd w:id="102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2.1 部署形态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正式交付使用 Linux amd64 离线 Docker 包。应用镜像包含 JRE 17、Spring Boot 后端和已构建的 Vue 前端，由一个容器同时提供页面和接口。数据库是单独的 MySQL 8.0.36 容器。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目标机不需要再安装 Node.js、pnpm、Maven、JDK 或 Nginx。装载离线镜像不访问公网镜像仓库。业务运行仍要连接现场 Git 和 AI 网关。</w:t>
      </w:r>
    </w:p>
    <w:p>
      <w:pPr>
        <w:spacing w:before="120" w:after="80"/>
        <w:jc w:val="center"/>
      </w:pPr>
      <w:r>
        <w:drawing>
          <wp:inline distT="0" distB="0" distL="0" distR="0">
            <wp:extent cx="5938520" cy="5290681"/>
            <wp:effectExtent l="0" t="0" r="0" b="0"/>
            <wp:docPr id="200" name="图1 内网离线部署拓扑" descr="图1 内网离线部署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1 内网离线部署拓扑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29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图1 内网离线部署拓扑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图1 说明：浏览器通过宿主机端口访问应用。应用通过 Compose 网络访问 MySQL，并经宿主出站访问 Git 和 AI 网关。配置文件、Git 镜像和数据库数据保存在宿主机。模板会创建 code_review。ai_code_review_agent 需要按第 4 章另行创建后，审查中心才能工作。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2.2 环境要求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w="24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项目</w:t>
            </w:r>
          </w:p>
        </w:tc>
        <w:tc>
          <w:tcPr>
            <w:tcW w:w="28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要求或默认参数</w:t>
            </w:r>
          </w:p>
        </w:tc>
        <w:tc>
          <w:tcPr>
            <w:tcW w:w="41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处理器架构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Linux amd64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发布镜像固定为 linux/amd64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部署目录文件系统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Linux 原生文件系统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前置体检拒绝 drvfs、9p、cifs、ntfs、vboxsf 以及 /mnt/盘符 一类挂载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部署分区可用空间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至少 5 GB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前置体检按部署目录所在分区检查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Docker 数据分区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至少 8 GB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检查 Docker 数据根所在分区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当前可用内存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至少 6 GB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检查 MemAvailable，不是主机总内存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应用内存限制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4g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APP_MEM_LIMIT，需结合实际负载评估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数据库内存限制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2g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MYSQL_MEM_LIMIT。缓冲池默认 1G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JVM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-Xms1g -Xmx4g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写在 JAVA_OPTS 中，整段保留双引号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容器内端口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8080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应用监听端口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宿主机端口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18080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APP_PORT，可修改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数据库端口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仅内部 mysql:3306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默认不向宿主机发布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Compose 项目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codereview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容器名为 codereview-app、codereview-mysql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部署账号需要能访问 Docker。目标机应具备 Bash、tar、gzip、sha256sum、sed 和 awk。前置体检不通过时会阻止部署。脚本不会清理 Docker 镜像，也不会修改防火墙。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4g 和 2g 是容器上限，不是实测峰值，也不能当成主机只需新增这么多资源。现场应给其他业务留出余量。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2.3 网络与端口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w="2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方向</w:t>
            </w:r>
          </w:p>
        </w:tc>
        <w:tc>
          <w:tcPr>
            <w:tcW w:w="3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连接</w:t>
            </w:r>
          </w:p>
        </w:tc>
        <w:tc>
          <w:tcPr>
            <w:tcW w:w="39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现场要求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浏览器到宿主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APP_BIND_IP:APP_PORT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默认监听所有网卡。只对一块网卡开放时填写该地址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应用到数据库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Compose 网络内的 mysql:3306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不要把数据库端口公布到宿主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应用到 Gitea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仓库 URL 对应的 HTTP(S) 和 Git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主机必须写进 git.gitea.hosts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应用到 AI 网关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接口根下的 /chat/completions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部署机要能访问网关，令牌不要写入镜像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构建机到公网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仅构建离线包时需要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目标机装载镜像时不需要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防火墙按现场制度配置。部署脚本不会代为放行端口，也不会重启 Docker 守护进程。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3" w:name="DeliveryUChapter3"/>
      <w:r>
        <w:rPr>
          <w:rFonts w:ascii="宋体" w:hAnsi="宋体" w:eastAsia="宋体" w:cs="宋体"/>
        </w:rPr>
        <w:t>3 离线部署包与首次部署</w:t>
      </w:r>
      <w:bookmarkEnd w:id="103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3.1 包内文件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离线包名为 codereview-offline-&lt;版本&gt;.tar.gz。解压后的目录包含：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codereview-offline-&lt;版本&gt;/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├─ docker-compose.yml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├─ .env.example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├─ config/application.yml.example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├─ images/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│  ├─ codereview-app-&lt;版本&gt;.tar.gz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│  ├─ mysql-8.0.36.tar.gz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│  └─ SHA256SUMS.txt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├─ scripts/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│  ├─ deploy.sh  preflight.sh  backup.sh  rollback.sh  common.sh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├─ env-check.sh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└─ source-&lt;版本&gt;.zip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首次部署还会生成 data/mysql、data/git-mirrors、backups、config/application.yml 和 .env。data 与 .env 含有业务数据和凭据，不要打进对外压缩包。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3.2 解压与环境采集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tar xzf codereview-offline-&lt;版本&gt;.tar.gz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cd codereview-offline-&lt;版本&gt;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bash env-check.sh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环境采集只读取系统、Docker、资源和工具信息，默认把报告写到 /tmp，终端会打印实际路径。需要指定目录时执行 bash env-check.sh /&lt;可写目录&gt;。报告可能含有主机名和 IP，外传前要脱敏。采集脚本本身不判断 5 GB、8 GB 和 6 GB 门槛，门槛由前置体检执行。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3.3 校验镜像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cd images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sha256sum -c SHA256SUMS.txt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cd ..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应用镜像和数据库镜像都应显示 OK。出现 FAILED 时停止部署，重新取得文件后再校验。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3.4 填写参数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可以不提前创建 .env，直接执行部署脚本。脚本会从模板生成 .env，并写入两个 24 位字母数字密码。脚本只在 .env 不存在时生成密码。手工复制模板后若密码仍为空，脚本不会补齐。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若要自定密码，在首次部署前执行：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cp .env.example .env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然后编辑 .env。手工密码使用至少 24 位字母和数字，不要加引号。包含 &amp;、|、反斜杠或其他会被 sed 解释的字符时，可能破坏配置渲染。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600"/>
        <w:gridCol w:w="5760"/>
      </w:tblGrid>
      <w:tr>
        <w:trPr>
          <w:tblHeader/>
        </w:trPr>
        <w:tc>
          <w:tcPr>
            <w:tcW w:w="36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参数</w:t>
            </w:r>
          </w:p>
        </w:tc>
        <w:tc>
          <w:tcPr>
            <w:tcW w:w="57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默认或填写要求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APP_PORT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18080。改成现场空闲端口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APP_BIND_IP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0.0.0.0。可改成单块内网网卡地址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MYSQL_DATABASE / MYSQL_USER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code_review / codereview。这是旧库，不是新库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MYSQL_ROOT_PASSWORD / MYSQL_PASSWORD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必填。只在 data/mysql 首次初始化时生效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MYSQL_IMAGE_TAG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8.0.36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APP_MEM_LIMIT / MYSQL_MEM_LIMIT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4g / 2g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JAVA_OPTS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保留模板中的整段双引号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AI_BASE_URL / AI_MODEL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网关根和模型名。只在首次生成 application.yml 时写入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DEEPSEEK_API_KEY / GITEA_TOKEN / GITHUB_TOKEN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环境令牌，可留空，改由页面保存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数据库目录一旦初始化，再改 .env 里的密码不会同步到 MySQL。需要改密码时，由数据库管理员同时修改数据库账户和应用配置。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3.5 执行部署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bash scripts/deploy.sh --tag &lt;版本&gt;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脚本会创建目录、设置 Git 缓存权限、在配置不存在时渲染 application.yml、执行前置体检、装载本地镜像，并在已有数据库时尝试备份。确认应用端口、内存和项目名后输入 y。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取消启动并不表示脚本没有写过文件。镜像可能已经装载，配置可能已经生成。已有数据库备份失败时，脚本会警告并继续；升级前应先确认备份成功。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启动后最多等待约 5 分钟检查应用健康。健康检查只访问页面根路径，不能代替模型、仓库和新库检查。首次自动生成密码时，结束输出可能显示数据库密码，请记入受控凭据，不要截入交付图。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3.6 填写 Gitea 主机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把现场 Gitea 主机写入 config/application.yml 的 git.gitea.hosts。只写主机或主机:端口，不写协议和路径。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git: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gitea: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hosts: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  - &lt;Gitea主机或主机:端口&gt;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token: ${GITEA_TOKEN:}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local-clone-enabled: true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work-dir: /app/data/git-mirrors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mirror-timeout-seconds: 120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diff-max-bytes: 5242880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仓库地址形如 http://&lt;Gitea主机&gt;/gitea/&lt;owner&gt;/&lt;repo&gt; 时，系统保留 /gitea 前缀并推导 API 根。本地镜像用于缺少比较接口时的差异计算，也供 Agent 检索使用。修改 YAML 后重启应用：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docker compose -p codereview --env-file .env -f docker-compose.yml restart app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3.7 部署完成检查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 镜像校验通过，版本与交付说明一致。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 Compose 状态中 app 和 mysql 为运行且健康。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 浏览器能打开页面。此时审查中心还不能完成业务，先完成第 4 章。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 新库健康检查通过后，再做模型验证、仓库分支读取和一次小范围审查。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截图采集说明：采集镜像校验 OK、前置体检的磁盘和内存结果，以及 compose ps 中两个服务的健康状态。标明版本和时间，遮蔽密码、令牌和内部主机身份。不要截入首次打印的密码。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图3 部署检查与服务状态  现场截图预留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4" w:name="DeliveryUChapter4"/>
      <w:r>
        <w:rPr>
          <w:rFonts w:ascii="宋体" w:hAnsi="宋体" w:eastAsia="宋体" w:cs="宋体"/>
        </w:rPr>
        <w:t>4 启用专项与 Agent 新库</w:t>
      </w:r>
      <w:bookmarkEnd w:id="104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4.1 为什么要单独建库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审查中心、代码浏览、报告、模型、提示词、策略和项目管理都调用 /api/v2。这组接口只有在配置了新库地址后才会注册。交付模板里的 application.yml 只有旧库 code_review。按模板部署完成后，页面能打开，但现行操作会因接口不存在而失败。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新库必须是另一个数据库。若把新链指到已经有 flyway_schema_history 的 code_review，应用会拒绝启动，避免两套迁移写进同一个库。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4.2 创建数据库和账号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在 MySQL 健康之后，进入数据库客户端。密码使用 .env 中的 MYSQL_ROOT_PASSWORD，在提示符输入，不要写进命令行：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docker exec -it codereview-mysql mysql -uroot -p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执行下面的语句。尖括号密码换成现场密码，使用字母和数字：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CREATE DATABASE ai_code_review_agent CHARACTER SET utf8mb4 COLLATE utf8mb4_0900_ai_ci;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CREATE USER 'codereview_agent'@'%' IDENTIFIED BY '&lt;新库密码&gt;';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GRANT ALL PRIVILEGES ON ai_code_review_agent.* TO 'codereview_agent'@'%';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FLUSH PRIVILEGES;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4.3 写入应用配置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编辑宿主机上的 config/application.yml，在文件中增加下面一节。主机名使用 mysql，不要写成 localhost，也不要指向 code_review。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agent: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datasource: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url: jdbc:mysql://mysql:3306/ai_code_review_agent?useUnicode=true&amp;characterEncoding=utf8&amp;serverTimezone=UTC&amp;useSSL=false&amp;allowPublicKeyRetrieval=true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username: codereview_agent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password: &lt;新库密码&gt;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expected-database: ai_code_review_agent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 xml:space="preserve">    migration-location: classpath:db/agent-migration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保存后重启应用。application.yml 是挂载进容器的，restart 可以读到修改。deploy.sh 发现该文件已存在时不会覆盖它。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docker compose -p codereview --env-file .env -f docker-compose.yml restart app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4.4 确认新库可用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应用健康后访问：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http://&lt;目标机内网IP&gt;:18080/api/v2/health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正常返回 database 为 agent、schemaVersion 为 1。然后打开审查中心，模型列表应为空而不是报接口不存在。新库不会自动插入旧库那条“DeepSeek(默认)”。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若应用无法启动，查看 app 日志。常见拒绝原因是库名与 expected-database 不一致、目标库存在旧链历史表，或身份标记和迁移历史只存在一半。不要为了消掉错误而把新链改到 code_review。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5" w:name="DeliveryUChapter5"/>
      <w:r>
        <w:rPr>
          <w:rFonts w:ascii="宋体" w:hAnsi="宋体" w:eastAsia="宋体" w:cs="宋体"/>
        </w:rPr>
        <w:t>5 运行维护、升级与回退</w:t>
      </w:r>
      <w:bookmarkEnd w:id="105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5.1 常用命令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以下命令在离线包根目录执行。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docker compose -p codereview --env-file .env -f docker-compose.yml ps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docker compose -p codereview --env-file .env -f docker-compose.yml logs --tail=200 app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docker compose -p codereview --env-file .env -f docker-compose.yml logs --tail=200 mysql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docker compose -p codereview --env-file .env -f docker-compose.yml restart app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修改 .env 中的端口、环境令牌或 JAVA_OPTS 后，单纯 restart 不会重建容器环境。核对后重新执行部署脚本。只在模型页面修改的配置保存在新库，按页面保存并验证即可。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5.2 备份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bash scripts/backup.sh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备份要求 codereview-mysql 健康，且 .env 中的 root 密码有效。脚本导出压缩 SQL，并复制当时的 .env。它会删除超过 7 天的本项目 SQL 和 env 副本，不会自动建立每日任务。需要每日备份时由运维自行安排，例如：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0 2 * * * cd /opt/codereview-offline-&lt;版本&gt; &amp;&amp; bash scripts/backup.sh &gt;&gt; backups/backup.log 2&gt;&amp;1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正式备份应确认文件非空并做过恢复验证。数据库运行时直接复制 data/mysql 目录不能代替这份导出。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5.3 升级与回退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升级前单独备份。把新包中的镜像、脚本和模板按交付说明更新到部署目录，保留已有 .env、config/application.yml、data 和 backups。其中 application.yml 应继续保留第 4 章的新库配置。然后执行：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bash scripts/deploy.sh --tag &lt;新版本&gt;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回退应用镜像：</w:t>
      </w:r>
    </w:p>
    <w:p>
      <w:pPr>
        <w:spacing w:after="60"/>
        <w:jc w:val="left"/>
        <w:rPr>
          <w:rFonts w:ascii="Consolas" w:hAnsi="Consolas" w:eastAsia="宋体" w:cs="宋体"/>
        </w:rPr>
      </w:pPr>
      <w:r>
        <w:rPr>
          <w:rFonts w:ascii="Consolas" w:hAnsi="Consolas" w:eastAsia="宋体" w:cs="宋体"/>
          <w:sz w:val="20"/>
          <w:szCs w:val="20"/>
        </w:rPr>
        <w:t>bash scripts/rollback.sh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回退依赖本机存在 codereview-app:previous。脚本会尝试备份数据库，确认后把 APP_TAG 改为 previous 并启动。镜像回退不恢复数据，也不撤销 Flyway。旧库历史在 flyway_schema_history，新库历史在 agent_schema_history。需要恢复数据时，由数据库管理员使用 SQL 备份处理。rollback.sh 不是数据恢复脚本。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5.4 凭据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.env、application.yml、备份和数据库都含敏感信息。页面不回显令牌，并不表示数据库里的凭据已经加密。限制部署目录和备份的访问。删除项目前，先下载仍需留存的报告。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6" w:name="DeliveryUChapter6"/>
      <w:r>
        <w:rPr>
          <w:rFonts w:ascii="宋体" w:hAnsi="宋体" w:eastAsia="宋体" w:cs="宋体"/>
        </w:rPr>
        <w:t>6 模型接入与验证</w:t>
      </w:r>
      <w:bookmarkEnd w:id="106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6.1 新建模型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打开“模型管理”，点击“＋ 新建模型”。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字段</w:t>
            </w:r>
          </w:p>
        </w:tc>
        <w:tc>
          <w:tcPr>
            <w:tcW w:w="69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填写方法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给人看的配置名，例如“现场审查模型”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模型名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网关接受的标识，必须与现场提供的名称一致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接口地址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网关根。示例 https://&lt;网关主机&gt;/v1。不要写到 /chat/completions，也不要末尾斜杠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凭据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网关令牌。保存后不回显；编辑时留空表示不修改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上下文窗口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按网关公布的输入上限填写，单位是 token。Agent 用它判断何时停止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最大输出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单次输出上限。实际预留不会超过这里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计量方式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可留空，系统使用保守估算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协议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只选择 OpenAI Chat 兼容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6.2 两种验证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列表中的“验证”检查网关是否接受当前地址、模型和凭据，并返回最小 JSON。通过后状态为“验证通过”。它不检查长代码和工具调用。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“Agent 验证”向该模型做两轮工具协议调用，不读取业务仓库。只有通过当前配置修订的模型才能用于 Agent。修改窗口、输出、地址或凭据后，原验证失效，页面会显示配置已变更或需要重新验证。连通性验证不能代替 Agent 验证。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验证失败时保留配置。401 或 403 检查令牌；404 检查接口根是否多写或少写了 /v1；模型名错误按网关返回核对；超时检查应用是否能够访问网关。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截图采集说明：采集模型列表和编辑表单，显示名称、接口地址、模型名、窗口和两种验证状态。凭据保持隐藏，网关地址按交付范围脱敏。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图4 模型接入与 Agent 验证  现场截图预留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7" w:name="DeliveryUChapter7"/>
      <w:r>
        <w:rPr>
          <w:rFonts w:ascii="宋体" w:hAnsi="宋体" w:eastAsia="宋体" w:cs="宋体"/>
        </w:rPr>
        <w:t>7 提示词管理</w:t>
      </w:r>
      <w:bookmarkEnd w:id="107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7.1 按用途新建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打开“提示词管理”，点击“＋ 新建提示词”。填写名称和正文。描述和标签按需填写。用途三选一：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专项通用规则：只能被策略选用，供问题审查、设计模式或耦合度使用。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报告生成：生成报告时作为补充要求。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Agent 指导（页面文案含“P33 接入”）：发起 Agent 时可选。不选则使用系统内置的调查说明。页面顶部仍提示该用途在 P33 接入，但发起页已经能够选用它。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规则应写明检查对象、证据要求和输出形式。避免只写“检查所有问题”。材料不足的事项应要求模型列为待确认，而不是编造其他文件的行为。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7.2 版本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编辑后保存时，若正文有变化，系统创建新版本，不覆盖当前版本。历史版本不能改。点击“版本与对比”选择两个版本查看差异；内容相同时界面说明两版相同。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任务使用的是发起当时冻结的正文。之后修改提示词，不会改写已有任务和报告。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8" w:name="DeliveryUChapter8"/>
      <w:r>
        <w:rPr>
          <w:rFonts w:ascii="宋体" w:hAnsi="宋体" w:eastAsia="宋体" w:cs="宋体"/>
        </w:rPr>
        <w:t>8 审查策略</w:t>
      </w:r>
      <w:bookmarkEnd w:id="108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8.1 新建策略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打开“策略管理”，点击“＋ 新建策略”。填写名称，选择专项类型和关联模型。通用规则提示词可选，列表里只有用途为“专项通用规则”的提示词。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专项类型</w:t>
            </w:r>
          </w:p>
        </w:tc>
        <w:tc>
          <w:tcPr>
            <w:tcW w:w="61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使用方式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问题审查（含提交差异）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发起时还可以选择文件内容或提交差异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设计模式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只接受文件内容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耦合度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只接受文件内容，解释服务端已经算出的依赖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策略在发起时带入模型。选择了策略之后，发起页不能再单独改模型。删除策略不影响已经冻结的历史任务。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现行策略没有旧的五种分析器、高扇出阈值、方法体窗口或外部 API 地址。那些字段只属于旧项目详情页。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9" w:name="DeliveryUChapter9"/>
      <w:r>
        <w:rPr>
          <w:rFonts w:ascii="宋体" w:hAnsi="宋体" w:eastAsia="宋体" w:cs="宋体"/>
        </w:rPr>
        <w:t>9 项目、分支与代码浏览</w:t>
      </w:r>
      <w:bookmarkEnd w:id="109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9.1 新建和编辑项目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打开“项目管理”，点击“＋ 新建项目”。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字段</w:t>
            </w:r>
          </w:p>
        </w:tc>
        <w:tc>
          <w:tcPr>
            <w:tcW w:w="69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列表和筛选用，例如“订单服务”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仓库地址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创建后锁定。要换地址时新建项目，不要改旧项目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访问令牌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优先于部署环境中的 GITEA_TOKEN 或 GITHUB_TOKEN。编辑时留空表示不修改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当前分支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新建时填写，空则按 main 保存。编辑项目时不能修改分支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保存时系统读取远端分支做连通检查。失败时核对地址、网络、令牌，以及第 3.6 节的 Gitea 主机白名单。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9.2 选择分支和文件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代码浏览中的顺序是：选择项目，选择分支，再选择“文件内容”或“提交差异”。差异模式还要选择提交，需要更早记录时点击“加载更多提交”。左侧可以筛选路径并勾选文件，右侧查看完整原文，或查看改动、修改前原文和修改后原文。变更标签为新增、修改、删除、重命名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确认范围后点击“审查已选文件”。系统把已选文件带入发起专项审查页面。发起页仍会再次核对分支 HEAD。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截图采集说明：采集代码浏览中的项目、分支、文件内容和已选文件。使用可公开路径，遮蔽令牌和不需公开的仓库地址。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图5 代码浏览与分支选择  现场截图预留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9.3 删除项目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在项目列表点击“删除”。确认框说明：项目会从列表移除，已完成的审查任务仍保留，不能再从该项目发起新审查；进行中的任务会阻止删除。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删除不会把已完成任务从审查中心抹掉。需要留存的报告应先下载。不要用删除项目来处理模型连接失败。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10" w:name="DeliveryUChapter10"/>
      <w:r>
        <w:rPr>
          <w:rFonts w:ascii="宋体" w:hAnsi="宋体" w:eastAsia="宋体" w:cs="宋体"/>
        </w:rPr>
        <w:t>10 发起专项审查</w:t>
      </w:r>
      <w:bookmarkEnd w:id="110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10.1 操作步骤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在审查中心点击“发起专项审查”。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 填写审查名称，最长 200 字。留空时保存为“审查任务”加任务 ID。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 选择项目和专项类型。只有问题审查可以选择“文件内容”或“提交差异”。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 选择分支。文件模式显示将要固定的版本，可点击“重新读取”。发起时若分支 HEAD 已经移动，任务会被拒绝。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 差异模式选择一个提交。比较基线为父提交；没有父提交时显示根提交。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 选择或调整文件范围。点击文件名是预览，勾选后才进入范围。可用路径搜索、展开、收起、全选筛选结果和清空。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6. 选择策略。选了策略后模型由策略带入。未选策略时单独选择模型。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7. 按需要填写每个文件的补充说明。问题审查可勾选“智能拆分文件”，默认不勾选。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8. 点击“开始审查”。页面返回审查中心，并提示任务已在后台执行，可稍后刷新。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截图采集说明：采集发起对话框中的类型、分支、固定版本和文件范围。不要把预估范围说成已经产生的模型调用次数。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图6 发起专项审查  现场截图预留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10.2 阅读任务详情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审查中心点击“查看详情”。排队或执行中可以刷新，也可以取消。取消会保留已完成文件的结果，并停止未完成文件，确认框会再次询问。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详情有三个页签。审查结果按问题、模式或耦合展示。材料与边界说明本次发送了什么、没有发送什么，可打开“查看代码”。实际调用列出每次模型请求，可查看完整输入和输出。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问题类别显示为正确性、安全、可靠性、性能、可维护性或规则。对单条问题可以反馈准确、不准确或无法判断，也可以清除评价。模式和耦合在结果底部对整份结果反馈一次。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详情在执行过程中约每 3 秒自行更新，结束后停止。审查中心列表不会跟着自动更新，需要点击刷新。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截图采集说明：采集结果、材料边界和一条反馈。保留真实状态，不伪造问题数量或准确率。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图7 专项结果、材料与反馈  现场截图预留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11" w:name="DeliveryUChapter11"/>
      <w:r>
        <w:rPr>
          <w:rFonts w:ascii="宋体" w:hAnsi="宋体" w:eastAsia="宋体" w:cs="宋体"/>
        </w:rPr>
        <w:t>11 发起 Agent 分析</w:t>
      </w:r>
      <w:bookmarkEnd w:id="111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11.1 发起前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在审查中心点击“＋ 发起 Agent 分析”。若没有已通过 Agent 验证的模型，页面会提示先到模型管理执行 Agent 验证，并且不能用连通性验证代替。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选择项目、模型和可选的指导提示词。提示词只列出 Agent 指导用途。参考结果标识可选，且必须是同项目已经完成的结果。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11.2 范围与要求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 任务名称可选，最长 200 字。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 范围类型三选一：文字描述、文件或目录、提交比较。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 文字描述直接填写调查范围。文件或目录最多 100 项。提交比较先选分支并刷新提交，按选择顺序读取，最多 20 个，界面用 C1、C2 标记，不把它们合并成首尾净差异。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 填写本次要求，必填，最长 16000 字。写明要回答的问题和可以接受的证据。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 点击“开始 Agent 分析”。系统进入该任务详情。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模型只能使用只读工具查看目录、查找文件、搜索代码、按行读代码和读差异。它不能修改仓库。每轮最多调用 4 个工具。只有模型提交结果之后，详情里才有完整结论。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截图采集说明：采集范围类型、已选文件或提交顺序，以及本次要求。不要露出令牌。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图8 发起 Agent 分析  现场截图预留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11.3 阅读执行记录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详情页签为审查结果、执行记录、实际调用和任务输入。执行中约每 2 秒更新。仪表显示模型轮次、工具尝试、网络尝试、期限和输出上限。默认预算是 48 轮、192 次工具尝试、96 次网络尝试和 20 分钟。输入接近上下文窗口的 80% 时停止。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结果区显示“已回答”或“材料不足”。材料不足时，未解决事项会保留，报告选材时也会保留这个限制。可以下载结果 Markdown。代码证据列出引用，实际调用里可以打开工具参数、返回和材料。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取消在排队或执行中可用。应用重启后，原来还在排队或执行的任务会变为失败，原因是中断，不能从中断点接着跑。需要结论时应按原参数新建一次。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截图采集说明：采集已回答或材料不足的结果、未解决事项和一处代码证据。材料不足的样本不要改成全部已回答。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图9 Agent 结果与执行记录  现场截图预留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12" w:name="DeliveryUChapter12"/>
      <w:r>
        <w:rPr>
          <w:rFonts w:ascii="宋体" w:hAnsi="宋体" w:eastAsia="宋体" w:cs="宋体"/>
        </w:rPr>
        <w:t>12 结果、材料与反馈</w:t>
      </w:r>
      <w:bookmarkEnd w:id="112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12.1 怎样判断结果可用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看到的状态</w:t>
            </w:r>
          </w:p>
        </w:tc>
        <w:tc>
          <w:tcPr>
            <w:tcW w:w="61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可以怎样使用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已完成，且结果能打开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可以阅读、反馈，并作为报告候选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部分完成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只采用已经写出的部分，并说明缺失范围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失败或已取消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不要当成审查结论。可复制参数重新发起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Agent 材料不足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可以进入报告，但必须保留未解决事项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结果接口没有内容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任务尚未发布结果。不要补写一份空结论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12.2 反馈和准确率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反馈写在专项任务详情中。问题审查按条反馈；设计模式和耦合度对整份结果反馈。选项是准确、不准确、无法判断和清除评价。保存后显示已保存时间。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有反馈时，详情上方显示本任务的准确率。分母只包含准确和不准确。没有这两类判断时不显示百分比。无法判断和未反馈单独计数，不能把未反馈当成准确。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Agent 结果没有这组准确、不准确按钮。它的可用性看回答状态、引用和未解决事项。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旧项目详情里的“误报 / 已采纳”属于旧审查记录，不写入现行任务的反馈。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13" w:name="DeliveryUChapter13"/>
      <w:r>
        <w:rPr>
          <w:rFonts w:ascii="宋体" w:hAnsi="宋体" w:eastAsia="宋体" w:cs="宋体"/>
        </w:rPr>
        <w:t>13 报告生成</w:t>
      </w:r>
      <w:bookmarkEnd w:id="113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13.1 选择材料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在审查中心或报告页点击“生成报告”。填写报告名称，默认是“专项审查报告”。选择生成模型。报告补充要求可选，对应用途为报告生成的提示词。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左侧按项目和类型筛选候选。类型包括问题审查、设计模式、耦合度和 Agent。Agent 行会显示已回答或材料不足，以及未解决项数量。勾选后进入右侧“已选材料”。可以打开结果核对，不需要的来源可以移除。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点击“冻结材料并生成”。冻结之后，来源内容不再跟随原任务后来的变化。正式报告应优先选择范围清楚、已经看过材料和反馈的结果。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13.2 生成、查看和下载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报告状态为待生成、排队中、生成中、已完成或生成失败。排队和生成中约每 2 秒更新。已完成的报告可以下载 Markdown。失败后可以重新选材生成。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报告详情右侧是报告来源。点开来源可以看到冻结时的类型、Agent 的回答状态和未解决事项，以及当时的反馈计数。正文中的 [S1]、[S2] 对应该来源序号。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发布前阅读正文，核对引用是否指向所选材料。Agent 写了材料不足时，报告里也应能看到这个限制。系统只提供 Markdown 下载，没有内建的 Word 导出。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截图采集说明：采集选材列表、来源类型和下载按钮。材料不足的 Agent 来源要保留标注。遮蔽敏感代码；完整 Markdown 另行归档，截图不能代替全文。</w:t>
      </w:r>
    </w:p>
    <w:p>
      <w:pPr>
        <w:spacing w:before="200" w:after="280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666666"/>
          <w:sz w:val="21"/>
          <w:szCs w:val="21"/>
        </w:rPr>
        <w:t>（现场截图预留，约 6 厘米。按上一段采集说明补入后，请更新目录页码。）</w:t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图10 报告选材与 Markdown 下载  现场截图预留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14" w:name="DeliveryUChapter14"/>
      <w:r>
        <w:rPr>
          <w:rFonts w:ascii="宋体" w:hAnsi="宋体" w:eastAsia="宋体" w:cs="宋体"/>
        </w:rPr>
        <w:t>14 常见故障与交付留存</w:t>
      </w:r>
      <w:bookmarkEnd w:id="114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14.1 故障处理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现象</w:t>
            </w:r>
          </w:p>
        </w:tc>
        <w:tc>
          <w:tcPr>
            <w:tcW w:w="65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检查与处理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页面打不开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核对 APP_PORT、容器是否 healthy、防火墙是否放行。健康只说明根页面有响应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审查中心一直无法加载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多半是新库未配置。按第 4 章检查 /api/v2/health。不要改去使用 code_review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应用重启失败并提示历史表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新库地址指向了旧库，或库名与 expected-database 不一致。改回独立新库后再启动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模型验证 401 或 403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更换令牌后重新验证。编辑时留空不会清除旧令牌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模型验证 404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接口地址多写了 /chat/completions，或少了现场要求的 /v1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没有可选的 Agent 模型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对该模型执行 Agent 验证。只做普通验证不够；修改窗口或输出后要重做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发起时提示分支已移动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回到发起页重新读取 HEAD，确认文件仍在该版本上，再提交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仓库分支或文件为空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检查地址、令牌和 git.gitea.hosts。项目令牌优先于环境变量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任务停在执行中很久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查看详情里的轮次和期限。Agent 默认 20 分钟。重启会使未完成任务变为中断失败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结果是材料不足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阅读未解决事项，补充范围或换一次更具体的要求重新发起。不要把它写成没有问题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删除项目被拒绝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仍有排队、准备或执行中的任务。等结束或取消后再删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升级后页面仍是旧行为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确认装载的是新镜像，并且 application.yml 仍包含新库配置。已存在的 yml 不会被部署脚本覆盖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回退后数据没有回到旧内容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rollback.sh 只切换应用镜像。数据要使用 backup.sh 的 SQL，由数据库管理员恢复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备份失败</w:t>
            </w:r>
          </w:p>
        </w:tc>
        <w:tc>
          <w:tcPr>
            <w:tcW w:w="6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确认 mysql 健康，以及 .env 的 root 密码与数据目录初始化时一致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14.2 排障时应保留的材料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提供包版本、发生时间、任务 ID、项目、分支和固定的 SHA、页面上的状态与停止原因、compose ps，以及 app 与 mysql 日志。外传前去掉令牌、密码和不必公开的源码。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不要用连续点击发起来代替定位。网关或仓库不可达时先处理连接；范围错误时重新选择；材料不足时补充证据；回退时分清镜像和数据库。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14.3 交付留存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资料</w:t>
            </w:r>
          </w:p>
        </w:tc>
        <w:tc>
          <w:tcPr>
            <w:tcW w:w="61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用途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离线包和 SHA256SUMS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证明部署的镜像和脚本版本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env-check 报告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记录目标机环境。外传前脱敏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新库健康检查结果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证明 /api/v2 已注册且身份版本为 1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一次小范围专项的任务 ID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证明仓库、模型和结果链路可用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一次 Agent 结果或材料不足样本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证明工具调查和限制提示符合现场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下载的 Markdown 报告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作为业务留存。截图不能代替全文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backup.sh 生成的 SQL 和 env 副本</w:t>
            </w:r>
          </w:p>
        </w:tc>
        <w:tc>
          <w:tcPr>
            <w:tcW w:w="6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用于恢复。限制访问权限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本手册中的图1是部署拓扑。图2至图10是现场截图预留，需要在可运行环境按各节采集说明补拍。补拍后更新目录页码，并再次核对图题与正文。架构和执行过程图见配套技术报告。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FEC8BEF-7E7F-4337-B4D5-428781F994B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7A92984-79AC-415A-9B9E-6A72D8E2C8C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7AD96C9D-DC5C-41B2-A1AB-04AC50AEED9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6FFF7E2-47BC-40F7-869B-3551AAAAB90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2B43EBB-2FFA-49E9-8328-9C821FE6C71A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6" w:fontKey="{5D25AF1C-CBD2-451F-A0C2-9E9B8151A314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5677CEBD-905B-4E00-A1C0-360DD1EA6FD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5746D873-B9D2-42FB-951F-F3EB56ED45CE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7BE9C13F-4B9D-4471-957A-6F733713596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6">
    <w:pPr>
      <w:rPr>
        <w:color w:val="002715"/>
      </w:rPr>
    </w:pPr>
  </w:p>
  <w:tbl>
    <w:tblPr>
      <w:tblStyle w:val="22"/>
      <w:tblW w:w="9360" w:type="dxa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</w:tblPr>
    <w:tblGrid>
      <w:gridCol w:w="4680"/>
      <w:gridCol w:w="4680"/>
    </w:tblGrid>
    <w:tr w14:paraId="66643A67">
      <w:tblPrEx>
        <w:tblCellMar>
          <w:top w:w="100" w:type="dxa"/>
          <w:left w:w="100" w:type="dxa"/>
          <w:bottom w:w="100" w:type="dxa"/>
          <w:right w:w="100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 w14:paraId="00000117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ascii="宋体" w:hAnsi="宋体" w:eastAsia="宋体" w:cs="宋体"/>
              <w:color w:val="105128"/>
              <w:sz w:val="18"/>
              <w:szCs w:val="18"/>
            </w:rPr>
          </w:pPr>
          <w:r>
            <w:rPr>
              <w:rFonts w:ascii="宋体" w:hAnsi="宋体" w:eastAsia="宋体" w:cs="宋体"/>
              <w:color w:val="105128"/>
              <w:sz w:val="18"/>
              <w:szCs w:val="18"/>
              <w:rtl w:val="0"/>
            </w:rPr>
            <w:t>基于AI的智能代码分析工具 用户手册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 w14:paraId="00000118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right"/>
            <w:rPr>
              <w:rFonts w:ascii="宋体" w:hAnsi="宋体" w:eastAsia="宋体" w:cs="宋体"/>
              <w:color w:val="105128"/>
              <w:sz w:val="18"/>
              <w:szCs w:val="18"/>
            </w:rPr>
          </w:pPr>
          <w:r>
            <w:rPr>
              <w:rFonts w:ascii="宋体" w:hAnsi="宋体" w:eastAsia="宋体" w:cs="宋体"/>
              <w:color w:val="105128"/>
              <w:sz w:val="18"/>
              <w:szCs w:val="18"/>
            </w:rPr>
            <w:fldChar w:fldCharType="begin"/>
          </w:r>
          <w:r>
            <w:rPr>
              <w:rFonts w:ascii="宋体" w:hAnsi="宋体" w:eastAsia="宋体" w:cs="宋体"/>
              <w:color w:val="105128"/>
              <w:sz w:val="18"/>
              <w:szCs w:val="18"/>
            </w:rPr>
            <w:instrText xml:space="preserve">PAGE</w:instrText>
          </w:r>
          <w:r>
            <w:rPr>
              <w:rFonts w:ascii="宋体" w:hAnsi="宋体" w:eastAsia="宋体" w:cs="宋体"/>
              <w:color w:val="105128"/>
              <w:sz w:val="18"/>
              <w:szCs w:val="18"/>
            </w:rPr>
            <w:fldChar w:fldCharType="separate"/>
          </w:r>
          <w:r>
            <w:rPr>
              <w:rFonts w:ascii="宋体" w:hAnsi="宋体" w:eastAsia="宋体" w:cs="宋体"/>
              <w:color w:val="105128"/>
              <w:sz w:val="18"/>
              <w:szCs w:val="18"/>
            </w:rPr>
            <w:fldChar w:fldCharType="end"/>
          </w:r>
        </w:p>
      </w:tc>
    </w:tr>
  </w:tbl>
  <w:p w14:paraId="00000119">
    <w:pPr>
      <w:rPr>
        <w:color w:val="002715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3480BF"/>
    <w:multiLevelType w:val="multilevel"/>
    <w:tmpl w:val="333480BF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C9B1028"/>
    <w:rsid w:val="11A75487"/>
    <w:rsid w:val="235D7669"/>
    <w:rsid w:val="2F981491"/>
    <w:rsid w:val="64B42061"/>
    <w:rsid w:val="7B772D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宋体" w:hAnsi="宋体" w:eastAsia="宋体" w:cs="宋体"/>
      <w:b/>
      <w:bCs/>
      <w:color w:val="1A703A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/>
      <w:jc w:val="left"/>
      <w:outlineLvl w:val="1"/>
    </w:pPr>
    <w:rPr>
      <w:color w:val="592382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/>
      <w:jc w:val="center"/>
    </w:pPr>
    <w:rPr>
      <w:rFonts w:ascii="宋体" w:hAnsi="宋体" w:eastAsia="宋体" w:cs="宋体"/>
      <w:color w:val="59238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37233F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37233F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/>
    </w:pPr>
    <w:rPr>
      <w:i/>
      <w:iCs/>
      <w:color w:val="595959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uiPriority w:val="0"/>
    <w:pPr>
      <w:tabs>
        <w:tab w:val="right" w:leader="dot" w:pos="9360"/>
      </w:tabs>
      <w:spacing w:before="0" w:after="120" w:line="260" w:lineRule="auto"/>
      <w:outlineLvl w:val="9"/>
    </w:pPr>
    <w:rPr>
      <w:rFonts w:ascii="宋体" w:hAnsi="宋体" w:eastAsia="宋体" w:cs="宋体"/>
      <w:color w:val="000000"/>
      <w:sz w:val="21"/>
      <w:szCs w:val="21"/>
    </w:rPr>
  </w:style>
  <w:style w:type="paragraph" w:styleId="9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0">
    <w:name w:val="Title"/>
    <w:basedOn w:val="1"/>
    <w:next w:val="1"/>
    <w:qFormat/>
    <w:uiPriority w:val="0"/>
    <w:pPr>
      <w:spacing w:after="80"/>
      <w:jc w:val="center"/>
    </w:pPr>
    <w:rPr>
      <w:b/>
      <w:bCs/>
      <w:color w:val="4A2E5F"/>
      <w:sz w:val="80"/>
      <w:szCs w:val="80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3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4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5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8"/>
    <w:basedOn w:val="13"/>
    <w:qFormat/>
    <w:uiPriority w:val="0"/>
  </w:style>
  <w:style w:type="paragraph" w:customStyle="1" w:styleId="23">
    <w:name w:val="目录标题"/>
    <w:basedOn w:val="1"/>
    <w:uiPriority w:val="0"/>
    <w:pPr>
      <w:keepNext/>
      <w:spacing w:before="0" w:after="120" w:line="260" w:lineRule="auto"/>
      <w:outlineLvl w:val="9"/>
    </w:pPr>
    <w:rPr>
      <w:rFonts w:ascii="宋体" w:hAnsi="宋体" w:eastAsia="宋体" w:cs="宋体"/>
      <w:color w:val="1A703A"/>
      <w:sz w:val="36"/>
      <w:szCs w:val="36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0" Type="http://schemas.openxmlformats.org/officeDocument/2006/relationships/image" Target="media/deployment.png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36</Pages>
  <Words>16592</Words>
  <Characters>21293</Characters>
  <TotalTime>12</TotalTime>
  <ScaleCrop>false</ScaleCrop>
  <LinksUpToDate>false</LinksUpToDate>
  <CharactersWithSpaces>22433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2026-10-14T07:48:00Z</dcterms:created>
  <dc:creator>ysx</dc:creator>
  <cp:lastModifiedBy>化け物</cp:lastModifiedBy>
  <dcterms:modified xsi:type="dcterms:W3CDTF">2026-10-22T16:00:00Z</dcterms:modified>
  <dc:title>基于AI的智能代码分析工具-用户手册</dc:title>
  <dc:description>dev 3025dfed67e7b7c013d88b77d579f9e7c43ebac9，文档版本 1.1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eyJoZGlkIjoiZGJmOTZhYzk5N2JkMzJmMWY3NmFmMTk3Yjc3NGNjM2EiLCJ1c2VySWQiOiIxMzc4NDgzODQ0In0=</vt:lpwstr>
  </property>
  <property fmtid="{D5CDD505-2E9C-101B-9397-08002B2CF9AE}" pid="3" name="KSOProductBuildVer">
    <vt:lpwstr>2052-12.1.0.28505</vt:lpwstr>
  </property>
  <property fmtid="{D5CDD505-2E9C-101B-9397-08002B2CF9AE}" pid="4" name="ICV">
    <vt:lpwstr>FA01FB4C227E435CB52C529694B5BF6D_12</vt:lpwstr>
  </property>
</Properties>
</file>