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rPr>
          <w:rFonts w:hint="eastAsia" w:ascii="宋体" w:hAnsi="宋体" w:eastAsia="宋体" w:cs="宋体"/>
          <w:color w:val="1A703A"/>
        </w:rPr>
      </w:pPr>
      <w:bookmarkStart w:id="0" w:name="_heading=h.fuuxw87etzty" w:colFirst="0" w:colLast="0"/>
      <w:bookmarkEnd w:id="0"/>
      <w:r>
        <w:rPr>
          <w:rFonts w:hint="eastAsia" w:ascii="宋体" w:hAnsi="宋体" w:eastAsia="宋体" w:cs="宋体"/>
          <w:color w:val="1A703A"/>
          <w:rtl w:val="0"/>
        </w:rPr>
        <w:t>技术交付报告</w:t>
      </w:r>
    </w:p>
    <w:p w14:paraId="00000002">
      <w:pPr>
        <w:rPr>
          <w:rFonts w:hint="eastAsia" w:ascii="宋体" w:hAnsi="宋体" w:eastAsia="宋体" w:cs="宋体"/>
          <w:color w:val="002715"/>
        </w:rPr>
      </w:pPr>
    </w:p>
    <w:p w14:paraId="00000003">
      <w:pPr>
        <w:rPr>
          <w:rFonts w:hint="eastAsia" w:ascii="宋体" w:hAnsi="宋体" w:eastAsia="宋体" w:cs="宋体"/>
          <w:color w:val="002715"/>
        </w:rPr>
      </w:pPr>
    </w:p>
    <w:p w14:paraId="00000004">
      <w:pPr>
        <w:rPr>
          <w:rFonts w:hint="eastAsia" w:ascii="宋体" w:hAnsi="宋体" w:eastAsia="宋体" w:cs="宋体"/>
          <w:color w:val="002715"/>
        </w:rPr>
      </w:pPr>
      <w:r>
        <w:rPr>
          <w:rFonts w:hint="eastAsia" w:ascii="宋体" w:hAnsi="宋体" w:eastAsia="宋体" w:cs="宋体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510"/>
                <wp:effectExtent l="0" t="0" r="0" b="0"/>
                <wp:wrapTopAndBottom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633092"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75pt;margin-top:27.75pt;height:1.3pt;width:58.5pt;mso-wrap-distance-bottom:18pt;mso-wrap-distance-top:18pt;z-index:251659264;v-text-anchor:middle;mso-width-relative:page;mso-height-relative:page;" fillcolor="#1A703A" filled="t" stroked="f" coordsize="21600,21600" o:gfxdata="UEsDBAoAAAAAAIdO4kAAAAAAAAAAAAAAAAAEAAAAZHJzL1BLAwQUAAAACACHTuJAoHXTtNYAAAAJ&#10;AQAADwAAAGRycy9kb3ducmV2LnhtbE2PzU7DQAyE70i8w8pIXBDdTUWqNmRTCSQeoCni7GZNEmV/&#10;QnbbpDw95gQnj+XR+JtyvzgrLjTFPngN2UqBIN8E0/tWw/vx7XELIib0Bm3wpOFKEfbV7U2JhQmz&#10;P9ClTq3gEB8L1NClNBZSxqYjh3EVRvJ8+wyTw8Tr1Eoz4czhzsq1UhvpsPf8ocORXjtqhvrsNPQz&#10;HYePh+Vqh7Y+4LfbqZcvo/X9XaaeQSRa0p8ZfvEZHSpmOoWzN1FYDU9ql7NVQ57zZEO+3rA4sdhm&#10;IKtS/m9Q/QBQSwMEFAAAAAgAh07iQCRwcYj/AQAA9QMAAA4AAABkcnMvZTJvRG9jLnhtbK1TS27b&#10;MBDdF+gdCO5ryXLsNIblwIjhokDQGkh7AJqiLAL8dUhb8mkKdNdD9DhFr9EhpcZOssmiG2pGM3qc&#10;9+ZpcdtpRY4CvLSmpONRTokw3FbS7Ev69cvm3XtKfGCmYsoaUdKT8PR2+fbNonVzUdjGqkoAQRDj&#10;560raROCm2eZ543QzI+sEwaLtQXNAqawzypgLaJrlRV5PstaC5UDy4X3+HbdF+mACK8BtHUtuVhb&#10;ftDChB4VhGIBKflGOk+Xadq6Fjx8rmsvAlElRaYhnXgJxrt4ZssFm++BuUbyYQT2mhGecdJMGrz0&#10;EWrNAiMHkC+gtORgva3DiFud9USSIshinD/T5qFhTiQuKLV3j6L7/wfLPx23QGSFTqDEMI0L//P9&#10;5+9fP8g4atM6P8eWB7eFIfMYRqJdDTo+kQLpSnqVz/JiiqqeSjqZFtcTjJO2oguEY0MxnU1w/ZTw&#10;2DG5wRDr2RnIgQ8fhNUkBiUFXF1SlB3vfehb/7XEe71VstpIpVIC+92dAnJkuObx6jqfrAb0J23K&#10;xGZj42c9YnyTRZI9rRiFbtdhMYY7W51QHe/4RuJQ98yHLQP0B2rVomdK6r8dGAhK1EeDS7kZXxVT&#10;NNllApfJ7jJhhjcWrcgDUNIndyFZs59ydQi2lon6eZhhXHRDEm9wbrTbZZ66zn/r8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gddO01gAAAAkBAAAPAAAAAAAAAAEAIAAAACIAAABkcnMvZG93bnJl&#10;di54bWxQSwECFAAUAAAACACHTuJAJHBxiP8BAAD1AwAADgAAAAAAAAABACAAAAAlAQAAZHJzL2Uy&#10;b0RvYy54bWxQSwUGAAAAAAYABgBZAQAAlgUAAAAA&#10;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F633092"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0000005">
      <w:pPr>
        <w:rPr>
          <w:rFonts w:hint="eastAsia" w:ascii="宋体" w:hAnsi="宋体" w:eastAsia="宋体" w:cs="宋体"/>
          <w:color w:val="002715"/>
        </w:rPr>
      </w:pPr>
    </w:p>
    <w:p w14:paraId="00000006">
      <w:pPr>
        <w:rPr>
          <w:rFonts w:hint="eastAsia" w:ascii="宋体" w:hAnsi="宋体" w:eastAsia="宋体" w:cs="宋体"/>
          <w:color w:val="002715"/>
        </w:rPr>
      </w:pPr>
    </w:p>
    <w:p w14:paraId="00000007">
      <w:pPr>
        <w:pStyle w:val="10"/>
        <w:rPr>
          <w:rFonts w:hint="eastAsia" w:ascii="宋体" w:hAnsi="宋体" w:eastAsia="宋体" w:cs="宋体"/>
          <w:color w:val="1A703A"/>
        </w:rPr>
      </w:pPr>
      <w:r>
        <w:rPr>
          <w:rFonts w:hint="eastAsia" w:ascii="宋体" w:hAnsi="宋体" w:eastAsia="宋体" w:cs="宋体"/>
          <w:color w:val="1A703A"/>
          <w:sz w:val="52"/>
          <w:szCs w:val="52"/>
          <w:rtl w:val="0"/>
        </w:rPr>
        <w:t>基于AI的智能代码分析工具</w:t>
      </w:r>
    </w:p>
    <w:p w14:paraId="00000008">
      <w:pPr>
        <w:pStyle w:val="10"/>
        <w:rPr>
          <w:rFonts w:hint="eastAsia" w:ascii="宋体" w:hAnsi="宋体" w:eastAsia="宋体" w:cs="宋体"/>
          <w:color w:val="1A703A"/>
        </w:rPr>
      </w:pPr>
      <w:r>
        <w:rPr>
          <w:rFonts w:hint="eastAsia" w:ascii="宋体" w:hAnsi="宋体" w:eastAsia="宋体" w:cs="宋体"/>
          <w:color w:val="1A703A"/>
          <w:rtl w:val="0"/>
        </w:rPr>
        <w:t>技术报告</w:t>
      </w:r>
    </w:p>
    <w:p w14:paraId="00000009">
      <w:pPr>
        <w:pStyle w:val="4"/>
        <w:rPr>
          <w:rFonts w:hint="eastAsia" w:ascii="宋体" w:hAnsi="宋体" w:eastAsia="宋体" w:cs="宋体"/>
          <w:color w:val="105128"/>
        </w:rPr>
      </w:pPr>
      <w:bookmarkStart w:id="1" w:name="_heading=h.vj0y3v9ru4fn" w:colFirst="0" w:colLast="0"/>
      <w:bookmarkEnd w:id="1"/>
    </w:p>
    <w:p w14:paraId="0000000A">
      <w:pPr>
        <w:pStyle w:val="4"/>
        <w:rPr>
          <w:rFonts w:hint="eastAsia" w:ascii="宋体" w:hAnsi="宋体" w:eastAsia="宋体" w:cs="宋体"/>
          <w:color w:val="105128"/>
        </w:rPr>
      </w:pPr>
      <w:bookmarkStart w:id="2" w:name="_heading=h.r64a6lc0ytip" w:colFirst="0" w:colLast="0"/>
      <w:bookmarkEnd w:id="2"/>
    </w:p>
    <w:p w14:paraId="0000000B">
      <w:pPr>
        <w:pStyle w:val="4"/>
        <w:rPr>
          <w:rFonts w:hint="eastAsia" w:ascii="宋体" w:hAnsi="宋体" w:eastAsia="宋体" w:cs="宋体"/>
          <w:color w:val="105128"/>
        </w:rPr>
      </w:pPr>
      <w:bookmarkStart w:id="3" w:name="_heading=h.8n89tlutz5i6" w:colFirst="0" w:colLast="0"/>
      <w:bookmarkEnd w:id="3"/>
    </w:p>
    <w:p w14:paraId="0000000C">
      <w:pPr>
        <w:pStyle w:val="4"/>
        <w:rPr>
          <w:rFonts w:hint="eastAsia" w:ascii="宋体" w:hAnsi="宋体" w:eastAsia="宋体" w:cs="宋体"/>
          <w:color w:val="053B22"/>
        </w:rPr>
      </w:pPr>
      <w:bookmarkStart w:id="4" w:name="_heading=h.rnjlnh61vquq" w:colFirst="0" w:colLast="0"/>
      <w:bookmarkEnd w:id="4"/>
    </w:p>
    <w:p w14:paraId="0000000D">
      <w:pPr>
        <w:rPr>
          <w:rFonts w:hint="eastAsia" w:ascii="宋体" w:hAnsi="宋体" w:eastAsia="宋体" w:cs="宋体"/>
          <w:color w:val="002715"/>
        </w:rPr>
      </w:pPr>
    </w:p>
    <w:p w14:paraId="0000000E">
      <w:pPr>
        <w:rPr>
          <w:rFonts w:hint="eastAsia" w:ascii="宋体" w:hAnsi="宋体" w:eastAsia="宋体" w:cs="宋体"/>
          <w:color w:val="002715"/>
        </w:rPr>
      </w:pPr>
    </w:p>
    <w:p w14:paraId="0000000F">
      <w:pPr>
        <w:rPr>
          <w:rFonts w:hint="eastAsia" w:ascii="宋体" w:hAnsi="宋体" w:eastAsia="宋体" w:cs="宋体"/>
          <w:color w:val="002715"/>
        </w:rPr>
      </w:pPr>
    </w:p>
    <w:p w14:paraId="00000010">
      <w:pPr>
        <w:rPr>
          <w:rFonts w:hint="eastAsia" w:ascii="宋体" w:hAnsi="宋体" w:eastAsia="宋体" w:cs="宋体"/>
          <w:color w:val="002715"/>
        </w:rPr>
      </w:pPr>
    </w:p>
    <w:p w14:paraId="00000011">
      <w:pPr>
        <w:rPr>
          <w:rFonts w:hint="eastAsia" w:ascii="宋体" w:hAnsi="宋体" w:eastAsia="宋体" w:cs="宋体"/>
          <w:color w:val="002715"/>
        </w:rPr>
      </w:pPr>
    </w:p>
    <w:p w14:paraId="00000012">
      <w:pPr>
        <w:rPr>
          <w:rFonts w:hint="eastAsia" w:ascii="宋体" w:hAnsi="宋体" w:eastAsia="宋体" w:cs="宋体"/>
          <w:color w:val="002715"/>
        </w:rPr>
      </w:pPr>
    </w:p>
    <w:p w14:paraId="00000013">
      <w:pPr>
        <w:rPr>
          <w:rFonts w:hint="eastAsia" w:ascii="宋体" w:hAnsi="宋体" w:eastAsia="宋体" w:cs="宋体"/>
          <w:color w:val="002715"/>
        </w:rPr>
      </w:pPr>
    </w:p>
    <w:p w14:paraId="00000014">
      <w:pPr>
        <w:rPr>
          <w:rFonts w:hint="eastAsia" w:ascii="宋体" w:hAnsi="宋体" w:eastAsia="宋体" w:cs="宋体"/>
          <w:color w:val="002715"/>
        </w:rPr>
      </w:pPr>
    </w:p>
    <w:p w14:paraId="00000015">
      <w:pPr>
        <w:rPr>
          <w:rFonts w:hint="eastAsia" w:ascii="宋体" w:hAnsi="宋体" w:eastAsia="宋体" w:cs="宋体"/>
          <w:color w:val="002715"/>
        </w:rPr>
      </w:pPr>
    </w:p>
    <w:p w14:paraId="00000016">
      <w:pPr>
        <w:rPr>
          <w:rFonts w:hint="eastAsia" w:ascii="宋体" w:hAnsi="宋体" w:eastAsia="宋体" w:cs="宋体"/>
          <w:color w:val="002715"/>
        </w:rPr>
      </w:pPr>
    </w:p>
    <w:p w14:paraId="00000018">
      <w:pPr>
        <w:pStyle w:val="4"/>
        <w:jc w:val="both"/>
        <w:rPr>
          <w:rFonts w:hint="eastAsia" w:ascii="宋体" w:hAnsi="宋体" w:eastAsia="宋体" w:cs="宋体"/>
          <w:color w:val="000000"/>
        </w:rPr>
      </w:pPr>
      <w:bookmarkStart w:id="5" w:name="_heading=h.a28c2t63c20t" w:colFirst="0" w:colLast="0"/>
      <w:bookmarkEnd w:id="5"/>
    </w:p>
    <w:p w14:paraId="00000019">
      <w:pPr>
        <w:pStyle w:val="4"/>
        <w:rPr>
          <w:rFonts w:hint="eastAsia" w:ascii="宋体" w:hAnsi="宋体" w:eastAsia="宋体" w:cs="宋体"/>
          <w:color w:val="000000"/>
        </w:rPr>
      </w:pPr>
      <w:bookmarkStart w:id="6" w:name="_heading=h.io4lnv62zpnv" w:colFirst="0" w:colLast="0"/>
      <w:bookmarkEnd w:id="6"/>
      <w:r>
        <w:rPr>
          <w:rFonts w:hint="eastAsia" w:ascii="宋体" w:hAnsi="宋体" w:eastAsia="宋体" w:cs="宋体"/>
          <w:color w:val="000000"/>
          <w:rtl w:val="0"/>
        </w:rPr>
        <w:t>2026 年 10 月 22 日  文档版本 1.1</w:t>
      </w:r>
    </w:p>
    <w:p w14:paraId="0000001B">
      <w:pPr>
        <w:pStyle w:val="4"/>
        <w:rPr>
          <w:rFonts w:hint="eastAsia" w:ascii="宋体" w:hAnsi="宋体" w:eastAsia="宋体" w:cs="宋体"/>
        </w:rPr>
      </w:pPr>
      <w:bookmarkStart w:id="7" w:name="_heading=h.l0z5dez015hw" w:colFirst="0" w:colLast="0"/>
      <w:bookmarkEnd w:id="7"/>
      <w:r>
        <w:rPr>
          <w:rFonts w:hint="eastAsia" w:ascii="宋体" w:hAnsi="宋体" w:eastAsia="宋体" w:cs="宋体"/>
        </w:rPr>
        <w:br w:type="page"/>
      </w:r>
    </w:p>
    <w:p w14:paraId="33DD60E0">
      <w:pPr>
        <w:spacing w:after="240"/>
        <w:jc w:val="both"/>
        <w:rPr>
          <w:rFonts w:hint="eastAsia" w:ascii="宋体" w:hAnsi="宋体" w:eastAsia="宋体" w:cs="宋体"/>
        </w:r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DeliveryTocTitle"/>
            <w:spacing w:before="0" w:after="120" w:line="260" w:lineRule="auto"/>
            <w:jc w:val="left"/>
          </w:pPr>
          <w:r>
            <w:rPr>
              <w:rFonts w:ascii="宋体" w:hAnsi="宋体" w:eastAsia="宋体" w:cs="宋体"/>
              <w:sz w:val="36"/>
              <w:szCs w:val="36"/>
              <w:b/>
            </w:rPr>
            <w:t>目录</w:t>
          </w:r>
        </w:p>
        <w:p>
          <w:pPr>
            <w:pStyle w:val="DeliveryToc1"/>
            <w:spacing w:before="0" w:after="120" w:line="260" w:lineRule="auto"/>
            <w:jc w:val="left"/>
          </w:pPr>
          <w:r>
            <w:fldChar w:fldCharType="begin" w:dirty="0"/>
          </w:r>
          <w:r>
            <w:instrText xml:space="preserve"> TOC \o "1-1" \h \u </w:instrText>
          </w:r>
          <w:r>
            <w:fldChar w:fldCharType="separate"/>
          </w:r>
          <w:hyperlink w:anchor="DeliveryGlossary" w:history="1">
            <w:r>
              <w:rPr>
                <w:rFonts w:ascii="宋体" w:hAnsi="宋体" w:eastAsia="宋体" w:cs="宋体"/>
                <w:sz w:val="21"/>
                <w:szCs w:val="21"/>
              </w:rPr>
              <w:t>术语表</w:t>
            </w:r>
          </w:hyperlink>
          <w:r>
            <w:tab/>
          </w:r>
          <w:r>
            <w:fldChar w:fldCharType="begin" w:dirty="0"/>
          </w:r>
          <w:r>
            <w:instrText xml:space="preserve"> PAGEREF DeliveryGlossary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3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1" w:history="1">
            <w:r>
              <w:rPr>
                <w:rFonts w:ascii="宋体" w:hAnsi="宋体" w:eastAsia="宋体" w:cs="宋体"/>
                <w:sz w:val="21"/>
                <w:szCs w:val="21"/>
              </w:rPr>
              <w:t>1 交付结论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DeliveryTChapter1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5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2" w:history="1">
            <w:r>
              <w:rPr>
                <w:rFonts w:ascii="宋体" w:hAnsi="宋体" w:eastAsia="宋体" w:cs="宋体"/>
                <w:sz w:val="21"/>
                <w:szCs w:val="21"/>
              </w:rPr>
              <w:t>2 技术路线与能力范围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DeliveryTChapter2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6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3" w:history="1">
            <w:r>
              <w:rPr>
                <w:rFonts w:ascii="宋体" w:hAnsi="宋体" w:eastAsia="宋体" w:cs="宋体"/>
                <w:sz w:val="21"/>
                <w:szCs w:val="21"/>
              </w:rPr>
              <w:t>3 系统架构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DeliveryTChapter3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8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4" w:history="1">
            <w:r>
              <w:rPr>
                <w:rFonts w:ascii="宋体" w:hAnsi="宋体" w:eastAsia="宋体" w:cs="宋体"/>
                <w:sz w:val="21"/>
                <w:szCs w:val="21"/>
              </w:rPr>
              <w:t>4 执行过程与状态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DeliveryTChapter4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10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5" w:history="1">
            <w:r>
              <w:rPr>
                <w:rFonts w:ascii="宋体" w:hAnsi="宋体" w:eastAsia="宋体" w:cs="宋体"/>
                <w:sz w:val="21"/>
                <w:szCs w:val="21"/>
              </w:rPr>
              <w:t>5 AI 大模型设置方法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DeliveryTChapter5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13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6" w:history="1">
            <w:r>
              <w:rPr>
                <w:rFonts w:ascii="宋体" w:hAnsi="宋体" w:eastAsia="宋体" w:cs="宋体"/>
                <w:sz w:val="21"/>
                <w:szCs w:val="21"/>
              </w:rPr>
              <w:t>6 分析方法与输入边界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DeliveryTChapter6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14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7" w:history="1">
            <w:r>
              <w:rPr>
                <w:rFonts w:ascii="宋体" w:hAnsi="宋体" w:eastAsia="宋体" w:cs="宋体"/>
                <w:sz w:val="21"/>
                <w:szCs w:val="21"/>
              </w:rPr>
              <w:t>7 调度、数据与可靠性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DeliveryTChapter7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16</w:t>
          </w:r>
          <w:r>
            <w:fldChar w:fldCharType="end"/>
          </w:r>
        </w:p>
        <w:p>
          <w:pPr>
            <w:pStyle w:val="DeliveryToc1"/>
            <w:spacing w:before="0" w:after="120" w:line="260" w:lineRule="auto"/>
            <w:jc w:val="left"/>
          </w:pPr>
          <w:hyperlink w:anchor="DeliveryTChapter8" w:history="1">
            <w:r>
              <w:rPr>
                <w:rFonts w:ascii="宋体" w:hAnsi="宋体" w:eastAsia="宋体" w:cs="宋体"/>
                <w:sz w:val="21"/>
                <w:szCs w:val="21"/>
              </w:rPr>
              <w:t>8 测试方法与本次结果</w:t>
            </w:r>
          </w:hyperlink>
          <w:r>
            <w:tab/>
          </w:r>
          <w:r>
            <w:fldChar w:fldCharType="begin" w:dirty="0"/>
          </w:r>
          <w:r>
            <w:instrText xml:space="preserve"> PAGEREF DeliveryTChapter8 \h </w:instrText>
          </w:r>
          <w:r>
            <w:fldChar w:fldCharType="separate"/>
          </w:r>
          <w:r>
            <w:rPr>
              <w:rFonts w:ascii="宋体" w:hAnsi="宋体" w:eastAsia="宋体" w:cs="宋体"/>
              <w:sz w:val="21"/>
              <w:szCs w:val="21"/>
            </w:rPr>
            <w:t>18</w:t>
          </w:r>
          <w:r>
            <w:fldChar w:fldCharType="end"/>
          </w:r>
          <w:r>
            <w:fldChar w:fldCharType="end"/>
          </w:r>
        </w:p>
      </w:sdtContent>
    </w:sdt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0" w:name="DeliveryGlossary"/>
      <w:r>
        <w:rPr>
          <w:rFonts w:ascii="宋体" w:hAnsi="宋体" w:eastAsia="宋体" w:cs="宋体"/>
        </w:rPr>
        <w:t>术语表</w:t>
      </w:r>
      <w:bookmarkEnd w:id="100"/>
    </w:p>
    <w:p>
      <w:pPr>
        <w:spacing w:before="0" w:after="12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1"/>
          <w:szCs w:val="21"/>
        </w:rPr>
        <w:t>本表解释正文中反复出现的概念。可先阅读，也可在遇到陌生术语时返回查阅。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术语</w:t>
            </w:r>
          </w:p>
        </w:tc>
        <w:tc>
          <w:tcPr>
            <w:tcW w:w="66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通俗说明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代码仓库 / Git / Gitea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代码仓库集中保存项目文件及修改历史。Git 记录版本；Gitea 是通过网页管理 Git 仓库的服务。所内现场按 Gitea 1.16.1 接入。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分支 branch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同一项目的一条开发路线。分支名称不代表固定版本，继续提交后它指向的代码会变化。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 commit / SHA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一次被 Git 保存的修改记录。SHA 是这次提交的编号。读取文件内容时要求完整的 40 位 SHA。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固定版本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发起专项或 Agent 任务时核对并冻结的提交。文件和文字范围核对分支 HEAD；提交比较逐项使用所选提交。发起后分支再移动，不会改写已经冻结的版本。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差异 diff / 第一父提交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diff 列出两个版本增加、删除或修改的内容。第一父提交是当前提交的第一个直接前序版本。合并提交也按第一父提交比较。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专项审查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当前工作台中的三类检查：问题审查、设计模式、耦合度。问题审查可以选择文件内容或提交差异；设计模式和耦合度只接受文件内容。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Agent 分析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由模型在只读工具范围内自行调查固定版本，并在调用 submit_result 后发布结果。它不写入仓库，也不压缩已经发送的上下文。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 / 证据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实际送给模型或由工具返回并落库的代码片段。结果中的引用必须指向已经发送的材料。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大模型 / 模型名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大模型根据材料生成分析意见。模型名是发给网关的调用标识，必须与现场提供的名称一致。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提示词及用途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发给模型的任务说明。当前提示词按用途区分：专项通用规则、报告生成、Agent 指导。用途决定哪一个页面可以选用它。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 网关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提供 OpenAI Chat 兼容接口的服务。系统把模型名、消息和必要的工具定义发给网关，再读取回答。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Token 认证令牌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调用网关或仓库时用来证明权限的凭据。界面只写入、不回显明文。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字符 / 模型 token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字符是文本长度；模型 token 是模型切分文本后的计量单位。二者没有固定换算比例。这里的 token 与认证令牌含义不同。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配置快照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任务发起时保留的配置副本，包括范围、版本、策略、提示词、模型和预算。之后修改当前配置，不会改写这份副本。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应用数据库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库名 ai_code_review_agent。项目、模型、提示词、策略、专项、Agent 和报告都写在这里。未配置 agent.datasource.url 时，/api/v2 不会注册。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反馈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审查人员对专项问题或整份模式、耦合结果作出的判断：准确、不准确或无法判断。反馈不覆盖模型原文。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上下文窗口</w:t>
            </w:r>
          </w:p>
        </w:tc>
        <w:tc>
          <w:tcPr>
            <w:tcW w:w="66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模型一次能够接受的输入上限。Agent 在估算输入达到窗口的 80% 时停止，不压缩已有内容后继续。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1" w:name="DeliveryTChapter1"/>
      <w:r>
        <w:rPr>
          <w:rFonts w:ascii="宋体" w:hAnsi="宋体" w:eastAsia="宋体" w:cs="宋体"/>
        </w:rPr>
        <w:t>1 交付结论</w:t>
      </w:r>
      <w:bookmarkEnd w:id="101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1.1 适用范围与基线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本报告面向技术评审、部署负责人和后续维护人员，说明当前 dev 分支的技术路线、模块职责、模型设置、执行约束和已记录的测试证据。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交付基线为 dev 分支提交 3025dfed67e7b7c013d88b77d579f9e7c43ebac9，即 2026-10-22 合并的 PR #4。该提交把专项审查与 Agent 分析并入 dev。文档版本 1.1，编制日期 2026-10-22。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项目</w:t>
            </w:r>
          </w:p>
        </w:tc>
        <w:tc>
          <w:tcPr>
            <w:tcW w:w="6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内容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文档名称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基于AI的智能代码分析工具 技术报告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适用版本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dev 分支 3025dfed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编制日期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2026-10-22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交付形态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Word 技术报告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当前界面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审查中心、代码浏览、报告，以及项目管理、模型、提示词、策略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MySQL 库 ai_code_review_agent，由 agent.datasource 连接。交付模板需另行写入该配置，见第 7.3 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本次工程证据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2026-10-22 记录的全量结果：后端 789 项中 9 项条件跳过、无失败；前端 64 个文件 506 项通过。本次修订文档未重跑该套测试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1.2 能力结论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浏览器工作台走 /api/v2。它提供问题审查、设计模式、耦合度三类专项，只读 Agent 分析，以及可混合两类来源的 Markdown 报告。人工反馈和统计挂在专项结果上，不覆盖模型输出。未配置 agent.datasource.url 时，/api/v2 不会注册，审查中心无法完成这些操作。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系统没有登录页，也没有内建角色。入口保护依赖内网访问范围和宿主访问控制。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2" w:name="DeliveryTChapter2"/>
      <w:r>
        <w:rPr>
          <w:rFonts w:ascii="宋体" w:hAnsi="宋体" w:eastAsia="宋体" w:cs="宋体"/>
        </w:rPr>
        <w:t>2 技术路线与能力范围</w:t>
      </w:r>
      <w:bookmarkEnd w:id="102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2.1 现行路线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现行路线为：接入仓库并固定版本，按专项策略或 Agent 要求准备材料，调用模型，把结果和调用记录入库，再由人员反馈并汇总报告。Java 依赖事实由程序计算；问题、模式解释和调查结论由模型生成，并限制它只能引用给定材料。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Agent 首版不压缩上下文，不提供压缩后继续，也不提供普通中断恢复。进程启动时，把上次进程退出时尚未结束的排队或执行中任务标为失败，停止原因为 INTERRUPTED。命中容量或预算限制时保留已有记录，不追加总结调用，也不发布未完成的完整结果。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2.2 技术选型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层次</w:t>
            </w:r>
          </w:p>
        </w:tc>
        <w:tc>
          <w:tcPr>
            <w:tcW w:w="7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采用技术与作用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浏览器界面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Vue 3、TypeScript、Vite 5、Ant Design Vue 4；浅色主题；Axios 调用 /api/v2。开发端口 5173，构建产物进入后端 static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服务端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Java 17、Spring Boot 3.3.5。/api/v2 在配置 agent.datasource.url 后注册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结构分析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JavaParser 3.28.2，未引入 symbol-solver。耦合度只解释服务端已经给出的 dependencyId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Git 接入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GitHub REST；Gitea REST 与 .diff；JGit 7.2 本地 bare 镜像。Agent 检索在镜像上执行 git grep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模型接入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OpenAI Chat 兼容 /chat/completions，Bearer 令牌。专项和报告使用 JSON 模式；Agent 携带工具定义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数据层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MySQL 8.0.36、MyBatis-Plus 3.5.7。Flyway 迁移位于 classpath:db/agent-migration，版本 V1 至 V6，历史表为 agent_schema_history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构建与部署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Node 22、pnpm 10.18.2、Maven 与 Java 17 三阶段构建；运行镜像 eclipse-temurin:17-jre-jammy；linux/amd64 离线包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2.3 现行专项与 Agent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w="18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能力</w:t>
            </w:r>
          </w:p>
        </w:tc>
        <w:tc>
          <w:tcPr>
            <w:tcW w:w="3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输入</w:t>
            </w:r>
          </w:p>
        </w:tc>
        <w:tc>
          <w:tcPr>
            <w:tcW w:w="43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输出与边界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问题审查 ISSUE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文件内容走 ISSUE_FILE；提交差异走 ISSUE_DIFF。可绑定专项策略和逐文件说明</w:t>
            </w:r>
          </w:p>
        </w:tc>
        <w:tc>
          <w:tcPr>
            <w:tcW w:w="43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问题含类别、严重程度和位置。类别为正确性、安全、可靠性、性能、可维护性、规则；严重程度为高、中、低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设计模式 PATTERN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以目标文件为中心的结构材料</w:t>
            </w:r>
          </w:p>
        </w:tc>
        <w:tc>
          <w:tcPr>
            <w:tcW w:w="43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候选含角色、依据和模式族：创建型、结构型、行为型或其他。不承诺覆盖全部 GoF 模式，也不宣称模块完整实现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耦合度 COUPLING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服务端已计算的文件级依赖</w:t>
            </w:r>
          </w:p>
        </w:tc>
        <w:tc>
          <w:tcPr>
            <w:tcW w:w="43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观察只能引用给定 dependencyId。不生成扇入或不稳定度等未计算指标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文字描述、文件或目录、或多条提交比较；必须填写本次要求</w:t>
            </w:r>
          </w:p>
        </w:tc>
        <w:tc>
          <w:tcPr>
            <w:tcW w:w="43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显式提交后发布标题、摘要、回答状态、Markdown、引用和未解决事项。回答状态为已回答或材料不足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3" w:name="DeliveryTChapter3"/>
      <w:r>
        <w:rPr>
          <w:rFonts w:ascii="宋体" w:hAnsi="宋体" w:eastAsia="宋体" w:cs="宋体"/>
        </w:rPr>
        <w:t>3 系统架构</w:t>
      </w:r>
      <w:bookmarkEnd w:id="103"/>
    </w:p>
    <w:p>
      <w:pPr>
        <w:spacing w:before="120" w:after="80"/>
        <w:jc w:val="center"/>
      </w:pPr>
      <w:r>
        <w:drawing>
          <wp:inline distT="0" distB="0" distL="0" distR="0">
            <wp:extent cx="5938520" cy="4912775"/>
            <wp:effectExtent l="0" t="0" r="0" b="0"/>
            <wp:docPr id="200" name="图1 系统逻辑架构" descr="图1 系统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1 系统逻辑架构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9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图1 系统逻辑架构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3.1 运行结构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图1 按运行职责划分浏览器、Spring Boot 进程、应用数据库、Git 宿主和模型网关。前端构建资源放在 JAR 的 static 目录，页面和接口共用容器端口 8080，宿主机默认映射 18080。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业务接口前缀为 /api/v2，在 agent.datasource.url 存在时装配。启动前检查三件事：连接库名等于 expected-database；身份表 agent_schema_identity 与历史表 agent_schema_history 同时存在或同时不存在；目标库没有其他迁移记录。迁移后身份版本仍为 1。任一条件不满足，应用拒绝启动。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3.2 仓库与镜像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GitHostClientRegistry 按仓库主机选择客户端，未知主机显式失败，不默认当作 GitHub。GitHub 只匹配 github.com。Gitea 按配置的主机白名单接入；默认模板包含现场主机和 localhost:3000。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Gitea 1.16.1 没有代码比较接口。应用用 JGit bare 镜像计算 merge-base 三点差异，并把镜像放在持久化目录。Agent 的内容搜索共用这套镜像，要求运行环境提供 git。镜像目录过深时，Windows 默认路径长度可能导致 git 读不到对象；部署应使用较短的镜像路径。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3.3 调用与执行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专项由 SpecialistTaskWorker 执行，Agent 由 AgentTaskWorker 执行，二者写入同一张 review_task，用 route 区分 SPECIALIST 与 AGENT。报告由独立的报告生成流程读取已冻结来源，不在审查任务内部顺带生成。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模型调用由统一组装类按用途生成消息。调用方不能自行再拼一套协议。专项、报告和 Agent 的系统说明都来自 PromptPurpose。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4" w:name="DeliveryTChapter4"/>
      <w:r>
        <w:rPr>
          <w:rFonts w:ascii="宋体" w:hAnsi="宋体" w:eastAsia="宋体" w:cs="宋体"/>
        </w:rPr>
        <w:t>4 执行过程与状态</w:t>
      </w:r>
      <w:bookmarkEnd w:id="104"/>
    </w:p>
    <w:p>
      <w:pPr>
        <w:spacing w:before="120" w:after="80"/>
        <w:jc w:val="center"/>
      </w:pPr>
      <w:r>
        <w:drawing>
          <wp:inline distT="0" distB="0" distL="0" distR="0">
            <wp:extent cx="5938520" cy="5290681"/>
            <wp:effectExtent l="0" t="0" r="0" b="0"/>
            <wp:docPr id="201" name="图2 专项审查与 Agent 分析的执行过程" descr="图2 专项审查与 Agent 分析的执行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2 专项审查与 Agent 分析的执行过程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29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  <w:sz w:val="20"/>
          <w:szCs w:val="20"/>
        </w:rPr>
        <w:t>图2 专项审查与 Agent 分析的执行过程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4.1 创建与冻结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图2 给出现行两条入口。专项接口拒绝 route 为 AGENT 的请求；Agent 使用单独的创建接口。创建成功返回 HTTP 202。可选 Idempotency-Key，同一项目下重复键不会另建任务。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文件和文字范围在发起时重新核对分支 HEAD，分支已经移动则拒绝并返回当前 HEAD。提交比较按选择顺序去重，逐项取第一父提交，根提交没有父版本。版本标为 V1、V2，比较标为 C1、C2。文件范围的存在性在发起时校验。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快照保存范围、固定版本、要求、指导提示词、参考结果、模型准入和预算。快照不含仓库凭据。空的专项名称保存为“审查任务”加任务 ID；空的 Agent 名称保存为“Agent 任务”加任务 ID。名称最长 200 个字符。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4.2 状态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w="18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状态</w:t>
            </w:r>
          </w:p>
        </w:tc>
        <w:tc>
          <w:tcPr>
            <w:tcW w:w="18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界面文案</w:t>
            </w:r>
          </w:p>
        </w:tc>
        <w:tc>
          <w:tcPr>
            <w:tcW w:w="57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含义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QUEUED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排队中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已受理，尚未开始准备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PREPARING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准备中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正在准备材料。审查中心的状态筛选项没有这一项，详情中会出现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RUNNING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执行中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正在调用模型或工具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SUCCEEDED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已完成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任务结束。Agent 在材料不足时也可以是已完成，并带有停止原因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PARTIAL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部分完成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已有部分结果或在限制处停止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FAILED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失败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未能按协议完成。停止原因写在任务上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CANCELLED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已取消</w:t>
            </w:r>
          </w:p>
        </w:tc>
        <w:tc>
          <w:tcPr>
            <w:tcW w:w="57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用户取消。已完成目标的结果保留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4.3 Agent 预算与停止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Agent 预算在发起时冻结，执行过程只读快照。默认值为 48 个模型轮次、96 次网络尝试、192 次工具尝试、20 分钟期限、单次输出 16384 token、单次超时 120 秒。输入估算达到上下文窗口的 80% 时停止。连续 3 轮没有进展时停止。每轮最多 4 个工具；submit_result 必须单独调用。协议错误超过 2 次记为 PROTOCOL_INVALID。全部模型调用还受每任务 200 次的公共硬上限约束。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停止原因包括用户取消、任务期限、中断、执行器不可用、执行错误、材料不足、模型输出无效、上下文限制、轮次限制、工具限制、网络限制、无进展和协议无效。命中限制后不追加总结调用。未发布结果时，结果接口返回 404，不返回空报告冒充完成。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专项调度期限默认 30 分钟，并发任务数默认 4。这是调度参数，与 Agent 冻结预算不是同一个数。专项单个目标最多 32 个执行单元，无语法树时按最多 200 行切块。辅助声明默认继承深度 6、辅助文件 12 个、辅助内容 256 KiB。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4.4 轮询与重启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审查中心列表不自动刷新。专项详情在排队和执行中约每 3 秒查询一次，Agent 详情约每 2 秒查询一次，终态后停止。报告详情在排队和生成中约每 2 秒查询一次。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单节点启动时，recover-on-start 默认为开。上次进程退出时尚未结束的排队或执行中任务改为失败，原因是 INTERRUPTED；尚未结束的报告改为失败，原因是 REPORT_INTERRUPTED。这只结束这些任务和报告，不恢复原来的模型会话。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5" w:name="DeliveryTChapter5"/>
      <w:r>
        <w:rPr>
          <w:rFonts w:ascii="宋体" w:hAnsi="宋体" w:eastAsia="宋体" w:cs="宋体"/>
        </w:rPr>
        <w:t>5 AI 大模型设置方法</w:t>
      </w:r>
      <w:bookmarkEnd w:id="105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5.1 模型配置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模型保存在应用库。页面不会在首次启动时自动写入一条已验证通过的默认模型。需要填写名称、模型名、接口地址和凭据，并可填写上下文窗口、最大输出和计量方式。协议选项只有 OpenAI Chat 兼容。接口地址填写网关根，系统自行拼接 /chat/completions，不要把完整路径再写进去，也不要保留末尾斜杠。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凭据只写不回显。编辑时留空表示不修改。连通验证和 Agent 验证是两次不同的检查。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操作</w:t>
            </w:r>
          </w:p>
        </w:tc>
        <w:tc>
          <w:tcPr>
            <w:tcW w:w="7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检查范围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验证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连通性与最小 JSON。结果记为 CONNECTIVITY，绑定当前配置修订。通过不等于长上下文或工具协议可用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Agent 验证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用本地夹具做两轮真实调用，检查工具调用和工具结果回放。不读取业务仓库。通过后记为 AGENT_TOOL_LOOP_V1，并绑定修订、适配器和选项哈希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发起 Agent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只列出当前修订已经通过 Agent 验证、且选项哈希仍然一致的模型。改窗口或输出后需要重新验证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5.2 请求形态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调用体包含 model、temperature 0、max_tokens、stream false。需要 JSON 的用途加入 response_format json_object。带工具时加入 tools，tool_choice 默认为 auto。对会把输出额度消耗在思考上的网关，可发送 reasoning_effort none。建连超时默认 10 秒，读超时上限默认 180 秒。专项输出预留默认 4096 token，验证请求为 64 token；Agent 和报告使用各自预算，报告默认预留 16384 token。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5.3 提示词如何进入调用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专项策略只能选择用途为专项通用规则的提示词，发起时冻结当时的正文版本。逐文件补充说明写在发起表单，不写进提示词库。报告可选用途为报告生成的补充要求。Agent 可选用途为 Agent 指导的提示词；不选时使用内置调查说明。组装优先级是内置说明、本次要求、指导提示词，然后才是材料。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提示词页面仍有一句“Agent 指导提示词用途在 P33 接入”的提示，用途下拉的文案也带有“P33 接入”。发起 Agent 时已经可以选用该用途。文档按当前可执行行为说明，不以那句提示否定已接通的入口。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6" w:name="DeliveryTChapter6"/>
      <w:r>
        <w:rPr>
          <w:rFonts w:ascii="宋体" w:hAnsi="宋体" w:eastAsia="宋体" w:cs="宋体"/>
        </w:rPr>
        <w:t>6 分析方法与输入边界</w:t>
      </w:r>
      <w:bookmarkEnd w:id="106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6.1 专项材料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问题审查可以开启智能拆分，默认关闭。关闭时整份目标进入一次调用；开启后按语法或行块拆分，单文件单元数受 32 的上限约束。无法拆分的目标以 UNSPLITTABLE 结束，输入超过窗口以 CONTEXT_LIMIT 结束。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提交差异归在问题审查下。比较基线是父提交；没有父提交时界面标为根提交。设计模式和耦合度不接受提交差异。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设计模式结果按模式族归类，包括创建型、结构型、行为型或其他，不把固定的十个中文模式名当作完整清单。耦合度解释只引用服务端已经给出的 dependencyId，不得编造扇入、扇出或不稳定度。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6.2 Agent 工具边界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工具</w:t>
            </w:r>
          </w:p>
        </w:tc>
        <w:tc>
          <w:tcPr>
            <w:tcW w:w="6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作用与上限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tree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列目录。深度最大 3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find_files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按名称查找文件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search_code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在固定版本上执行 git grep。单次搜索总时限 10 秒，全局搜索并发 2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read_code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按行读取。单次最多 400 行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read_diff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读取差异。最多 20 个比较项、10 个 hunk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submit_result</w:t>
            </w:r>
          </w:p>
        </w:tc>
        <w:tc>
          <w:tcPr>
            <w:tcW w:w="6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发布结果的完成动作，不算材料读取。必须单独调用，且引用只能指向实际发送过的材料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工具返回信封状态包括 OK、NOT_FOUND、UNREADABLE、INVALID_ARGUMENT、TIMEOUT、ERROR，完整度为 COMPLETE、PARTIAL 或 UNKNOWN。信封上限 32 KiB，单份材料上限 24 KiB。工具定义计入输入估算。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文字范围和文件范围在发起时绑定 HEAD。文件或目录最多选择 100 项。提交比较最多 20 个，按选择顺序分别读取，不合并成首尾净差异。本次要求必填，最长 16000 字符。参考结果必须是同项目已经完整发布的结果。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6.3 结果发布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专项结果写入 review_result，问题另写入 issue。Agent 结果的 kind 为 AGENT，schema 版本为 1，正文包含 title、summary、answerStatus、markdown、citations 和 unresolved。answerStatus 为 ANSWERED 时需要至少一个实际引用，且没有停止原因。材料不足时任务可以是 SUCCEEDED，停止原因为 INSUFFICIENT_EVIDENCE，并且必须列出未解决事项。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反馈主体只有两类：完整问题结果下的单条问题，以及完整发布的模式或耦合结果。评价为 ACCURATE、INACCURATE、UNKNOWN 或清空。Agent 结果不进入这套反馈。统计接口把问题级和结果级分开计数，分母只含准确和不准确；分母为 0 时不给出百分比。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7" w:name="DeliveryTChapter7"/>
      <w:r>
        <w:rPr>
          <w:rFonts w:ascii="宋体" w:hAnsi="宋体" w:eastAsia="宋体" w:cs="宋体"/>
        </w:rPr>
        <w:t>7 调度、数据与可靠性</w:t>
      </w:r>
      <w:bookmarkEnd w:id="107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7.1 应用库迁移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应用库位置是 classpath:db/agent-migration，历史表是 agent_schema_history。身份行写入 ai_code_review_agent，版本保持 1；V2 至 V6 不递增这个身份版本。进度以历史表为准。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400"/>
        <w:gridCol w:w="7960"/>
      </w:tblGrid>
      <w:tr>
        <w:trPr>
          <w:tblHeader/>
        </w:trPr>
        <w:tc>
          <w:tcPr>
            <w:tcW w:w="14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版本</w:t>
            </w:r>
          </w:p>
        </w:tc>
        <w:tc>
          <w:tcPr>
            <w:tcW w:w="79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主要内容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V1</w:t>
            </w:r>
          </w:p>
        </w:tc>
        <w:tc>
          <w:tcPr>
            <w:tcW w:w="7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身份表、项目、模型及验证、提示词及版本、策略、任务、目标、执行单元、模型调用、材料、结果、问题、反馈、报告及来源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V2</w:t>
            </w:r>
          </w:p>
        </w:tc>
        <w:tc>
          <w:tcPr>
            <w:tcW w:w="7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模型调用的任务标识可空；新增 task_quota，记录每任务调用硬上限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V3</w:t>
            </w:r>
          </w:p>
        </w:tc>
        <w:tc>
          <w:tcPr>
            <w:tcW w:w="7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任务幂等键和请求哈希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V4</w:t>
            </w:r>
          </w:p>
        </w:tc>
        <w:tc>
          <w:tcPr>
            <w:tcW w:w="7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报告与模型调用关联，以及报告起止时间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V5</w:t>
            </w:r>
          </w:p>
        </w:tc>
        <w:tc>
          <w:tcPr>
            <w:tcW w:w="7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任务名称。历史空名称回填为“审查任务”加标识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V6</w:t>
            </w:r>
          </w:p>
        </w:tc>
        <w:tc>
          <w:tcPr>
            <w:tcW w:w="79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agent_run、agent_tool_call，以及模型调用轮次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主键为 26 位 ULID。项目删除采用逻辑删除。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7.2 删除与报告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删除项目只逻辑删除项目本身。存在非终态任务时返回 409，已结束任务保留，不能再从该项目发起新任务。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报告先冻结候选来源，状态经过 INPUT_FROZEN、QUEUED、RUNNING，结束于 SUCCEEDED 或 FAILED。候选可以包含问题、模式、耦合和 Agent。Agent 来源保留回答状态和未解决事项，报告指令要求不得把“未取得”写成“不存在”。正文上限默认 1000000 字符，生成期限 10 分钟，并发 2，队列 100。只有成功且正文非空才能下载 Markdown。</w:t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7.3 部署形态对可靠性的影响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离线 Compose 使用一个 MySQL 8.0.36 容器，不发布数据库端口。业务数据放在库 ai_code_review_agent，由 agent.datasource 连接，账号密码不写入镜像。交付模板生成的 application.yml 不含这一节。首次部署后页面可以打开；写入 agent.datasource 并重启后，/api/v2 才注册。库必须是新建的空库，库名与 expected-database 一致。启动时核对身份标记与迁移历史是否一致，迁移后身份版本为 1。库中若已有其他迁移记录，应用拒绝启动。不要把 .env 的 MYSQL_DATABASE 改成 ai_code_review_agent，应用库只通过 agent.datasource 连接。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应用镜像回退不撤销 agent_schema_history，也没有自动的数据恢复脚本。rollback.sh 依赖本机存在 codereview-app:previous。backup.sh 导出的是 MYSQL_DATABASE 所指的库。业务库 ai_code_review_agent 需要单独 mysqldump。恢复由数据库管理员按版本兼容性执行。</w:t>
      </w:r>
    </w:p>
    <w:p>
      <w:pPr>
        <w:pStyle w:val="2"/>
        <w:keepNext/>
        <w:keepLines/>
        <w:pageBreakBefore/>
        <w:outlineLvl w:val="0"/>
        <w:spacing w:before="0" w:after="240"/>
        <w:rPr>
          <w:rFonts w:ascii="宋体" w:hAnsi="宋体" w:eastAsia="宋体" w:cs="宋体"/>
        </w:rPr>
      </w:pPr>
      <w:bookmarkStart w:id="108" w:name="DeliveryTChapter8"/>
      <w:r>
        <w:rPr>
          <w:rFonts w:ascii="宋体" w:hAnsi="宋体" w:eastAsia="宋体" w:cs="宋体"/>
        </w:rPr>
        <w:t>8 测试方法与本次结果</w:t>
      </w:r>
      <w:bookmarkEnd w:id="108"/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8.1 已记录的全量结果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2026-10-22 在并入本次基线的同一套源码上记录了全量结果：后端 789 项、0 失败、0 异常，9 项因真实网关或宿主条件不具备而跳过，不计为通过；前端 64 个测试文件、506 项通过；vue-tsc --noEmit 与 vite build 通过。本次文档修订没有重新执行这套测试，下面的数字是该次记录，不是本次编辑环境的新跑数。</w:t>
      </w:r>
    </w:p>
    <w:tbl>
      <w:tblPr>
        <w:tblStyle w:val="15"/>
        <w:tblW w:w="936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范围</w:t>
            </w:r>
          </w:p>
        </w:tc>
        <w:tc>
          <w:tcPr>
            <w:tcW w:w="7160" w:type="dxa"/>
            <w:shd w:val="clear" w:color="auto" w:fill="E7E6E6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记录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后端规模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约 119 个测试类。全量执行 789 项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条件跳过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AiGatewayProbeTest 2 项、GiteaClientLiveTest 5 项、StructureLlmProbeTest 1 项、JavaParserProbeTest 的真实工程解析 1 项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 个 spec 文件，506 项通过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发布流水线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Java 17 后端测试和 Node 22 前端测试失败则不产出离线包。类型检查 continue-on-error，不阻断打包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真实调用抽查</w:t>
            </w:r>
          </w:p>
        </w:tc>
        <w:tc>
          <w:tcPr>
            <w:tcW w:w="71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同日记录了 Agent 工具协议验证通过，以及专项与 Agent 混合报告的生成、引用和下载。失败样本另行保留，不记为通过</w:t>
            </w:r>
          </w:p>
        </w:tc>
      </w:tr>
    </w:tbl>
    <w:p>
      <w:pPr>
        <w:spacing w:before="0" w:after="12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/>
      </w:r>
    </w:p>
    <w:p>
      <w:pPr>
        <w:pStyle w:val="3"/>
        <w:spacing w:before="160" w:after="16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8.2 不能记为通过的项目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以下事项在阶段记录中明确未作为通过项：GitHub 限流和超时、真实多单元拆分、上下文超限、专项输出截断、并发双页面、服务重启后的现场收敛、真实输入超限、内网大仓库和 Gitea 上的检索、两路并发搜索、冷镜像 120 秒超时，以及封存、切换和回退演练。Windows 长路径对 git 镜像的影响也需要在目标环境实测。</w:t>
      </w:r>
    </w:p>
    <w:p>
      <w:pPr>
        <w:spacing w:before="0" w:after="240"/>
        <w:ind w:firstLine="480" w:firstLineChars="20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因此，本报告支持的结论是：该基线具备已记录的工程测试和有限的真实模型抽查；它不证明内网全量部署、容量上限和业务结论已经验收。正式环境仍须完成应用数据库配置、模型连通验证、Agent 工具协议验证和一次小范围业务复核。</w:t>
      </w:r>
    </w:p>
    <w:sectPr>
      <w:foot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0D122FB-3DC9-43AF-A614-3A630300241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DFF3B97-9BA8-4F83-83DF-F0C5C69A10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01E8A5A-EA5A-4E59-B706-176A2509F1D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97CCD9E-50BF-4774-9821-9B93C479DCE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F0ED3B5-31FB-4458-8544-74C8CC56841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BD0E940B-2D9F-43F8-9C27-A711FD880B0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5C2107D1-D72B-4EBB-B0A9-0ECA6096A459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81D12C2A-D35F-4D28-8280-2BB8E37180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6">
    <w:pPr>
      <w:rPr>
        <w:color w:val="002715"/>
      </w:rPr>
    </w:pPr>
  </w:p>
  <w:tbl>
    <w:tblPr>
      <w:tblStyle w:val="22"/>
      <w:tblW w:w="9360" w:type="dxa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</w:tblPr>
    <w:tblGrid>
      <w:gridCol w:w="4680"/>
      <w:gridCol w:w="4680"/>
    </w:tblGrid>
    <w:tr w14:paraId="6BF7EF09">
      <w:tblPrEx>
        <w:tblCellMar>
          <w:top w:w="100" w:type="dxa"/>
          <w:left w:w="100" w:type="dxa"/>
          <w:bottom w:w="100" w:type="dxa"/>
          <w:right w:w="100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14:paraId="00000117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left"/>
            <w:rPr>
              <w:rFonts w:ascii="Georgia" w:hAnsi="Georgia" w:eastAsia="Georgia" w:cs="Georgia"/>
              <w:color w:val="105128"/>
              <w:sz w:val="18"/>
              <w:szCs w:val="18"/>
            </w:rPr>
          </w:pPr>
          <w:r>
            <w:rPr>
              <w:rFonts w:hint="eastAsia" w:ascii="Georgia" w:hAnsi="Georgia" w:eastAsia="宋体" w:cs="Georgia"/>
              <w:color w:val="105128"/>
              <w:sz w:val="18"/>
              <w:szCs w:val="18"/>
              <w:rtl w:val="0"/>
              <w:lang w:eastAsia="zh-CN"/>
            </w:rPr>
            <w:t>基于AI的智能代码分析工具</w:t>
          </w:r>
          <w:r>
            <w:rPr>
              <w:rFonts w:ascii="Georgia" w:hAnsi="Georgia" w:eastAsia="Georgia" w:cs="Georgia"/>
              <w:color w:val="105128"/>
              <w:sz w:val="18"/>
              <w:szCs w:val="18"/>
              <w:rtl w:val="0"/>
            </w:rPr>
            <w:t xml:space="preserve"> 技术报告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14:paraId="00000118">
          <w:pPr>
            <w:keepNext w:val="0"/>
            <w:keepLines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right"/>
            <w:rPr>
              <w:rFonts w:ascii="Georgia" w:hAnsi="Georgia" w:eastAsia="Georgia" w:cs="Georgia"/>
              <w:color w:val="105128"/>
              <w:sz w:val="18"/>
              <w:szCs w:val="18"/>
            </w:rPr>
          </w:pPr>
          <w:r>
            <w:rPr>
              <w:rFonts w:ascii="Georgia" w:hAnsi="Georgia" w:eastAsia="Georgia" w:cs="Georgia"/>
              <w:color w:val="105128"/>
              <w:sz w:val="18"/>
              <w:szCs w:val="18"/>
            </w:rPr>
            <w:fldChar w:fldCharType="begin"/>
          </w:r>
          <w:r>
            <w:rPr>
              <w:rFonts w:ascii="Georgia" w:hAnsi="Georgia" w:eastAsia="Georgia" w:cs="Georgia"/>
              <w:color w:val="105128"/>
              <w:sz w:val="18"/>
              <w:szCs w:val="18"/>
            </w:rPr>
            <w:instrText xml:space="preserve">PAGE</w:instrText>
          </w:r>
          <w:r>
            <w:rPr>
              <w:rFonts w:ascii="Georgia" w:hAnsi="Georgia" w:eastAsia="Georgia" w:cs="Georgia"/>
              <w:color w:val="105128"/>
              <w:sz w:val="18"/>
              <w:szCs w:val="18"/>
            </w:rPr>
            <w:fldChar w:fldCharType="separate"/>
          </w:r>
          <w:r>
            <w:rPr>
              <w:rFonts w:ascii="Georgia" w:hAnsi="Georgia" w:eastAsia="Georgia" w:cs="Georgia"/>
              <w:color w:val="105128"/>
              <w:sz w:val="18"/>
              <w:szCs w:val="18"/>
            </w:rPr>
            <w:fldChar w:fldCharType="end"/>
          </w:r>
        </w:p>
      </w:tc>
    </w:tr>
  </w:tbl>
  <w:p w14:paraId="00000119">
    <w:pPr>
      <w:rPr>
        <w:color w:val="002715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5451103"/>
    <w:rsid w:val="09816C22"/>
    <w:rsid w:val="16EB406B"/>
    <w:rsid w:val="174C7453"/>
    <w:rsid w:val="17680EC2"/>
    <w:rsid w:val="193823BE"/>
    <w:rsid w:val="21DB304A"/>
    <w:rsid w:val="301E2C2A"/>
    <w:rsid w:val="36A70051"/>
    <w:rsid w:val="3D3651AC"/>
    <w:rsid w:val="44D8304D"/>
    <w:rsid w:val="4A280276"/>
    <w:rsid w:val="4F8E5B53"/>
    <w:rsid w:val="56EF5668"/>
    <w:rsid w:val="5ABE5136"/>
    <w:rsid w:val="5D9C32AF"/>
    <w:rsid w:val="7AB960DA"/>
    <w:rsid w:val="7DC964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b/>
      <w:bCs/>
      <w:color w:val="1A703A"/>
      <w:sz w:val="36"/>
      <w:szCs w:val="36"/>
    </w:rPr>
  </w:style>
  <w:style w:type="paragraph" w:styleId="3">
    <w:name w:val="heading 2"/>
    <w:basedOn w:val="1"/>
    <w:next w:val="1"/>
    <w:uiPriority w:val="0"/>
    <w:pPr>
      <w:keepNext/>
      <w:keepLines/>
      <w:spacing w:before="160"/>
      <w:jc w:val="center"/>
    </w:pPr>
    <w:rPr>
      <w:rFonts w:ascii="Georgia" w:hAnsi="Georgia" w:eastAsia="Georgia" w:cs="Georgia"/>
      <w:color w:val="592382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/>
      <w:jc w:val="center"/>
    </w:pPr>
    <w:rPr>
      <w:rFonts w:ascii="Georgia" w:hAnsi="Georgia" w:eastAsia="Georgia" w:cs="Georgia"/>
      <w:color w:val="592382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i/>
      <w:iCs/>
      <w:color w:val="37233F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color w:val="37233F"/>
    </w:rPr>
  </w:style>
  <w:style w:type="paragraph" w:styleId="7">
    <w:name w:val="heading 6"/>
    <w:basedOn w:val="1"/>
    <w:next w:val="1"/>
    <w:uiPriority w:val="0"/>
    <w:pPr>
      <w:keepNext/>
      <w:keepLines/>
      <w:spacing w:before="40"/>
    </w:pPr>
    <w:rPr>
      <w:i/>
      <w:iCs/>
      <w:color w:val="595959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uiPriority w:val="0"/>
  </w:style>
  <w:style w:type="paragraph" w:styleId="9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0">
    <w:name w:val="Title"/>
    <w:basedOn w:val="1"/>
    <w:next w:val="1"/>
    <w:uiPriority w:val="0"/>
    <w:pPr>
      <w:spacing w:after="80"/>
      <w:jc w:val="center"/>
    </w:pPr>
    <w:rPr>
      <w:b/>
      <w:bCs/>
      <w:color w:val="4A2E5F"/>
      <w:sz w:val="80"/>
      <w:szCs w:val="80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3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4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8"/>
    <w:basedOn w:val="13"/>
    <w:uiPriority w:val="0"/>
  </w:style>
  <w:style w:type="paragraph" w:styleId="DeliveryTocTitle">
    <w:name w:val="目录标题"/>
    <w:basedOn w:val="1"/>
    <w:pPr>
      <w:outlineLvl w:val="9"/>
      <w:spacing w:before="0" w:after="120" w:line="260" w:lineRule="auto"/>
      <w:keepNext w:val="1"/>
    </w:pPr>
    <w:rPr>
      <w:rFonts w:ascii="宋体" w:hAnsi="宋体" w:eastAsia="宋体" w:cs="宋体"/>
      <w:sz w:val="36"/>
      <w:szCs w:val="36"/>
      <w:color w:val="1A703A"/>
    </w:rPr>
  </w:style>
  <w:style w:type="paragraph" w:styleId="DeliveryToc1">
    <w:name w:val="toc 1"/>
    <w:basedOn w:val="1"/>
    <w:pPr>
      <w:outlineLvl w:val="9"/>
      <w:spacing w:before="0" w:after="120" w:line="260" w:lineRule="auto"/>
      <w:tabs>
        <w:tab w:val="right" w:leader="dot" w:pos="9360"/>
      </w:tabs>
    </w:pPr>
    <w:rPr>
      <w:rFonts w:ascii="宋体" w:hAnsi="宋体" w:eastAsia="宋体" w:cs="宋体"/>
      <w:sz w:val="21"/>
      <w:szCs w:val="21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0" Type="http://schemas.openxmlformats.org/officeDocument/2006/relationships/image" Target="media/architecture.png"/><Relationship Id="rId21" Type="http://schemas.openxmlformats.org/officeDocument/2006/relationships/image" Target="media/review-sequence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3983</Words>
  <Characters>5373</Characters>
  <TotalTime>1</TotalTime>
  <ScaleCrop>false</ScaleCrop>
  <LinksUpToDate>false</LinksUpToDate>
  <CharactersWithSpaces>5804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2026-10-14T06:12:00Z</dcterms:created>
  <dc:creator>ysx</dc:creator>
  <cp:lastModifiedBy>化け物</cp:lastModifiedBy>
  <dcterms:modified xsi:type="dcterms:W3CDTF">2026-10-22T16:00:00Z</dcterms:modified>
  <dc:title>基于AI的智能代码分析工具-技术报告</dc:title>
  <dc:description>dev 3025dfed67e7b7c013d88b77d579f9e7c43ebac9，文档版本 1.1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eyJoZGlkIjoiZGJmOTZhYzk5N2JkMzJmMWY3NmFmMTk3Yjc3NGNjM2EiLCJ1c2VySWQiOiIxMzc4NDgzODQ0In0=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2AAF755BFCE44E54A58E3E8965C43157_12</vt:lpwstr>
  </property>
</Properties>
</file>