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  <w:rFonts w:eastAsia="宋体"/>
        </w:rPr>
      </w:pPr>
      <w:bookmarkStart w:colFirst="0" w:colLast="0" w:name="_heading=h.fuuxw87etzty" w:id="0"/>
      <w:bookmarkEnd w:id="0"/>
      <w:r>
        <w:rPr>
          <w:color w:val="1a703a"/>
          <w:rtl w:val="0"/>
          <w:rFonts w:eastAsia="宋体"/>
        </w:rPr>
        <w:t xml:space="preserve">部署与使用手册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宋体" w:hAnsi="Georgia"/>
          <w:color w:val="1a703a"/>
        </w:rPr>
      </w:pPr>
      <w:r>
        <w:rPr>
          <w:rFonts w:ascii="Georgia" w:cs="Georgia" w:eastAsia="宋体" w:hAnsi="Georgia"/>
          <w:color w:val="1a703a"/>
          <w:rtl w:val="0"/>
        </w:rPr>
        <w:t xml:space="preserve">aiCodeReview</w:t>
      </w:r>
    </w:p>
    <w:p w14:paraId="00000008">
      <w:pPr>
        <w:pStyle w:val="Title"/>
        <w:rPr>
          <w:rFonts w:ascii="Georgia" w:cs="Georgia" w:eastAsia="宋体" w:hAnsi="Georgia"/>
          <w:color w:val="1a703a"/>
        </w:rPr>
      </w:pPr>
      <w:r>
        <w:rPr>
          <w:rFonts w:ascii="Georgia" w:cs="Georgia" w:eastAsia="宋体" w:hAnsi="Georgia"/>
          <w:color w:val="1a703a"/>
          <w:rtl w:val="0"/>
        </w:rPr>
        <w:t xml:space="preserve">用户手册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  <w:rFonts w:eastAsia="宋体"/>
        </w:rPr>
      </w:pPr>
      <w:bookmarkStart w:colFirst="0" w:colLast="0" w:name="_heading=h.a28c2t63c20t" w:id="5"/>
      <w:bookmarkEnd w:id="5"/>
      <w:r>
        <w:rPr>
          <w:color w:val="000000"/>
          <w:rtl w:val="0"/>
          <w:rFonts w:eastAsia="宋体"/>
        </w:rPr>
        <w:t xml:space="preserve">dev 分支交付基线 d114f62</w:t>
      </w:r>
    </w:p>
    <w:p w14:paraId="00000019">
      <w:pPr>
        <w:pStyle w:val="Heading3"/>
        <w:rPr>
          <w:color w:val="000000"/>
          <w:rFonts w:eastAsia="宋体"/>
        </w:rPr>
      </w:pPr>
      <w:bookmarkStart w:colFirst="0" w:colLast="0" w:name="_heading=h.io4lnv62zpnv" w:id="6"/>
      <w:bookmarkEnd w:id="6"/>
      <w:r>
        <w:rPr>
          <w:color w:val="000000"/>
          <w:rtl w:val="0"/>
          <w:rFonts w:eastAsia="宋体"/>
        </w:rPr>
        <w:t xml:space="preserve">2026 年 10 月 13 日  文档版本 1.0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Fonts w:eastAsia="宋体"/>
        </w:rPr>
        <w:t xml:space="preserve">阅读导航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本页目录可点击跳转到对应章节。截图留白的采集说明位于各操作或验证章节。</w:t>
      </w:r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" w:history="1">
        <w:r>
          <w:rPr>
            <w:rFonts w:ascii="Georgia" w:cs="Georgia" w:eastAsia="宋体" w:hAnsi="Georgia"/>
          </w:rPr>
          <w:t xml:space="preserve">1 系统使用概览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2" w:history="1">
        <w:r>
          <w:rPr>
            <w:rFonts w:ascii="Georgia" w:cs="Georgia" w:eastAsia="宋体" w:hAnsi="Georgia"/>
          </w:rPr>
          <w:t xml:space="preserve">2 部署环境与网络说明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3" w:history="1">
        <w:r>
          <w:rPr>
            <w:rFonts w:ascii="Georgia" w:cs="Georgia" w:eastAsia="宋体" w:hAnsi="Georgia"/>
          </w:rPr>
          <w:t xml:space="preserve">3 离线部署包与首次部署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4" w:history="1">
        <w:r>
          <w:rPr>
            <w:rFonts w:ascii="Georgia" w:cs="Georgia" w:eastAsia="宋体" w:hAnsi="Georgia"/>
          </w:rPr>
          <w:t xml:space="preserve">4 运行维护、升级与回退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5" w:history="1">
        <w:r>
          <w:rPr>
            <w:rFonts w:ascii="Georgia" w:cs="Georgia" w:eastAsia="宋体" w:hAnsi="Georgia"/>
          </w:rPr>
          <w:t xml:space="preserve">5 AI 大模型接入与验证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6" w:history="1">
        <w:r>
          <w:rPr>
            <w:rFonts w:ascii="Georgia" w:cs="Georgia" w:eastAsia="宋体" w:hAnsi="Georgia"/>
          </w:rPr>
          <w:t xml:space="preserve">6 提示词管理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7" w:history="1">
        <w:r>
          <w:rPr>
            <w:rFonts w:ascii="Georgia" w:cs="Georgia" w:eastAsia="宋体" w:hAnsi="Georgia"/>
          </w:rPr>
          <w:t xml:space="preserve">7 审查策略配置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8" w:history="1">
        <w:r>
          <w:rPr>
            <w:rFonts w:ascii="Georgia" w:cs="Georgia" w:eastAsia="宋体" w:hAnsi="Georgia"/>
          </w:rPr>
          <w:t xml:space="preserve">8 项目接入和范围准备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9" w:history="1">
        <w:r>
          <w:rPr>
            <w:rFonts w:ascii="Georgia" w:cs="Georgia" w:eastAsia="宋体" w:hAnsi="Georgia"/>
          </w:rPr>
          <w:t xml:space="preserve">9 结构视图审查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0" w:history="1">
        <w:r>
          <w:rPr>
            <w:rFonts w:ascii="Georgia" w:cs="Georgia" w:eastAsia="宋体" w:hAnsi="Georgia"/>
          </w:rPr>
          <w:t xml:space="preserve">10 单次提交与多个提交审查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1" w:history="1">
        <w:r>
          <w:rPr>
            <w:rFonts w:ascii="Georgia" w:cs="Georgia" w:eastAsia="宋体" w:hAnsi="Georgia"/>
          </w:rPr>
          <w:t xml:space="preserve">11 审查结果、人工复核与准确率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2" w:history="1">
        <w:r>
          <w:rPr>
            <w:rFonts w:ascii="Georgia" w:cs="Georgia" w:eastAsia="宋体" w:hAnsi="Georgia"/>
          </w:rPr>
          <w:t xml:space="preserve">12 历史记录查看与报告生成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3" w:history="1">
        <w:r>
          <w:rPr>
            <w:rFonts w:ascii="Georgia" w:cs="Georgia" w:eastAsia="宋体" w:hAnsi="Georgia"/>
          </w:rPr>
          <w:t xml:space="preserve">13 常见故障与交付留存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4" w:history="1">
        <w:r>
          <w:rPr>
            <w:rFonts w:ascii="Georgia" w:cs="Georgia" w:eastAsia="宋体" w:hAnsi="Georgia"/>
          </w:rPr>
          <w:t xml:space="preserve">14 图件清单与源码参考</w:t>
        </w:r>
      </w:hyperlink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文档属性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内容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系统名称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智能代码分析工具（aiCodeReview）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文档版本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1.0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适用分支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dev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适用源码基线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d114f62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编制日期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2026-10-13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适用人员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部署负责人、系统运维人员、代码审查人员、项目负责人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本手册说明 dev 基线的离线部署、模型和仓库接入、代码审查、人工复核及报告生成操作。应用界面或部署包升级后，应按对应版本核对本手册；其他分支的页面、配置和功能不在本手册适用范围内。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本手册中的 &lt;版本&gt;、&lt;目标机内网IP&gt;、&lt;网关主机&gt; 和 &lt;owner&gt;/&lt;repo&gt; 为现场填写项。命令示例使用 Linux 终端；界面操作使用部署后的浏览器页面。所有示例均不包含真实密码或令牌。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长命令、定时任务和配置值可能因版面宽度自动折行。抄写或粘贴时，每条命令和每个配置值应保持为一行；不要在自动折行处插入回车。.env 中的 JAVA_OPTS 需保留整段双引号。</w:t>
      </w:r>
    </w:p>
    <w:p w14:paraId="0000001B">
      <w:pPr>
        <w:pStyle w:val="Heading1"/>
        <w:rPr/>
      </w:pPr>
      <w:bookmarkStart w:id="1001" w:name="chapter_1"/>
      <w:r>
        <w:rPr>
          <w:rFonts w:eastAsia="宋体"/>
        </w:rPr>
        <w:t xml:space="preserve">1 系统使用概览</w:t>
      </w:r>
      <w:bookmarkEnd w:id="1001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1.1 系统用途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aiCodeReview 将 Git 仓库材料与可复用审查策略结合，支持全文代码审查、Java 耦合度分析、设计模式识别、外部 API 审查和单次提交变更审查。用户可以保留审查记录、复核部分结构化问题，并将多条已完成记录汇总为综合报告。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使用时应同时检查审查范围、执行状态和分析意见。分析执行成功表示本次任务完成，不表示代码没有缺陷，也不表示模型意见已经由人员确认。正式结论应由审查人员结合源码、变更目的与业务约束复核。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1.2 页面入口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默认访问地址为：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http://&lt;目标机内网IP&gt;:18080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若部署负责人修改了应用端口，请使用实际地址。进入页面后，左侧导航依次为“项目”“模型”“策略”“提示词”。点击项目名称进入项目详情，详情页包含“代码审查”“审查记录”“报告生成”三个页签；“代码审查”内又分为“结构视图”和“提交视图”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页面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主要操作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项目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接入仓库、进入项目详情、查看删除影响范围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维护 AI 网关地址、Token、模型名，执行连通验证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策略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选择分析器并绑定模型、提示词或外部 API 参数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提示词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编写规则、保存版本、比较版本差异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项目详情 → 代码审查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选分支、文件范围或单次提交，发起任务、查看当前结果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项目详情 → 审查记录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查看历史记录、耗时、准确率汇总和重审入口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项目详情 → 报告生成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勾选已完成记录、生成并下载 Markdown 报告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当前版本没有登录页面或内建用户角色管理入口。部署负责人应通过内网访问范围、主机访问策略或所在环境的统一访问控制保护入口；不要使用本手册中不存在的默认管理员账号登录。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1.3 首次使用顺序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建议按下列顺序完成首次使用：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1. 部署离线包，确认服务状态和页面访问。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2. 在“模型”页面接入并验证现场 AI 网关。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3. 按业务需要在“提示词”页面编写规则。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4. 在“策略”页面选择分析器，绑定模型及可选提示词。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5. 在“项目”页面接入实际仓库。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6. 进入项目详情，明确分支和审查范围，执行一次小范围审查。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7. 复核结果，检查范围缺口，保留审查记录。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8. 在“报告生成”页签勾选相关记录，生成、审阅并下载报告。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采集部署后的项目列表，完整显示左侧项目、模型、策略、提示词四个菜单及项目名称入口；使用可公开的项目名，遮蔽不需公开的仓库地址和浏览器内部地址。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01 系统导航与项目入口  现场截图预留</w:t>
      </w:r>
    </w:p>
    <w:p w14:paraId="0000001B">
      <w:pPr>
        <w:pStyle w:val="Heading1"/>
        <w:rPr/>
      </w:pPr>
      <w:bookmarkStart w:id="1002" w:name="chapter_2"/>
      <w:r>
        <w:rPr>
          <w:rFonts w:eastAsia="宋体"/>
        </w:rPr>
        <w:t xml:space="preserve">2 部署环境与网络说明</w:t>
      </w:r>
      <w:bookmarkEnd w:id="1002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2.1 部署形态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正式交付使用 Linux amd64 离线 Docker 部署包。应用镜像内包含 JRE 17、Spring Boot 后端和已构建的 Vue 前端；应用以单容器、单业务端口提供页面及后端接口。数据库使用单独的 MySQL 8.0.36 容器。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目标机运行离线包无需另行安装 Node.js、pnpm、Maven、JDK 或 Nginx。离线镜像装载不依赖访问公网镜像仓库，业务运行仍需要连通现场 Git 服务和 AI 网关。</w:t>
      </w:r>
    </w:p>
    <w:p w14:paraId="0000002C">
      <w:pPr>
        <w:spacing w:after="240" w:lineRule="auto"/>
        <w:jc w:val="center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  <w:r>
        <w:drawing>
          <wp:inline distT="0" distB="0" distL="0" distR="0">
            <wp:extent cx="5938520" cy="5938520"/>
            <wp:docPr id="101" name="图U 00 内网离线部署拓扑" descr="图U 00 内网离线部署拓扑"/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00 内网离线部署拓扑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图U 00 说明：浏览器通过宿主机应用端口访问应用容器；应用通过内部 Docker 网络访问 MySQL，通过 HTTP(S) 访问 Git 服务和 AI 网关。数据库目录、Git 镜像缓存和运行配置由宿主机持久化。外部流水线和 SonarQube 连接用于可选的 api-review 策略。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2.2 环境要求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项目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要求或默认参数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部署说明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处理器架构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Linux amd64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离线发布镜像固定为 linux/amd64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历史验证环境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CentOS 7.6.1810；内核 3.10.0-957.el7.x86_64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仓库部署资料记录的目标环境，不代表其他系统已完成同等验证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历史 Docker / Compose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Docker 20.10.24；Compose v2.17.2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优先使用 docker compose；脚本也支持独立 docker-compose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部署目录文件系统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Linux 原生文件系统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避免 WSL 的 /mnt/c、/mnt/h 及 NTFS、CIFS 等共享挂载点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部署分区可用空间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至少 5 GB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前置体检检查；还需为代码镜像、业务数据和备份增长预留空间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Docker 数据分区可用空间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至少 8 GB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前置体检检查实际 DockerRootDir 所在分区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当前可用内存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至少 6 GB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前置体检要求，不是主机总内存要求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应用容器内存限制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4g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默认配置值，需结合实际负载评估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MySQL 容器内存限制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2g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默认 buffer pool 为 1G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JVM 堆参数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-Xms1g -Xmx4g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调整时同时考虑容器内非堆和其他运行开销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应用容器内端口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8080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由应用镜像使用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宿主机访问端口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18080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可通过 APP_PORT 修改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数据库端口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内部 mysql:3306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默认不向宿主机发布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Compose 项目名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codereview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用于管理本系统服务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Docker 网络名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codereview-net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bridge 网络，部署脚本尝试避开其他项目网段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Docker 守护进程必须可访问，部署账号需要相应操作权限。目标机应具备 Bash、tar、gzip、sha256sum、sed、awk 等部署工具。环境采集脚本可列出工具和资源现状，前置体检会阻止关键资源或端口条件不满足的部署。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应用和数据库的 4g、2g 是容器限制配置，不能作为实测峰值或主机新增总资源占用的证明。现场应保留其他业务所需资源，并持续观察磁盘和内存。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2.3 网络与端口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方向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连接内容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现场要求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浏览器 → 应用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APP_BIND_IP:APP_PORT，默认 0.0.0.0:18080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用户所在内网可访问该端口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应用 → MySQL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Docker 网络中的 mysql:3306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无需开放宿主机 3306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应用 → Gitea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仓库 HTTP(S)、API 和本地镜像同步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仓库地址与宿主配置正确，令牌具有读取权限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应用 → AI 网关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OpenAI 兼容 chat/completions 接口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网关可达，Token 和模型名有效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应用 → 外部流水线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api-review 的调用 API、可选查询地址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仅使用该策略时需要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浏览器 → SonarQube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结果展示地址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使用 api-review 的外部结果链接时需要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APP_BIND_IP 默认监听所有网卡。仅向某块内网网卡提供访问时，可填写该网卡地址。防火墙和访问范围按现场制度配置；部署脚本不会替用户开放防火墙，也不会重启 Docker 守护进程。</w:t>
      </w:r>
    </w:p>
    <w:p w14:paraId="0000001B">
      <w:pPr>
        <w:pStyle w:val="Heading1"/>
        <w:rPr/>
      </w:pPr>
      <w:bookmarkStart w:id="1003" w:name="chapter_3"/>
      <w:r>
        <w:rPr>
          <w:rFonts w:eastAsia="宋体"/>
        </w:rPr>
        <w:t xml:space="preserve">3 离线部署包与首次部署</w:t>
      </w:r>
      <w:bookmarkEnd w:id="1003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3.1 包名和目录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离线包命名为 codereview-offline-&lt;版本&gt;.tar.gz。它包含应用镜像、MySQL 镜像、部署脚本、配置模板、源码快照和校验和。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codereview-offline-&lt;版本&gt;/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├─ docker-compose.yml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├─ .env.example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├─ config/application.yml.example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├─ images/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├─ codereview-app-&lt;版本&gt;.tar.gz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├─ mysql-8.0.36.tar.gz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└─ SHA256SUMS.txt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├─ scripts/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├─ deploy.sh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├─ preflight.sh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├─ backup.sh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├─ rollback.sh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│  └─ common.sh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├─ env-check.sh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└─ source-&lt;版本&gt;.zip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首次部署后还会建立以下运行文件和目录：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位置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用途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保存要求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.env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数据库密码、镜像版本、端口及环境令牌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含凭据，与数据库数据配套保存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config/application.yml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渲染后的运行配置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包含数据库连接等现场配置，应保护并备份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data/mysql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MySQL 持久化数据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不得随意删除或覆盖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data/git-mirrors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Gitea 本地 bare 仓库缓存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需要应用容器可写；可重建，但重建需要重新同步仓库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backups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数据库 SQL gzip 和 .env 副本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限制访问并按要求异地留存</w:t>
            </w:r>
          </w:p>
        </w:tc>
      </w:tr>
    </w:tbl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3.2 解压与环境采集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将包复制到 Linux 原生目录后执行：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tar xzf codereview-offline-&lt;版本&gt;.tar.gz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cd codereview-offline-&lt;版本&gt;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bash env-check.sh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环境采集脚本默认将报告写入 /tmp，终端会显示实际报告路径。需要直接保存到可写的交付目录时，可以指定目录：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bash env-check.sh /&lt;可写报告目录&gt;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脚本读取系统、Docker、资源、网络和工具信息，并写入报告文件。报告可能包含内部主机名、IP 和环境信息；提供给其他人员前按要求脱敏。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3.3 校验镜像完整性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在包根目录执行：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cd images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sha256sum -c SHA256SUMS.txt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cd ..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应用镜像和数据库镜像都应显示 OK。出现 FAILED 时停止部署，重新获取或复制正确文件，重新校验后再继续。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3.4 设置部署参数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推荐先复制参数模板，填写现场值：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cp .env.example .env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vi .env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参数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默认值或填写要求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APP_PORT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18080；修改为现场允许且空闲的端口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APP_BIND_IP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0.0.0.0；可改为指定内网网卡 IP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b w:val="1"/>
                <w:bCs w:val="1"/>
                <w:sz w:val="18"/>
                <w:szCs w:val="18"/>
              </w:rPr>
              <w:t xml:space="preserve">MYSQL_ROOT_PASSWORD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手工建立 .env 时必须填写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MYSQL_PASSWORD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手工建立 .env 时必须填写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MYSQL_DATABASE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code_review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MYSQL_USER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codereview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MYSQL_IMAGE_TAG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8.0.36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APP_MEM_LIMIT / MYSQL_MEM_LIMIT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4g / 2g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JAVA_OPTS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含空格的整段值应保留双引号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GITEA_TOKEN / GITHUB_TOKEN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可选仓库认证兜底令牌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DEEPSEEK_API_KEY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默认模型初始化使用的网关令牌；也可随后在模型界面配置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AI_BASE_URL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 AI 网关接口根地址，填写方法见第 5 章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AI_MODEL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现场模型的准确名称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参数片段示例：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APP_PORT=18080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APP_BIND_IP=0.0.0.0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MYSQL_DATABASE=code_review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MYSQL_USER=codereview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MYSQL_ROOT_PASSWORD=&lt;现场设置的数据库root密码&gt;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MYSQL_PASSWORD=&lt;现场设置的应用数据库密码&gt;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AI_BASE_URL=https://&lt;网关主机&gt;/v1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AI_MODEL=&lt;网关提供的模型名&gt;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DEEPSEEK_API_KEY=&lt;现场网关令牌&gt;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JAVA_OPTS="-Xms1g -Xmx4g -XX:+UseG1GC -XX:-UseTransparentHugePages -Dfile.encoding=UTF-8 -Duser.timezone=Asia/Shanghai"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上面是说明性片段，不应整段覆盖现有 .env。尖括号内容必须替换后使用。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本版本部署脚本用文本替换方式生成运行 YAML。手工填写数据库密码时，使用至少 24 位随机字母和数字，不添加引号；包含 &amp;、|、反斜杠或 YAML 特殊内容的值可能破坏替换或配置解析。若现场口令策略要求特殊字符，应由部署负责人校验并手工设置运行配置后再启动。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另一种首次初始化方式是不提前建立 .env，直接执行部署脚本，由脚本从模板创建文件并生成两个随机数据库密码。脚本只在 .env 不存在时自动生成密码；手工复制 .env 后留下空密码不会自动补齐。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数据库密码仅在 data/mysql 首次初始化时生效。数据库已有数据后，修改 .env 不会同步修改 MySQL 用户密码；确需修改时，应由数据库管理员同步处理数据库账户与应用连接配置。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3.5 执行部署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在离线包根目录执行：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bash scripts/deploy.sh --tag &lt;版本&gt;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脚本将建立目录、调整 Git 缓存权限、生成缺失配置、执行前置体检、装载本地镜像、设置应用版本、尝试备份已有数据库、配置网络，然后提示确认启动。核对应用端口、内存限制和项目名后输入 y。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脚本在启动确认之前已可能生成文件、装载镜像、修改镜像标签或备份，因此不要把取消启动理解为整个脚本从未写入任何内容。已有数据库备份失败时脚本会警告并继续；升级前应人工确认备份成功。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应用启动后，脚本最多等待约 5 分钟检查健康状态。成功会打印访问地址。首次自动生成密码时，结束输出可能显示应用数据库密码；请及时保存到受控凭据管理位置，不要将该行纳入交付截图。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3.6 设置 Gitea 接入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现场 Gitea 主机应加入 config/application.yml 的 git.gitea.hosts。条目填写 host[:port]，不包含协议和路径。以下为配置片段：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git: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gitea: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hosts: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  - &lt;Gitea主机或主机:端口&gt;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api-base: ""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token: ${GITEA_TOKEN:}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local-clone-enabled: true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work-dir: /app/data/git-mirrors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mirror-timeout-seconds: 120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diff-max-bytes: 5242880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HTTP(S) 仓库 URL 示例为 http://&lt;Gitea主机&gt;/gitea/&lt;owner&gt;/&lt;repo&gt;。系统保留 /gitea 等站点前缀，推导 API 根为 http://&lt;Gitea主机&gt;/gitea/api/v1。通常保持 api-base 为空；使用 git@host:owner/repo 地址时，因地址没有 HTTP 前缀，须显式设置包含 /api/v1 的 API 根。使用人员优先填写 HTTP(S) 仓库 URL。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local-clone-enabled 和持久化镜像目录用于支持 Gitea 缺少 compare 接口时的本地差异计算。模板中的同步超时单位是秒，默认 120；diff 限制单位是字节，默认 5242880，即 5 MiB。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修改运行 YAML 后重启应用：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restart app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3.7 部署完成检查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部署负责人应完成以下检查并记录实际版本和时间：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1. 镜像校验通过，版本符合交付要求。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2. 查看 Compose 状态，确认应用和数据库运行及健康状态。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3. 浏览器打开实际访问地址，确认页面显示。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4. 在“模型”页面执行验证。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5. 接入一项仓库，确认分支、文件树和提交列表可读取。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6. 执行一条小范围审查，确认结果和记录能够显示。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应用容器健康检查只访问 / 页面；页面响应不能替代模型、仓库和完整业务流程检查。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采集镜像校验OK、前置体检关键资源检查及Compose ps中的app和mysql健康状态，可合并为子图；标明部署版本与采集时间，遮蔽密码、令牌、内部主机身份等敏感内容，禁止截入首次密码输出行。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02 部署检查与服务状态  现场截图预留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p w14:paraId="0000001B">
      <w:pPr>
        <w:pStyle w:val="Heading1"/>
        <w:rPr/>
      </w:pPr>
      <w:bookmarkStart w:id="1004" w:name="chapter_4"/>
      <w:r>
        <w:rPr>
          <w:rFonts w:eastAsia="宋体"/>
        </w:rPr>
        <w:t xml:space="preserve">4 运行维护、升级与回退</w:t>
      </w:r>
      <w:bookmarkEnd w:id="1004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4.1 常用维护命令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以下命令均从实际部署包根目录执行。Compose 服务名为 app 和 mysql；固定容器名为 codereview-app 和 codereview-mysql。Compose 的 logs、restart 等服务操作使用服务名。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服务状态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ps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应用最近200行日志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logs --tail=200 app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数据库最近200行日志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logs --tail=200 mysql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实时应用日志，按 Ctrl+C 结束查看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logs -f app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停止已有服务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stop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启动已有服务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start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# 运行YAML更新后重启应用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docker compose -p codereview --env-file .env -f docker-compose.yml restart app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修改 .env 中端口、环境令牌或 JVM 环境参数后，单纯 restart 不会重新创建容器环境。核对配置后可重新执行部署脚本，使 Compose 应用变更。修改模型界面中的配置则保存到数据库，按界面保存并验证即可。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4.2 数据库备份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执行手工备份：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bash scripts/backup.sh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备份要求 MySQL 为 healthy，且 .env 中 root 密码有效。脚本使用事务一致性导出选项生成压缩 SQL，同时保存当时的 .env 副本。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备份内容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位置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说明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数据库SQL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backups/&lt;数据库名&gt;-&lt;时间&gt;.sql.gz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包含例程、触发器和事件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部署凭据副本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backups/env-&lt;时间&gt;.txt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含密码，应限制访问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运行配置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config/application.yml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备份脚本未自动复制，应纳入运维备份范围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脚本每次运行会清理超过 7 天的本项目 SQL 和 env 副本。它不会自动创建每日备份任务。需要每日备份时，由运维在实际部署目录配置，例如：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0 2 * * * cd /opt/codereview-offline-&lt;版本&gt; &amp;&amp; bash scripts/backup.sh &gt;&gt; backups/backup.log 2&gt;&amp;1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正式备份应确认文件非空、保留执行记录并安排恢复验证。运行中的 data/mysql 目录直接复制不能替代已验证一致性的数据库备份；不要在数据库运行时仅靠复制目录判断备份成功。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4.3 应用升级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升级前应独立完成一次备份，并确认能够取得对应凭据和运行配置。将更新包的镜像、脚本、Compose 与模板按交付说明更新到受控部署目录，保留既有 .env、config/application.yml、data/ 和 backups/。新模板参数应与既有运行配置逐项核对，不应直接用模板覆盖现场配置。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执行：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bash scripts/deploy.sh --tag &lt;新版本&gt;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部署成功后重新完成第 3.7 节的业务检查。config/application.yml 只在文件不存在时首次渲染；后续更改 .env 的 AI_BASE_URL 不会自动覆盖已经存在的运行 YAML。已经通过界面保存的模型也不会因 YAML 修改自动更新，应在“模型”页面处理。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4.4 应用镜像回退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手工回退命令：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bash scripts/rollback.sh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回退依赖本机存在 codereview-app:previous 镜像。脚本会尝试备份数据库，提示确认后将 APP_TAG 改为 previous，启动并检查健康。部署健康失败时，如果 previous 存在，部署脚本也会尝试自动回退。首次部署没有上一镜像时无此回退目标。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previous 来自部署时已有的 latest 镜像标签。人工改标签或前一次启动失败可能影响实际指向，运维应记录版本对应关系，不能只凭标签名称推定它一定是最近成功版本。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应用镜像回退不恢复数据库数据，也不回退 Flyway 数据库迁移。 需要恢复数据时，应由数据库管理员根据 SQL 备份、凭据和版本兼容性执行恢复并验证。当前部署包没有专门的数据恢复脚本，不应将 rollback.sh 当作数据库恢复操作。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4.5 凭据和交付资料保护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.env、运行 YAML、备份凭据副本和数据库包含敏感信息。模型和 API Token 在浏览器接口中采取只写不回读方式，不能据此认为数据库内凭据已经加密。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运维应限制部署目录与备份访问，保护代码和审查结果。排障截图不应显示 Token、数据库密码或可直接复用的认证值；对外提供配置时应先脱敏。删除项目之前，应保存需要留存的审查结果和报告。</w:t>
      </w:r>
    </w:p>
    <w:p w14:paraId="0000001B">
      <w:pPr>
        <w:pStyle w:val="Heading1"/>
        <w:rPr/>
      </w:pPr>
      <w:bookmarkStart w:id="1005" w:name="chapter_5"/>
      <w:r>
        <w:rPr>
          <w:rFonts w:eastAsia="宋体"/>
        </w:rPr>
        <w:t xml:space="preserve">5 AI 大模型接入与验证</w:t>
      </w:r>
      <w:bookmarkEnd w:id="1005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5.1 新建模型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点击左侧“模型”，进入“模型接入”页面，再点击“新建模型”。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字段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填写方法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名称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供策略和报告选择的显示名；必填，未删除模型中不得重复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接口地址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能够在后面直接拼接 /chat/completions 的接口根地址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Token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网关提供的调用令牌；本版本以 Bearer 认证调用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模型名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现场网关实际提供的准确名称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保存新建或编辑配置时，系统会执行连通验证。列表还提供“验证”“编辑”“删除”操作。若失败，配置仍会保留为“验证失败”，页面显示失败原因；调整后再次验证。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5.2 接口地址填写方法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本版本实际请求地址为：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&lt;接口地址&gt;/chat/completions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5236"/>
        <w:gridCol w:w="4114"/>
        <w:tblGridChange w:id="0">
          <w:tblGrid>
            <w:gridCol w:w="5236"/>
            <w:gridCol w:w="411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tcW w:w="5236" w:type="dxa"/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网关实际完整接口</w:t>
            </w:r>
          </w:p>
        </w:tc>
        <w:tc>
          <w:tcPr>
            <w:tcW w:w="4114" w:type="dxa"/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应填写的“接口地址”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W w:w="5236" w:type="dxa"/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b w:val="1"/>
                <w:bCs w:val="1"/>
                <w:sz w:val="18"/>
                <w:szCs w:val="18"/>
              </w:rPr>
              <w:t xml:space="preserve">https://&lt;网关主机&gt;/v1/chat/completions</w:t>
            </w:r>
          </w:p>
        </w:tc>
        <w:tc>
          <w:tcPr>
            <w:tcW w:w="4114" w:type="dxa"/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sz w:val="18"/>
                <w:szCs w:val="18"/>
              </w:rPr>
              <w:t xml:space="preserve">https://&lt;网关主机&gt;/v1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W w:w="5236" w:type="dxa"/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b w:val="1"/>
                <w:bCs w:val="1"/>
                <w:sz w:val="18"/>
                <w:szCs w:val="18"/>
              </w:rPr>
              <w:t xml:space="preserve">https://&lt;网关主机&gt;/chat/completions</w:t>
            </w:r>
          </w:p>
        </w:tc>
        <w:tc>
          <w:tcPr>
            <w:tcW w:w="4114" w:type="dxa"/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sz w:val="18"/>
                <w:szCs w:val="18"/>
              </w:rPr>
              <w:t xml:space="preserve">https://&lt;网关主机&gt;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W w:w="5236" w:type="dxa"/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b w:val="1"/>
                <w:bCs w:val="1"/>
                <w:sz w:val="18"/>
                <w:szCs w:val="18"/>
              </w:rPr>
              <w:t xml:space="preserve">https://&lt;网关主机&gt;/&lt;服务前缀&gt;/v1/chat/completions</w:t>
            </w:r>
          </w:p>
        </w:tc>
        <w:tc>
          <w:tcPr>
            <w:tcW w:w="4114" w:type="dxa"/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Consolas" w:cs="Georgia" w:eastAsia="宋体" w:hAnsi="Consolas"/>
                <w:sz w:val="18"/>
                <w:szCs w:val="18"/>
              </w:rPr>
              <w:t xml:space="preserve">https://&lt;网关主机&gt;/&lt;服务前缀&gt;/v1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不要填写完整的 .../chat/completions，也不要保留末尾斜杠。代码直接拼接路径；重复后缀或双斜杠可能导致网关路由失败。是否需要 /v1 应以现场网关实际接口为准。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5.3 Token 编辑行为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已经设置的 Token 不回填明文。编辑时显示“••••••••（已配置，留空不修改）”：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留空保存：保留原 Token。</w:t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输入新 Token：覆盖原值。</w:t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勾选“清除 token”：显式删除原值。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本版本模型调用不接受空 Token。清除后应重新填写有效令牌再验证。截图保留隐藏状态即可，不需要展示真实值。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5.4 验证结果与验证范围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列表状态显示“未验证”“验证成功”“验证失败”。“验证”发送极简 ping 请求，使用 max_tokens: 1，用于检查当前调用是否得到成功 HTTP 响应。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该验证不检查长代码上下文能力、JSON 输出能力或分析意见正确率。通过 ping 后仍应执行一条真实小范围审查。数据库尚无模型时，应用会从运行配置生成“DeepSeek(默认)”；此初始化记录虽显示成功状态，但没有实际发起 ping，首次部署也应主动点击“验证”。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常见失败处理：401/403 检查令牌及授权；404 检查接口根和 /v1 前缀；模型相关错误检查模型名；网络或读超时检查网关状态和应用到网关的可达性。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5.5 超时和调用参数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以下设置属于运行 YAML，由部署负责人修改；不是模型表单字段：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deepseek: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connect-timeout-ms: 10000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read-timeout-ms: 300000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/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review: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concurrency: 4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chunk-max-chars: 140000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retry-max: 3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retry-base-millis: 1000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task-timeout-minutes: 50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参数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单位和含义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connect-timeout-ms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毫秒，默认建连等待 10000，即 10 秒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read-timeout-ms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毫秒，默认读取等待 300000，即 300 秒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concurrency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全文 LLM 与 diff 单元池并发数，默认 4；不是所有模型请求的全局限流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chunk-max-chars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字符数，默认 140000；不是 token 数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retry-max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最多额外重试 3 次，连同首次调用最多 4 次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retry-base-millis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毫秒，默认退避基数 1000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task-timeout-minutes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分钟，默认单条审查期限预算 50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连接和读取超时设置为 0 或负数时会回退到默认有限值。审查期限采取协作式检查，停止后续任务提交并形成失败或部分成功；已在途的 HTTP 请求仍受 HTTP 超时约束，因此不能把 50 分钟解释为精确的强制终止时刻。重审复用原记录的起始时间预算，不会自动重新获得完整 50 分钟。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正式模型调用固定使用 temperature: 0。结构化路径使用 response_format: {type: "json_object"}，网关应支持相关语义。正式审查和报告请求不设置 max_tokens，输出限制由网关或模型侧决定；界面没有最大输出 token 或上下文窗口设置项。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运行 YAML 的 deepseek 参数用于默认模型初始化及兜底调用。策略绑定、报告选择的数据库模型配置用于相应调用；修改 YAML 不会自动覆盖已保存模型。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采集真实模型列表及新建或编辑表单，显示名称、接口地址、模型名和验证状态；Token保持密码隐藏，不显示真实令牌，网关地址按交付范围脱敏；说明该图仅证明当次连通验证。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03 模型接入与连通验证  现场截图预留</w:t>
      </w:r>
    </w:p>
    <w:p w14:paraId="0000001B">
      <w:pPr>
        <w:pStyle w:val="Heading1"/>
        <w:rPr/>
      </w:pPr>
      <w:bookmarkStart w:id="1006" w:name="chapter_6"/>
      <w:r>
        <w:rPr>
          <w:rFonts w:eastAsia="宋体"/>
        </w:rPr>
        <w:t xml:space="preserve">6 提示词管理</w:t>
      </w:r>
      <w:bookmarkEnd w:id="1006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6.1 新建和搜索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点击“提示词”进入“提示词管理”，点击“新建提示词”。填写“名称”和“正文”；“描述”和“标签”按需填写。标签可通过回车、英文逗号或中文逗号添加。完成后保存。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提示词用于表达业务审查规则。写明审查对象、检查重点、需要的证据及输出形式，避免只有“检查所有问题”这类无法复核的要求。列表可以通过“搜索名称/标签/正文”查找。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业务规则示例：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请检查所给代码的空值处理、输入校验、事务边界和资源释放。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只报告能够从当前材料直接验证的问题。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每项结论写明文件、位置、触发条件、影响和修复建议。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当前材料不足以判断的事项列为“待确认”，不要编造其他文件或系统行为。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该示例需根据项目业务规则调整，不代表系统预置规则或已经验证的结果。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6.2 编辑与版本保存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点击列表“编辑”，查看当前正文后修改。默认勾选“保存为新版本（不勾选则覆盖当前版本）”。需要保留历史规则时保持勾选；取消勾选会覆盖当前版本。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正文较长时，可点击“最大化”，编辑后点击“还原”。等待当前正文加载完成再核对；若加载失败，应重试后确认原内容，不应误将空表单当成原文为空。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点击“版本”进入“版本对比”，选择“旧版本”“新版本”，点击“对比”。界面显示差异；两版内容相同时显示“两版内容相同”。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6.3 提示词与结果形式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策略绑定提示词后，审查触发时使用提示词当前版本，并将实际正文写入审查策略快照。之后修改提示词不会自动改写已有结果。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绑定自定义提示词可能改变结果形式：llm-review、design-pattern 使用自定义规则时可返回普通文本或 Markdown；coupling 会保留确定性指标，并显示自定义解读原文；diff-review 将关注点加入固定的变更审查任务。不要把所有自定义回答都视为已进入结构化问题列表或准确率计数。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报告提示词也是可选补充要求，适合约定汇总口径、优先级和无法判断事项。正式报告所需结论必须有选中审查记录支撑。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采集提示词编辑中的名称、正文、保存为新版本选项及真实两版差异，可分为a/b子图；使用可公开业务规则，保留真实版本号，不包含生产敏感信息。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04 提示词正文与版本对比  现场截图预留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p w14:paraId="0000001B">
      <w:pPr>
        <w:pStyle w:val="Heading1"/>
        <w:rPr/>
      </w:pPr>
      <w:bookmarkStart w:id="1007" w:name="chapter_7"/>
      <w:r>
        <w:rPr>
          <w:rFonts w:eastAsia="宋体"/>
        </w:rPr>
        <w:t xml:space="preserve">7 审查策略配置</w:t>
      </w:r>
      <w:bookmarkEnd w:id="1007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7.1 新建策略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点击“策略”进入“审查策略”，点击“新建策略”。填写唯一名称，选择“分析器”，再按类型填写参数。编辑现有策略时，界面禁用分析器类型；需要另一种类型时新建策略。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策略列表可通过“搜索名称”和“分析器”筛选，点击“搜索”应用条件，点击“重置”恢复。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7.2 五种分析器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分析器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适用操作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配置内容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llm-review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全文/选定文件审查；可按需合并多文件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模型必选；关注点提示词可选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coupling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Java import 依赖和耦合度分析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模型必选；提示词可选；类扇出阈值默认 10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design-pattern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根据 Java 结构材料识别设计模式和疑似误用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模型必选；提示词可选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api-review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触发外部 API，并可查询外部分析结果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调用 API、结果展示地址必填；查询地址和 Token 可选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diff-review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单次提交变更审查与提交意图判定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模型必选；提示词可选；方法体窗口默认 60 行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“结构视图”选择非 diff 策略，“提交视图”选择 diff-review 策略。系统能够列出其他语言文本，不表示 Java 结构分析对所有语言具有同样支持能力；coupling 和 design-pattern 主要使用 JavaParser 提取的 Java 材料。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非 API 策略保存时会检查所选模型存在，但不会强制要求其状态为“验证成功”。使用人员应先完成模型验证，再将其绑定到正式策略。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7.3 耦合度阈值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coupling 字段为“高耦合阈值（扇出超过即标记）”，默认 10。它控制类的高扇出标记：类依赖数量严格超过阈值才标记。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模块指标采用独立规则，不使用此字段。模块高耦合条件为 Ce &gt; 3 且 I ≥ 0.8。审阅结果时，应区分类级阈值与模块指标，避免把两个层级当成同一种告警。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7.4 方法体窗口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diff-review 字段为“方法体窗口（变更行 ± N 行，超长方法体按此截断）”，默认 60，必须填写正整数。它用于变更方法体过长时保留变更附近上下文。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后端实际窗口最小为 10 行；输入 1 至 9 时内部按 10 行处理。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窗口更大意味着送入更多上下文，但仍应遵守网关实际能力。结果出现“方法体已截断”时，应结合完整方法源码复核，不能把局部窗口作为全方法不存在问题的依据。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7.5 外部 API 策略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api-review 的字段如下：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字段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含义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调用 API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触发外部流水线的接口，必填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结果展示地址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供用户打开的结果页面，必填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查询具体结果地址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可选 GET 结果接口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Token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可选认证值；本版本发送 Bearer 认证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调用 API 收到 POST 空 JSON {}，不会自动携带当前项目、分支或其他动态流水线参数。配置查询地址后，系统随后执行一次 GET，并读取返回 JSON 的 issues 数组；当前没有等待外部流水线完成的轮询。因此现场接口需按该约定适配，不能只填写任意流水线接口就假定可用。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触发失败记为失败；触发成功而结果查询失败记为部分成功。不配置查询地址时，系统可以显示“已触发”和“查看 SonarQube 结果”链接，但没有本地查询的问题清单。是否完成外部分析，仍应在外部结果页面确认。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API Token 同样采用留空不修改、重填覆盖、“清除 token”清除的编辑方式。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采集真实策略表单，显示分析器、模型、关注点提示词及diff方法体窗口或coupling阈值；如展示API策略，保留真实字段标签并隐藏Token，外部地址按要求脱敏。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05 审查策略与类型参数  现场截图预留</w:t>
      </w:r>
    </w:p>
    <w:p w14:paraId="0000001B">
      <w:pPr>
        <w:pStyle w:val="Heading1"/>
        <w:rPr/>
      </w:pPr>
      <w:bookmarkStart w:id="1008" w:name="chapter_8"/>
      <w:r>
        <w:rPr>
          <w:rFonts w:eastAsia="宋体"/>
        </w:rPr>
        <w:t xml:space="preserve">8 项目接入和范围准备</w:t>
      </w:r>
      <w:bookmarkEnd w:id="1008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8.1 新建项目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点击“项目”进入“项目管理”，点击“新建项目”。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字段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说明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名称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项目显示名，必填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仓库地址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HTTP(S) 仓库地址，必填；填写仓库地址，不填 API 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访问令牌（可选）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用于访问仓库；私有仓库通常需要，公共仓库填写可减少限流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保存时系统先读取远端分支进行连通验证，成功后创建项目。同一个仓库地址不能重复创建未删除项目。若出现“仓库连通验证失败”，检查 URL、网络、令牌权限和 Gitea 宿主配置。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项目级访问令牌优先于部署配置的 GITEA_TOKEN 或 GITHUB_TOKEN 兜底令牌。本页面没有项目编辑入口，应在创建前核对地址和凭据。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8.2 选择项目和分支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点击列表项目名称进入详情，可通过“返回项目列表”返回。每次审查首先核对“分支”下拉框。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项目列表“当前分支”初始值为 main；详情页初次选择远端返回的第一个分支。不要仅凭列表值推定本次审查分支。切换详情分支会清空结构选择、提交选择及变更文件选择并重新加载。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8.3 文件范围与查看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可审查文件由后台扩展名白名单统一判断。常见源码、配置和文档文本包括 Java、JS、TS、Vue、Python、SQL、XML、YAML、JSON、Markdown 等。二进制文件和无扩展名文件不在名单内，例如 Dockerfile、Makefile；勾选后会提示跳过。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文件树支持目录批量勾选。搜索只改变显示与当前全选范围，已经勾选而暂时隐藏的文件仍会保留。发起审查前应核对已选总数；需要重新选范围时先点击“清空”。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结构视图点击可查看文件名可打开文本；提交视图点击可查看文件名可打开该提交差异。查看文件与勾选审查范围是两个操作。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8.4 删除项目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点击“删除”前，系统会取得影响范围，提示该项目下将删除的审查记录数和报告数。有创建时间距当前不足默认 60 分钟的排队或执行中记录时，系统阻止删除。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删除后界面不能恢复相关记录和报告。需要留存的报告应先下载，并按项目档案要求保存。不要用删除项目处理模型连接或暂时加载失败问题。</w:t>
      </w:r>
    </w:p>
    <w:p w14:paraId="0000001B">
      <w:pPr>
        <w:pStyle w:val="Heading1"/>
        <w:rPr/>
      </w:pPr>
      <w:bookmarkStart w:id="1009" w:name="chapter_9"/>
      <w:r>
        <w:rPr>
          <w:rFonts w:eastAsia="宋体"/>
        </w:rPr>
        <w:t xml:space="preserve">9 结构视图审查</w:t>
      </w:r>
      <w:bookmarkEnd w:id="1009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9.1 操作步骤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1. 进入项目详情“代码审查”，核对“分支”。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2. 选择“结构视图”，从“策略”选择非 diff 策略。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3. 用“展开全部”“收起全部”浏览目录，或在“按路径搜索”中查找文件。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4. 勾选文件或目录；需要只全选当前显示结果时使用“全选筛选结果”。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5. llm-review 如需跨文件整体上下文，可勾选“多文件合并审查”。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6. 点击“开始审查”，核对“确认触发审查”中的分支、审查范围、策略、预估单元数和跳过提示，再确认。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7. 在右侧“审查结果”观察状态、进度、耗时、单元结果和失败原因。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若没有可审查文件，页面提示“所选文件中没有可审查的文件，请改选后再试”，不会发起任务。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9.2 分块和合并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默认按单文件审查；过长内容可能按 Java 方法边界或行边界切分。“多文件合并审查”仅出现在 llm-review，选中多文件时将材料组合到一次模型调用，应控制范围以适应网关上下文能力。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确认框“预估单元数”实际按可审查文件计数，不能作为最终调用次数证明。一个长文件可能切成多个单元，多文件合并也可能形成一个单元。最终应以实际结果单元及执行日志核对工作量。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确认框会显示超过 50 的提示，但后端明确的 50 单元硬上限位于 diff-review。不要将此提示当成所有分析器统一的文件数上限；结构审查仍建议按明确范围分批进行。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9.3 范围完整性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llm-review、coupling 和 design-pattern 触发时尝试解析当前分支 HEAD 为提交 SHA，以稳定所读取的材料。HEAD 解析失败时可能按分支读取；api-review 不绑定提交 SHA。正式记录应核对实际 SHA 和范围，防止活动分支移动影响结论。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Java 结构分析的材料提取会跳过拉取失败或无法解析的文件。结果成功状态不能独立证明勾选范围全被纳入结构分析。正式报告应核对显示的类、模块和范围是否符合预期，必要时先逐个查看相关源码。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采集项目详情结构视图，显示分支、策略、范围勾选与确认触发审查窗口；明确可审查与跳过文件数，使用可公开代码路径，勿将前端估算文件数说明为真实调用单元数。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06 结构审查配置与触发确认  现场截图预留</w:t>
      </w:r>
    </w:p>
    <w:p w14:paraId="0000001B">
      <w:pPr>
        <w:pStyle w:val="Heading1"/>
        <w:rPr/>
      </w:pPr>
      <w:bookmarkStart w:id="1010" w:name="chapter_10"/>
      <w:r>
        <w:rPr>
          <w:rFonts w:eastAsia="宋体"/>
        </w:rPr>
        <w:t xml:space="preserve">10 单次提交与多个提交审查</w:t>
      </w:r>
      <w:bookmarkEnd w:id="1010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10.1 单次提交操作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1. 进入项目详情“代码审查”，选择正确分支后切换“提交视图”。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2. 选择 diff-review 策略。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3. 在提交列表中核对 SHA、提交信息、作者和时间，点击目标提交行。默认选择最新一条。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4. 需要更早记录时滚动到底或点击“加载更多”。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5. 核对提交对应的变更文件。列表默认勾选全部文件，可以用“按路径搜索”及“全部状态”“新增”“修改”“删除”“重命名”筛选，再调整勾选。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6. 点击文件名查看差异，确认范围后点击“开始审查”。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7. 在“确认触发审查”里核对分支、提交短 SHA、提交信息、文件范围和策略，再确认。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8. 查看右侧提交元信息、比较基线、单元状态、意图判断和问题建议。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筛选不会取消已勾选但隐藏的文件。“清空”后可以只选择当前需要的文件；筛选后重新全选不会自动清掉筛选外已有选择，开始前应核对总数。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10.2 比较基线和范围限制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单次提交比较的是第一父提交到当前提交。merge 提交也按第一父提交，并在“比较基线”标注“merge 提交”；根提交没有父 SHA。该入口不提供任意起止 SHA、跨分支或 PR 全量差异选择。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Java 变更尽量补全方法体；其他材料可按变更块审查。方法过长时按配置窗口截断；无可用 diff 时部分情况会回退全文。结果中的“方法体已截断”“文件列表可能不完整”和无可用差异提示都应保留在复核记录中。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宿主只返回部分变更文件时，页面提示“该提交变更文件较多，宿主只返回了第一页，列表可能不完整”。Gitea 差异超过配置字节限制时也可能没有完整 patch。此时不应将当前显示范围描述为整次提交已全面审查。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diff-review 实际构建的单元数超过 50 会失败并提示减少文件或分批。一个文件可能产生多个单元，所以选择不足 50 个文件仍可能达到限制。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10.3 意图判断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diff 结果可显示“符合”“部分符合”“不符”“无法判断”。它表示模型根据提交信息和当前变更材料对目的达成情况的判断。审查人员应检查提交说明是否明确、相关调用方是否在材料范围内，以及模型是否具有足够证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提交信息空泛或相关代码未进入范围时，应保留“无法判断”事项，补充材料后再形成项目结论。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10.4 多个提交的处理方式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当前提交视图一次只能选择一个提交，没有多提交勾选、起止提交范围或批量自动触发入口。审查多个提交时，应按单次提交步骤逐次执行，每次保留实际 SHA、策略、范围和结果。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完成后可在“报告生成”勾选这些记录汇总。该操作汇总已有审查结论，不会计算多个提交的净差异，也不会重新执行多提交审查。报告中应说明各记录之间的版本关系，防止将已经后续修复的问题当作当前仍存在的问题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采集真实提交列表选中行、SHA与提交信息、变更文件状态和勾选范围；必要时附确认窗口，保留基线与不完整列表提示，采用可公开验收提交并遮蔽作者个人信息。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07 单次提交选择与变更范围  现场截图预留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p w14:paraId="0000001B">
      <w:pPr>
        <w:pStyle w:val="Heading1"/>
        <w:rPr/>
      </w:pPr>
      <w:bookmarkStart w:id="1011" w:name="chapter_11"/>
      <w:r>
        <w:rPr>
          <w:rFonts w:eastAsia="宋体"/>
        </w:rPr>
        <w:t xml:space="preserve">11 审查结果、人工复核与准确率</w:t>
      </w:r>
      <w:bookmarkEnd w:id="1011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11.1 状态与失败处理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状态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含义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使用人员处理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排队 / 排队中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记录已提交，等待执行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继续等待，不重复触发同一范围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执行中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正在审查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观察进度和已耗时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成功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分析任务完成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检查结果、范围及意见正确性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失败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本次任务失败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查看“失败原因”，处理连接、配置或材料问题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部分成功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部分调用或结果未完成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确认失败范围，必要时重审或分批重新审查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审查进度约每 2 秒更新。连续三次获取失败后，页面显示“进度获取失败”及“继续等待”；检查后端恢复后点击该按钮以恢复状态轮询。它不会重新提交审查任务。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耗时从任务实际开始到结束计算，不包含排队。评估总体交付时间时还应计入排队、复核、失败处理、报告生成等步骤。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11.2 各类结果阅读方法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结果类型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重点阅读内容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复核要点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LLM 审查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单元、级别、行、文件、问题、建议，或自定义正文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对照实际代码和触发条件；原文不等于结构化问题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diff 变更审查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提交、比较基线、意图判断、问题行和建议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检查当前改动是否引入问题，保留截断和范围限制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耦合度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模块表、类依赖图、高耦合类、循环依赖、建议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确定性指标与模型解读分开判断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设计模式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模式名、置信度、参与类、依据、疑似误用、建议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结合结构和实现复核；未识别不等于代码不存在任何模式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API 审查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已触发状态、SonarQube链接、可选问题列表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在外部页面确认流水线完成和结果时效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问题级别保留英文。悬停可查看中文解释：BLOCKER 为阻断（必须改），CRITICAL 为严重，MAJOR 为重要，MINOR 为次要，INFO 为提示。具体修复优先级仍由项目结合影响和业务安排确定。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coupling 中模块按 Java 包聚合：Ca 表示被其他模块依赖数量，Ce 表示对其他模块的依赖数量，I 为 Ce/(Ca+Ce)。依赖按 import 统计，不包含继承、反射和同包引用。图展示类级依赖，表展示模块级指标。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coupling 的模型解读失败时可以保留确定性结果，摘要会说明“LLM 解读失败，仅确定性结论”；不能据成功状态宣称模型建议已生成。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11.3 人工标记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在“代码审查”当前 diff 结果中，对能够定位到新文件行的行内问题可以点击：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“误报”：经复核认为问题不成立。</w:t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“已采纳”：经复核接受该问题或建议。</w:t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“撤销”：清除当前标记。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标记后准确率汇总会刷新。“已采纳”表示人工接受判断，不表示代码已经修改或修复已验证；修复情况应通过后续提交和复验记录说明。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历史记录查看窗口是只读，标记按钮置灰。当前普通 LLM 问题表、耦合度、设计模式和 API 表没有通用的同类标记按钮；diff 中无法定位新文件行的问题也可能退化为普通表。需要补充复核时，应在项目评审记录中保存结论，不要假定所有分析器都能在页面逐条打标。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11.4 准确率的实际含义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“审查记录”顶部按分析器展示“整体准确率”“已复核准确率”“复核覆盖率”，并显示问题总数、已标记数、误报数和已采纳数。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指标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当前公式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解释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整体准确率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(问题总数 − 误报数) / 问题总数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未标记问题暂按非误报计入，覆盖率低时可能偏高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已复核准确率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已采纳数 / 已标记数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仅反映已标记问题的接受比例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复核覆盖率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已标记数 / 问题总数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说明人工复核覆盖程度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分母为零时显示“—”，不能据此认定为 100% 正确。页面的 70% 配色门槛是显示规则，不是项目已经完成验收的证据。正式评价应同时提供问题总数、样本范围、复核覆盖率和人工判定依据。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当前后台问题计数读取结构化 units[].issues。耦合度建议、设计模式 patterns、API 根级 issues 和普通 Markdown 不一定进入同一计数口径。分类中 api-review 标为基础静态规则，其余分析器标为 AI 规则，但不能仅凭分类标签证明两类规则均已获得完整人工复核统计。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采集真实diff行内问题、意图标签、误报或已采纳操作，以及审查记录准确率卡片；保留问题分母、标记数和覆盖率，必要时加子图显示耦合指标或模式依据；不伪造问题、状态、百分比或完整范围。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08 结果复核与统计口径  现场截图预留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11.5 重审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结果区提供“重审失败单元”，记录列表提供“重审”。仅失败或部分成功记录可操作；成功和执行中记录不能重审。确认窗口说明重审会再次调用模型、消耗调用额度并覆盖结果，核对目标记录后点击“确认重审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LLM 重审按失败文件路径重新处理，diff 重审按失败单元处理；其他分析器可能整体重新执行。已执行过的范围和原有标记需要重新核对，不应承诺重审对所有类型都仅重跑一个问题。</w:t>
      </w:r>
    </w:p>
    <w:p w14:paraId="0000001B">
      <w:pPr>
        <w:pStyle w:val="Heading1"/>
        <w:rPr/>
      </w:pPr>
      <w:bookmarkStart w:id="1012" w:name="chapter_12"/>
      <w:r>
        <w:rPr>
          <w:rFonts w:eastAsia="宋体"/>
        </w:rPr>
        <w:t xml:space="preserve">12 历史记录查看与报告生成</w:t>
      </w:r>
      <w:bookmarkEnd w:id="1012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12.1 查看历史审查记录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进入项目详情“审查记录”，列表包含时间、耗时、分支、提交、策略、状态和进度。点击“查看”打开全屏历史快照，可以展开范围树并阅读结果。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快照的分支、策略、审查配置和触发按钮为禁用状态。它用于回看已有结果，不用于调整范围并启动新审查。需要新的范围或策略时回到“代码审查”操作；需要失败记录重审时使用记录列表的“重审”。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12.2 选择报告材料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进入“报告生成”，左侧为“选择审查记录（已完成）”，右侧为“生成报告”。按目标范围勾选左侧记录，可跨页保留选择；“清空”取消全部选择。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“已完成”包括成功、失败和部分成功，不表示全部记录都拥有完整结果。正式报告优先选择范围完整、已经复核的成功记录；采用部分成功记录时应说明缺失范围。对不同提交记录，应确认问题是否已在后续版本修复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建议将同一代码范围的业务规则审查、耦合度和设计模式结果作为一组材料。缺少相关分析结果时，报告中的对应章节没有充分数据支撑，应要求模型明确写“材料不足”，并由人员审阅。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12.3 生成与查看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1. 在左侧勾选本次需要的审查记录。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2. 填写“报告名称”，留空时默认“综合报告”。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3. 选择“模型”，按需选择“报告提示词（可选）”。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4. 点击“生成报告”。未选模型或未选记录时按钮会提示原因。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5. 阅读“生成报告前，请确认勾选的审查记录”，核对代码一致性和材料类型，点击“确认生成”。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6. 在“报告列表”等待排队、生成中转为成功或失败；列表约每 5 秒刷新待完成报告。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7. 成功后点击“查看”，审阅正文，再点击“下载 Markdown”。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生成前提醒不强制校验代码一致性，也不强制检查每种材料齐全。“不再提示”只保存浏览器偏好，后续可通过“重新开启生成前提示”恢复。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报告默认要求“概述”“问题列表”“修复方案”“设计模式”“模块耦合度”章节。结果为模型综合生成内容，发布前应核对引用材料、结论与修复建议。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12.4 输入预算、失败与输出格式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运行配置中的默认报告预算为：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report: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prompt-max-chars: 140000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record-max-chars: 20000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单位为字符，不是 token。记录聚合超过预算时会裁剪；正式报告应检查材料是否被截断，必要时减少记录、分批生成。无法验证的结论不得因报告格式完整就直接作为最终结果。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失败报告详情会提示“该报告生成失败”，可返回选择器重新勾选并再次生成。详细原因由运维检查应用日志。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当前系统提供“下载 Markdown”，没有内建 Word 导出按钮。报告可保存为 .md 再按交付流程转换和编辑。本次交付的 Word 技术报告和用户手册为配套文档，不是应用页面的新增导出功能。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采集已完成记录选择、模型与报告提示词字段，以及生成前提醒；使用同项目相关记录，保留真实状态与提交信息，标注材料范围，遮蔽生产敏感内容。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09 报告材料选择与生成确认  现场截图预留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采集真实生成报告的正文、状态、耗时及下载Markdown按钮；保留章节和必要范围说明，遮蔽敏感代码，完整Markdown另行保存，截图不能代替完整结果。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图U 10 报告查看与Markdown下载  现场截图预留</w:t>
      </w:r>
    </w:p>
    <w:p w14:paraId="0000001B">
      <w:pPr>
        <w:pStyle w:val="Heading1"/>
        <w:rPr/>
      </w:pPr>
      <w:bookmarkStart w:id="1013" w:name="chapter_13"/>
      <w:r>
        <w:rPr>
          <w:rFonts w:eastAsia="宋体"/>
        </w:rPr>
        <w:t xml:space="preserve">13 常见故障与交付留存</w:t>
      </w:r>
      <w:bookmarkEnd w:id="1013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13.1 故障处理表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现象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检查与处理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页面无法访问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核对实际 IP/APP_PORT、Compose 状态和网络访问范围；检查 app 日志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体检空间或内存不足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按实际分区和可用内存补足资源；避免清理其他业务数据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端口被占用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在 .env 修改 APP_PORT，核对现场开放范围后重新部署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MySQL 初始化失败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检查 Linux 原生文件系统、数据目录权限、密码和 mysql 日志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模型验证失败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检查接口根拼接、Token、模型名和网关网络；根据401/403/404或超时原因处理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ping 成功但真实审查失败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检查 JSON 模式、长输入能力、HTTP超时和当前失败记录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仓库接入失败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检查 URL、令牌读取权限、宿主白名单、站点前缀及网络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分支或文件树显示加载失败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点击相应重试；核对后端和仓库状态，不能直接视为仓库为空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所选文件全部不可审查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改选白名单中的文本源码；无扩展名和二进制会被跳过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diff 单元数超过50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缩小文件范围、分批审查；单文件可能产生多个单元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变更文件列表不完整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保留提示，缩小范围或分批，避免将第一页视为全量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审查部分成功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展开失败原因，修复依赖后重审，并在报告说明范围缺口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进度获取失败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恢复后端可达后点击继续等待，恢复轮询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报告生成失败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重选相关且已完成记录，检查模型与输入预算，查询 app 日志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回退后仍不健康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保留状态与日志，由运维核对镜像版本、运行配置和数据库兼容性</w:t>
            </w:r>
          </w:p>
        </w:tc>
      </w:tr>
    </w:tbl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13.2 排障材料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向部署或维护负责人提供问题时，应保存：实际包版本、发生时间、对应项目及记录 ID、分支与 SHA、界面错误提示、Compose 状态、app/mysql 日志和环境报告。提供前遮蔽凭据及不需公开的内部信息。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不要用重复触发审查替代问题定位。模型或仓库不可达时先处理连接；范围错误时重新选范围；部分成功时明确失败单元；回退时分清应用镜像和数据库恢复。</w:t>
      </w:r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13.3 交付资料留存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资料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用途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离线包版本及对应源码 SHA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确认部署对象和后续回溯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环境报告与部署检查记录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确认资源、运行环境和部署结果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模型名称和脱敏接口根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说明实际采用的模型，不留明文Token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策略名称、分析器与提示词版本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明确审查方法和规则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审查记录 ID、分支、SHA、范围和状态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确认实际审查对象及完整性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人工复核结论与覆盖率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支持准确率和问题处置判断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完整报告 Markdown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留存最终内容，不仅保存截图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备份及恢复验证记录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支持后续运维与数据恢复</w:t>
            </w:r>
          </w:p>
        </w:tc>
      </w:tr>
    </w:tbl>
    <w:p w14:paraId="0000001B">
      <w:pPr>
        <w:pStyle w:val="Heading1"/>
        <w:rPr/>
      </w:pPr>
      <w:bookmarkStart w:id="1014" w:name="chapter_14"/>
      <w:r>
        <w:rPr>
          <w:rFonts w:eastAsia="宋体"/>
        </w:rPr>
        <w:t xml:space="preserve">14 图件清单与源码参考</w:t>
      </w:r>
      <w:bookmarkEnd w:id="1014"/>
    </w:p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14.1 图件清单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架构图为文档绘制图；U01—U10 为现场截图留白，由使用人员按章节采集说明补入。补图后应填写实际版本与采集日期，统一分辨率和字号，保证界面文字、范围和状态清晰。任何脱敏处理不得改变功能文案、执行结果或指标。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编号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名称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类型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00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内网离线部署拓扑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架构图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01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系统导航与项目入口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02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部署检查与服务状态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03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模型接入与连通验证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04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提示词正文与版本对比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05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审查策略与类型参数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06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结构审查配置与触发确认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07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单次提交选择与变更范围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08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结果复核与统计口径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09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报告材料选择与生成确认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图U 10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报告查看与Markdown下载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现场截图</w:t>
            </w:r>
          </w:p>
        </w:tc>
      </w:tr>
    </w:tbl>
    <w:p w14:paraId="00000001">
      <w:pPr>
        <w:pStyle w:val="Heading2"/>
        <w:rPr>
          <w:color w:val="1a703a"/>
        </w:rPr>
      </w:pPr>
      <w:r>
        <w:rPr>
          <w:color w:val="1a703a"/>
          <w:rFonts w:eastAsia="宋体"/>
        </w:rPr>
        <w:t xml:space="preserve">14.2 源码参考索引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本手册对应完整源码提交为 d114f622674c5de97196f8eab37c6933ee4da1cb，分支 dev。以下索引中，J/ 表示 backend/src/main/java/com/codereview/，F/ 表示 frontend/src/；其余路径相对仓库根。同行省略目录的文件沿用前一个文件所在目录。索引用于部署或维护人员查阅实际实现。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内容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源码位置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离线包构建与发布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.github/workflows/release.yml；Dockerfile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容器、端口和持久化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deploy/docker-compose.yml；deploy/.env.example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运行配置模板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deploy/config/application.yml.example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环境采集与前置体检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deploy/scripts/env-check.sh；deploy/scripts/preflight.sh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部署、备份、回退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deploy/scripts/deploy.sh；backup.sh；rollback.sh；common.sh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页面导航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F/router/index.ts；F/layouts/BasicLayout.vue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项目接入与详情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F/views/ProjectList.vue；ProjectDetail.vue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模型设置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F/views/ModelConfigList.vue；J/service/ModelConfigService.java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模型调用与初始化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J/llm/LlmClient.java；LlmProperties.java；J/config/DataInitializer.java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提示词及策略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F/views/PromptList.vue；StrategyList.vue；J/service/PromptService.java；ReviewStrategyService.java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Git 宿主与地址解析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J/git/GitHostClientRegistry.java；GitRepoRef.java；GiteaProperties.java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可审查文件与审查编排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J/common/ReviewableFiles.java；J/service/ReviewService.java；ReviewExecutor.java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五种分析器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J/analyzer/LlmReviewAnalyzer.java；CouplingAnalyzer.java；DesignPatternAnalyzer.java；ApiReviewAnalyzer.java；DiffReviewAnalyzer.java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结果与复核界面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F/components/ReviewResult.vue；DiffReviewResult.vue；ReviewConfigSnapshot.vue；AccuracyBar.vue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准确率计算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J/service/IssueMarkService.java；J/dto/AccuracyStat.java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报告生成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F/components/ReportPanel.vue；J/service/ReportService.java；ReportExecutor.java；ReportAggregationBuilder.java</w:t>
            </w:r>
          </w:p>
        </w:tc>
      </w:tr>
    </w:tbl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aiCodeReview 用户手册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01" Type="http://schemas.openxmlformats.org/officeDocument/2006/relationships/image" Target="media/delivery-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