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3"/>
        <w:rPr>
          <w:rFonts w:hint="eastAsia" w:ascii="宋体" w:hAnsi="宋体" w:eastAsia="宋体" w:cs="宋体"/>
          <w:color w:val="1A703A"/>
        </w:rPr>
      </w:pPr>
      <w:bookmarkStart w:id="0" w:name="_heading=h.fuuxw87etzty" w:colFirst="0" w:colLast="0"/>
      <w:bookmarkEnd w:id="0"/>
      <w:r>
        <w:rPr>
          <w:rFonts w:hint="eastAsia" w:ascii="宋体" w:hAnsi="宋体" w:eastAsia="宋体" w:cs="宋体"/>
          <w:color w:val="1A703A"/>
          <w:rtl w:val="0"/>
        </w:rPr>
        <w:t>技术交付报告</w:t>
      </w:r>
    </w:p>
    <w:p w14:paraId="00000002">
      <w:pPr>
        <w:rPr>
          <w:rFonts w:hint="eastAsia" w:ascii="宋体" w:hAnsi="宋体" w:eastAsia="宋体" w:cs="宋体"/>
          <w:color w:val="002715"/>
        </w:rPr>
      </w:pPr>
    </w:p>
    <w:p w14:paraId="00000003">
      <w:pPr>
        <w:rPr>
          <w:rFonts w:hint="eastAsia" w:ascii="宋体" w:hAnsi="宋体" w:eastAsia="宋体" w:cs="宋体"/>
          <w:color w:val="002715"/>
        </w:rPr>
      </w:pPr>
    </w:p>
    <w:p w14:paraId="00000004">
      <w:pPr>
        <w:rPr>
          <w:rFonts w:hint="eastAsia" w:ascii="宋体" w:hAnsi="宋体" w:eastAsia="宋体" w:cs="宋体"/>
          <w:color w:val="002715"/>
        </w:rPr>
      </w:pPr>
      <w:r>
        <w:rPr>
          <w:rFonts w:hint="eastAsia" w:ascii="宋体" w:hAnsi="宋体" w:eastAsia="宋体" w:cs="宋体"/>
        </w:rPr>
        <mc:AlternateContent>
          <mc:Choice Requires="wps">
            <w:drawing>
              <wp:anchor distT="228600" distB="228600" distL="228600" distR="228600" simplePos="0" relativeHeight="251659264" behindDoc="0" locked="0" layoutInCell="1" allowOverlap="1">
                <wp:simplePos x="0" y="0"/>
                <wp:positionH relativeFrom="column">
                  <wp:posOffset>2600325</wp:posOffset>
                </wp:positionH>
                <wp:positionV relativeFrom="paragraph">
                  <wp:posOffset>352425</wp:posOffset>
                </wp:positionV>
                <wp:extent cx="742950" cy="16510"/>
                <wp:effectExtent l="0" t="0" r="0" b="0"/>
                <wp:wrapTopAndBottom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0250" y="3527350"/>
                          <a:ext cx="2563200" cy="33900"/>
                        </a:xfrm>
                        <a:prstGeom prst="rect">
                          <a:avLst/>
                        </a:prstGeom>
                        <a:solidFill>
                          <a:srgbClr val="1A703A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633092">
                            <w:pPr>
                              <w:spacing w:before="0" w:after="0" w:line="240" w:lineRule="auto"/>
                              <w:ind w:left="0" w:right="0" w:firstLine="0"/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04.75pt;margin-top:27.75pt;height:1.3pt;width:58.5pt;mso-wrap-distance-bottom:18pt;mso-wrap-distance-top:18pt;z-index:251659264;v-text-anchor:middle;mso-width-relative:page;mso-height-relative:page;" fillcolor="#1A703A" filled="t" stroked="f" coordsize="21600,21600" o:gfxdata="UEsDBAoAAAAAAIdO4kAAAAAAAAAAAAAAAAAEAAAAZHJzL1BLAwQUAAAACACHTuJAoHXTtNYAAAAJ&#10;AQAADwAAAGRycy9kb3ducmV2LnhtbE2PzU7DQAyE70i8w8pIXBDdTUWqNmRTCSQeoCni7GZNEmV/&#10;QnbbpDw95gQnj+XR+JtyvzgrLjTFPngN2UqBIN8E0/tWw/vx7XELIib0Bm3wpOFKEfbV7U2JhQmz&#10;P9ClTq3gEB8L1NClNBZSxqYjh3EVRvJ8+wyTw8Tr1Eoz4czhzsq1UhvpsPf8ocORXjtqhvrsNPQz&#10;HYePh+Vqh7Y+4LfbqZcvo/X9XaaeQSRa0p8ZfvEZHSpmOoWzN1FYDU9ql7NVQ57zZEO+3rA4sdhm&#10;IKtS/m9Q/QBQSwMEFAAAAAgAh07iQCRwcYj/AQAA9QMAAA4AAABkcnMvZTJvRG9jLnhtbK1TS27b&#10;MBDdF+gdCO5ryXLsNIblwIjhokDQGkh7AJqiLAL8dUhb8mkKdNdD9DhFr9EhpcZOssmiG2pGM3qc&#10;9+ZpcdtpRY4CvLSmpONRTokw3FbS7Ev69cvm3XtKfGCmYsoaUdKT8PR2+fbNonVzUdjGqkoAQRDj&#10;560raROCm2eZ543QzI+sEwaLtQXNAqawzypgLaJrlRV5PstaC5UDy4X3+HbdF+mACK8BtHUtuVhb&#10;ftDChB4VhGIBKflGOk+Xadq6Fjx8rmsvAlElRaYhnXgJxrt4ZssFm++BuUbyYQT2mhGecdJMGrz0&#10;EWrNAiMHkC+gtORgva3DiFud9USSIshinD/T5qFhTiQuKLV3j6L7/wfLPx23QGSFTqDEMI0L//P9&#10;5+9fP8g4atM6P8eWB7eFIfMYRqJdDTo+kQLpSnqVz/JiiqqeSjqZFtcTjJO2oguEY0MxnU1w/ZTw&#10;2DG5wRDr2RnIgQ8fhNUkBiUFXF1SlB3vfehb/7XEe71VstpIpVIC+92dAnJkuObx6jqfrAb0J23K&#10;xGZj42c9YnyTRZI9rRiFbtdhMYY7W51QHe/4RuJQ98yHLQP0B2rVomdK6r8dGAhK1EeDS7kZXxVT&#10;NNllApfJ7jJhhjcWrcgDUNIndyFZs59ydQi2lon6eZhhXHRDEm9wbrTbZZ66zn/r8i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BuBAAAW0NvbnRl&#10;bnRfVHlwZXNdLnhtbFBLAQIUAAoAAAAAAIdO4kAAAAAAAAAAAAAAAAAGAAAAAAAAAAAAEAAAAFAD&#10;AABfcmVscy9QSwECFAAUAAAACACHTuJAihRmPNEAAACUAQAACwAAAAAAAAABACAAAAB0AwAAX3Jl&#10;bHMvLnJlbHNQSwECFAAKAAAAAACHTuJAAAAAAAAAAAAAAAAABAAAAAAAAAAAABAAAAAAAAAAZHJz&#10;L1BLAQIUABQAAAAIAIdO4kCgddO01gAAAAkBAAAPAAAAAAAAAAEAIAAAACIAAABkcnMvZG93bnJl&#10;di54bWxQSwECFAAUAAAACACHTuJAJHBxiP8BAAD1AwAADgAAAAAAAAABACAAAAAlAQAAZHJzL2Uy&#10;b0RvYy54bWxQSwUGAAAAAAYABgBZAQAAlgUAAAAA&#10;">
                <v:fill on="t" focussize="0,0"/>
                <v:stroke on="f"/>
                <v:imagedata o:title=""/>
                <o:lock v:ext="edit" aspectratio="f"/>
                <v:textbox inset="7.1988188976378pt,7.1988188976378pt,7.1988188976378pt,7.1988188976378pt">
                  <w:txbxContent>
                    <w:p w14:paraId="5F633092">
                      <w:pPr>
                        <w:spacing w:before="0" w:after="0" w:line="240" w:lineRule="auto"/>
                        <w:ind w:left="0" w:right="0" w:firstLine="0"/>
                        <w:jc w:val="center"/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00000005">
      <w:pPr>
        <w:rPr>
          <w:rFonts w:hint="eastAsia" w:ascii="宋体" w:hAnsi="宋体" w:eastAsia="宋体" w:cs="宋体"/>
          <w:color w:val="002715"/>
        </w:rPr>
      </w:pPr>
    </w:p>
    <w:p w14:paraId="00000006">
      <w:pPr>
        <w:rPr>
          <w:rFonts w:hint="eastAsia" w:ascii="宋体" w:hAnsi="宋体" w:eastAsia="宋体" w:cs="宋体"/>
          <w:color w:val="002715"/>
        </w:rPr>
      </w:pPr>
    </w:p>
    <w:p w14:paraId="00000007">
      <w:pPr>
        <w:pStyle w:val="10"/>
        <w:rPr>
          <w:rFonts w:hint="eastAsia" w:ascii="宋体" w:hAnsi="宋体" w:eastAsia="宋体" w:cs="宋体"/>
          <w:color w:val="1A703A"/>
        </w:rPr>
      </w:pPr>
      <w:r>
        <w:rPr>
          <w:rFonts w:hint="eastAsia" w:ascii="宋体" w:hAnsi="宋体" w:eastAsia="宋体" w:cs="宋体"/>
          <w:color w:val="1A703A"/>
          <w:sz w:val="52"/>
          <w:szCs w:val="52"/>
          <w:rtl w:val="0"/>
        </w:rPr>
        <w:t>基于AI的智能代码分析工具</w:t>
      </w:r>
    </w:p>
    <w:p w14:paraId="00000008">
      <w:pPr>
        <w:pStyle w:val="10"/>
        <w:rPr>
          <w:rFonts w:hint="eastAsia" w:ascii="宋体" w:hAnsi="宋体" w:eastAsia="宋体" w:cs="宋体"/>
          <w:color w:val="1A703A"/>
        </w:rPr>
      </w:pPr>
      <w:r>
        <w:rPr>
          <w:rFonts w:hint="eastAsia" w:ascii="宋体" w:hAnsi="宋体" w:eastAsia="宋体" w:cs="宋体"/>
          <w:color w:val="1A703A"/>
          <w:rtl w:val="0"/>
        </w:rPr>
        <w:t>技术报告</w:t>
      </w:r>
    </w:p>
    <w:p w14:paraId="00000009">
      <w:pPr>
        <w:pStyle w:val="4"/>
        <w:rPr>
          <w:rFonts w:hint="eastAsia" w:ascii="宋体" w:hAnsi="宋体" w:eastAsia="宋体" w:cs="宋体"/>
          <w:color w:val="105128"/>
        </w:rPr>
      </w:pPr>
      <w:bookmarkStart w:id="1" w:name="_heading=h.vj0y3v9ru4fn" w:colFirst="0" w:colLast="0"/>
      <w:bookmarkEnd w:id="1"/>
    </w:p>
    <w:p w14:paraId="0000000A">
      <w:pPr>
        <w:pStyle w:val="4"/>
        <w:rPr>
          <w:rFonts w:hint="eastAsia" w:ascii="宋体" w:hAnsi="宋体" w:eastAsia="宋体" w:cs="宋体"/>
          <w:color w:val="105128"/>
        </w:rPr>
      </w:pPr>
      <w:bookmarkStart w:id="2" w:name="_heading=h.r64a6lc0ytip" w:colFirst="0" w:colLast="0"/>
      <w:bookmarkEnd w:id="2"/>
    </w:p>
    <w:p w14:paraId="0000000B">
      <w:pPr>
        <w:pStyle w:val="4"/>
        <w:rPr>
          <w:rFonts w:hint="eastAsia" w:ascii="宋体" w:hAnsi="宋体" w:eastAsia="宋体" w:cs="宋体"/>
          <w:color w:val="105128"/>
        </w:rPr>
      </w:pPr>
      <w:bookmarkStart w:id="3" w:name="_heading=h.8n89tlutz5i6" w:colFirst="0" w:colLast="0"/>
      <w:bookmarkEnd w:id="3"/>
    </w:p>
    <w:p w14:paraId="0000000C">
      <w:pPr>
        <w:pStyle w:val="4"/>
        <w:rPr>
          <w:rFonts w:hint="eastAsia" w:ascii="宋体" w:hAnsi="宋体" w:eastAsia="宋体" w:cs="宋体"/>
          <w:color w:val="053B22"/>
        </w:rPr>
      </w:pPr>
      <w:bookmarkStart w:id="4" w:name="_heading=h.rnjlnh61vquq" w:colFirst="0" w:colLast="0"/>
      <w:bookmarkEnd w:id="4"/>
    </w:p>
    <w:p w14:paraId="0000000D">
      <w:pPr>
        <w:rPr>
          <w:rFonts w:hint="eastAsia" w:ascii="宋体" w:hAnsi="宋体" w:eastAsia="宋体" w:cs="宋体"/>
          <w:color w:val="002715"/>
        </w:rPr>
      </w:pPr>
    </w:p>
    <w:p w14:paraId="0000000E">
      <w:pPr>
        <w:rPr>
          <w:rFonts w:hint="eastAsia" w:ascii="宋体" w:hAnsi="宋体" w:eastAsia="宋体" w:cs="宋体"/>
          <w:color w:val="002715"/>
        </w:rPr>
      </w:pPr>
    </w:p>
    <w:p w14:paraId="0000000F">
      <w:pPr>
        <w:rPr>
          <w:rFonts w:hint="eastAsia" w:ascii="宋体" w:hAnsi="宋体" w:eastAsia="宋体" w:cs="宋体"/>
          <w:color w:val="002715"/>
        </w:rPr>
      </w:pPr>
    </w:p>
    <w:p w14:paraId="00000010">
      <w:pPr>
        <w:rPr>
          <w:rFonts w:hint="eastAsia" w:ascii="宋体" w:hAnsi="宋体" w:eastAsia="宋体" w:cs="宋体"/>
          <w:color w:val="002715"/>
        </w:rPr>
      </w:pPr>
    </w:p>
    <w:p w14:paraId="00000011">
      <w:pPr>
        <w:rPr>
          <w:rFonts w:hint="eastAsia" w:ascii="宋体" w:hAnsi="宋体" w:eastAsia="宋体" w:cs="宋体"/>
          <w:color w:val="002715"/>
        </w:rPr>
      </w:pPr>
    </w:p>
    <w:p w14:paraId="00000012">
      <w:pPr>
        <w:rPr>
          <w:rFonts w:hint="eastAsia" w:ascii="宋体" w:hAnsi="宋体" w:eastAsia="宋体" w:cs="宋体"/>
          <w:color w:val="002715"/>
        </w:rPr>
      </w:pPr>
    </w:p>
    <w:p w14:paraId="00000013">
      <w:pPr>
        <w:rPr>
          <w:rFonts w:hint="eastAsia" w:ascii="宋体" w:hAnsi="宋体" w:eastAsia="宋体" w:cs="宋体"/>
          <w:color w:val="002715"/>
        </w:rPr>
      </w:pPr>
    </w:p>
    <w:p w14:paraId="00000014">
      <w:pPr>
        <w:rPr>
          <w:rFonts w:hint="eastAsia" w:ascii="宋体" w:hAnsi="宋体" w:eastAsia="宋体" w:cs="宋体"/>
          <w:color w:val="002715"/>
        </w:rPr>
      </w:pPr>
    </w:p>
    <w:p w14:paraId="00000015">
      <w:pPr>
        <w:rPr>
          <w:rFonts w:hint="eastAsia" w:ascii="宋体" w:hAnsi="宋体" w:eastAsia="宋体" w:cs="宋体"/>
          <w:color w:val="002715"/>
        </w:rPr>
      </w:pPr>
    </w:p>
    <w:p w14:paraId="00000016">
      <w:pPr>
        <w:rPr>
          <w:rFonts w:hint="eastAsia" w:ascii="宋体" w:hAnsi="宋体" w:eastAsia="宋体" w:cs="宋体"/>
          <w:color w:val="002715"/>
        </w:rPr>
      </w:pPr>
    </w:p>
    <w:p w14:paraId="00000018">
      <w:pPr>
        <w:pStyle w:val="4"/>
        <w:jc w:val="both"/>
        <w:rPr>
          <w:rFonts w:hint="eastAsia" w:ascii="宋体" w:hAnsi="宋体" w:eastAsia="宋体" w:cs="宋体"/>
          <w:color w:val="000000"/>
        </w:rPr>
      </w:pPr>
      <w:bookmarkStart w:id="5" w:name="_heading=h.a28c2t63c20t" w:colFirst="0" w:colLast="0"/>
      <w:bookmarkEnd w:id="5"/>
    </w:p>
    <w:p w14:paraId="00000019">
      <w:pPr>
        <w:pStyle w:val="4"/>
        <w:rPr>
          <w:rFonts w:hint="eastAsia" w:ascii="宋体" w:hAnsi="宋体" w:eastAsia="宋体" w:cs="宋体"/>
          <w:color w:val="000000"/>
        </w:rPr>
      </w:pPr>
      <w:bookmarkStart w:id="6" w:name="_heading=h.io4lnv62zpnv" w:colFirst="0" w:colLast="0"/>
      <w:bookmarkEnd w:id="6"/>
      <w:r>
        <w:rPr>
          <w:rFonts w:hint="eastAsia" w:ascii="宋体" w:hAnsi="宋体" w:eastAsia="宋体" w:cs="宋体"/>
          <w:color w:val="000000"/>
          <w:rtl w:val="0"/>
        </w:rPr>
        <w:t>2026 年 10 月 13 日  文档版本 1.0</w:t>
      </w:r>
    </w:p>
    <w:p w14:paraId="0000001B">
      <w:pPr>
        <w:pStyle w:val="4"/>
        <w:rPr>
          <w:rFonts w:hint="eastAsia" w:ascii="宋体" w:hAnsi="宋体" w:eastAsia="宋体" w:cs="宋体"/>
        </w:rPr>
      </w:pPr>
      <w:bookmarkStart w:id="7" w:name="_heading=h.l0z5dez015hw" w:colFirst="0" w:colLast="0"/>
      <w:bookmarkEnd w:id="7"/>
      <w:r>
        <w:rPr>
          <w:rFonts w:hint="eastAsia" w:ascii="宋体" w:hAnsi="宋体" w:eastAsia="宋体" w:cs="宋体"/>
        </w:rPr>
        <w:br w:type="page"/>
      </w:r>
    </w:p>
    <w:p w14:paraId="33DD60E0">
      <w:pPr>
        <w:spacing w:after="240"/>
        <w:jc w:val="both"/>
        <w:rPr>
          <w:rFonts w:hint="eastAsia" w:ascii="宋体" w:hAnsi="宋体" w:eastAsia="宋体" w:cs="宋体"/>
        </w:rPr>
      </w:pPr>
    </w:p>
    <w:sdt>
      <w:sdtPr>
        <w:docPartObj>
          <w:docPartGallery w:val="Table of Contents"/>
          <w:docPartUnique/>
        </w:docPartObj>
      </w:sdtPr>
      <w:sdtContent>
        <w:p>
          <w:pPr>
            <w:pStyle w:val="DeliveryTocTitle"/>
            <w:spacing w:before="0" w:after="120" w:line="260" w:lineRule="auto"/>
            <w:jc w:val="left"/>
          </w:pPr>
          <w:r>
            <w:rPr>
              <w:rFonts w:ascii="宋体" w:hAnsi="宋体" w:eastAsia="宋体" w:cs="宋体"/>
              <w:sz w:val="36"/>
              <w:szCs w:val="36"/>
              <w:b w:val="1"/>
            </w:rPr>
            <w:t>目录</w:t>
          </w:r>
        </w:p>
        <w:p>
          <w:pPr>
            <w:pStyle w:val="DeliveryToc1"/>
            <w:spacing w:before="0" w:after="120" w:line="260" w:lineRule="auto"/>
            <w:jc w:val="left"/>
          </w:pPr>
          <w:r>
            <w:fldChar w:fldCharType="begin" w:dirty="0"/>
          </w:r>
          <w:r>
            <w:instrText xml:space="preserve"> TOC \o "1-1" \h \u </w:instrText>
          </w:r>
          <w:r>
            <w:fldChar w:fldCharType="separate"/>
          </w:r>
          <w:hyperlink w:anchor="DeliveryGlossary" w:history="1">
            <w:r>
              <w:t>术语表</w:t>
            </w:r>
          </w:hyperlink>
          <w:r>
            <w:tab/>
          </w:r>
          <w:r>
            <w:fldChar w:fldCharType="begin" w:dirty="0"/>
          </w:r>
          <w:r>
            <w:instrText xml:space="preserve"> PAGEREF DeliveryGlossary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1" w:history="1">
            <w:r>
              <w:t>1 交付结论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DeliveryTChapter1 \h </w:instrText>
          </w:r>
          <w:r>
            <w:fldChar w:fldCharType="separate"/>
          </w:r>
          <w:r>
            <w:t>6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2" w:history="1">
            <w:r>
              <w:t>2 技术路线与能力范围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DeliveryTChapter2 \h </w:instrText>
          </w:r>
          <w:r>
            <w:fldChar w:fldCharType="separate"/>
          </w:r>
          <w:r>
            <w:t>6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3" w:history="1">
            <w:r>
              <w:t>3 系统架构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DeliveryTChapter3 \h </w:instrText>
          </w:r>
          <w:r>
            <w:fldChar w:fldCharType="separate"/>
          </w:r>
          <w:r>
            <w:t>8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4" w:history="1">
            <w:r>
              <w:t>4 执行过程与状态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DeliveryTChapter4 \h </w:instrText>
          </w:r>
          <w:r>
            <w:fldChar w:fldCharType="separate"/>
          </w:r>
          <w:r>
            <w:t>10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5" w:history="1">
            <w:r>
              <w:t>5 AI 大模型设置方法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DeliveryTChapter5 \h </w:instrText>
          </w:r>
          <w:r>
            <w:fldChar w:fldCharType="separate"/>
          </w:r>
          <w:r>
            <w:t>11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6" w:history="1">
            <w:r>
              <w:t>6 分析方法与输入边界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DeliveryTChapter6 \h </w:instrText>
          </w:r>
          <w:r>
            <w:fldChar w:fldCharType="separate"/>
          </w:r>
          <w:r>
            <w:t>12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7" w:history="1">
            <w:r>
              <w:t>7 调度、数据与可靠性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DeliveryTChapter7 \h </w:instrText>
          </w:r>
          <w:r>
            <w:fldChar w:fldCharType="separate"/>
          </w:r>
          <w:r>
            <w:t>13</w:t>
          </w:r>
          <w:r>
            <w:fldChar w:fldCharType="end"/>
          </w:r>
        </w:p>
        <w:p>
          <w:pPr>
            <w:pStyle w:val="DeliveryToc1"/>
            <w:spacing w:before="0" w:after="120" w:line="260" w:lineRule="auto"/>
            <w:jc w:val="left"/>
          </w:pPr>
          <w:hyperlink w:anchor="DeliveryTChapter8" w:history="1">
            <w:r>
              <w:t>8 测试方法与本次结果</w:t>
            </w:r>
          </w:hyperlink>
          <w:r>
            <w:tab/>
          </w:r>
          <w:r>
            <w:fldChar w:fldCharType="begin" w:dirty="0"/>
          </w:r>
          <w:r>
            <w:instrText xml:space="preserve"> PAGEREF DeliveryTChapter8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</w:sdtContent>
    </w:sdt>
    <w:p w14:paraId="55CF5207">
      <w:pPr>
        <w:pStyle w:val="2"/>
        <w:rPr>
          <w:rFonts w:hint="eastAsia" w:ascii="宋体" w:hAnsi="宋体" w:eastAsia="宋体" w:cs="宋体"/>
        </w:rPr>
        <w:outlineLvl w:val="0"/>
        <w:keepNext w:val="1"/>
        <w:keepLines w:val="1"/>
        <w:pageBreakBefore w:val="1"/>
      </w:pPr>
      <w:bookmarkStart w:id="125" w:name="DeliveryGlossary"/>
      <w:r>
        <w:rPr>
          <w:rFonts w:hint="eastAsia" w:ascii="宋体" w:hAnsi="宋体" w:eastAsia="宋体" w:cs="宋体"/>
        </w:rPr>
        <w:t>术语表</w:t>
      </w:r>
      <w:bookmarkEnd w:id="125"/>
    </w:p>
    <w:p>
      <w:pPr>
        <w:spacing w:before="0" w:after="120" w:line="260" w:lineRule="auto"/>
        <w:jc w:val="left"/>
        <w:keepNext w:val="1"/>
      </w:pPr>
      <w:r>
        <w:rPr>
          <w:rFonts w:ascii="宋体" w:hAnsi="宋体" w:eastAsia="宋体" w:cs="宋体"/>
          <w:sz w:val="21"/>
          <w:szCs w:val="21"/>
        </w:rPr>
        <w:t>本表解释正文中反复出现的概念。可先阅读，也可在遇到陌生术语时返回查阅。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700"/>
        <w:gridCol w:w="6660"/>
      </w:tblGrid>
      <w:tr w14:paraId="4DA7473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  <w:tblHeader w:val="1"/>
        </w:trPr>
        <w:tc>
          <w:tcPr>
            <w:shd w:val="clear" w:color="auto" w:fill="E7E6E6"/>
            <w:vAlign w:val="center"/>
            <w:tcW w:w="2700" w:type="dxa"/>
          </w:tcPr>
          <w:p>
            <w:pPr>
              <w:spacing w:before="0" w:after="0" w:line="260" w:lineRule="auto"/>
              <w:jc w:val="left"/>
              <w:keepNext w:val="1"/>
            </w:pPr>
            <w:r>
              <w:rPr>
                <w:rFonts w:ascii="宋体" w:hAnsi="宋体" w:eastAsia="宋体" w:cs="宋体"/>
                <w:sz w:val="21"/>
                <w:szCs w:val="21"/>
                <w:b w:val="1"/>
              </w:rPr>
              <w:t>术语</w:t>
            </w:r>
          </w:p>
        </w:tc>
        <w:tc>
          <w:tcPr>
            <w:shd w:val="clear" w:color="auto" w:fill="E7E6E6"/>
            <w:vAlign w:val="center"/>
            <w:tcW w:w="6660" w:type="dxa"/>
          </w:tcPr>
          <w:p>
            <w:pPr>
              <w:spacing w:before="0" w:after="0" w:line="260" w:lineRule="auto"/>
              <w:jc w:val="left"/>
              <w:keepNext w:val="1"/>
            </w:pPr>
            <w:r>
              <w:rPr>
                <w:rFonts w:ascii="宋体" w:hAnsi="宋体" w:eastAsia="宋体" w:cs="宋体"/>
                <w:sz w:val="21"/>
                <w:szCs w:val="21"/>
                <w:b w:val="1"/>
              </w:rPr>
              <w:t>通俗说明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代码仓库 / Git / Gitea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代码仓库集中保存项目文件及修改历史。Git 负责记录版本；Gitea 是通过网页管理 Git 仓库的服务，便于浏览代码和协作。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分支 branch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同一项目的一条开发路线。不同分支可以分别开发和维护；分支名称不代表固定版本，继续提交后它指向的代码会变化。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提交 commit / SHA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一次被 Git 保存的代码修改记录。SHA 是这次提交的编号，用它可以定位同一份代码版本；短 SHA 是完整编号的缩写。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差异 diff / 第一父提交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diff 列出两个版本增加、删除或修改的内容。第一父提交是当前提交的第一个直接前序版本；合并提交还可能有其他父提交。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审查策略 / 分析器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策略是选好的分析方式、模型和参数组合；分析器是实际执行该类分析的程序。可以把它们理解为“检查方案”和“执行检查的工具”。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大模型 LLM / 模型名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大模型根据代码和要求生成分析意见。模型名是发送给网关的调用标识，必须与现场提供的名称一致；模型意见仍需人工复核。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提示词 Prompt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发给模型的任务说明，例如检查重点、业务规则和回答格式。提示词不是待审查的代码，它用于告诉模型应怎样分析代码。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AI 网关 / API 接口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接口是程序之间发送请求、接收结果的约定入口。AI 网关提供模型调用入口；系统向它发送模型名、提示词和代码材料，再读取回答。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Token 认证令牌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调用网关或仓库时用来证明调用权限的凭据，作用类似钥匙。它不是模型名，也不是密码示例；保存配置和截图时需要保护它。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字符 / 模型 token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字符是文本中的字、字母或符号；模型 token 是模型切分文本后使用的计量单位，二者没有固定换算比例。这里的 token 与认证令牌含义不同。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JSON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一种按字段组织数据的文本格式，便于程序读取。例如 issues 保存问题列表，summary 保存摘要；它与供人阅读的普通说明文字用途不同。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Markdown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用简单标记表示标题、列表和表格的文本格式，文件通常以 .md 结尾。本系统生成的报告使用这种格式，可以查看、保存和继续编辑。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配置快照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任务发起时保留的一份配置副本，用来说明当时采用的策略、模型和提示词。以后修改当前配置，不会自动改写这份历史副本。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结构摘要 / JavaParser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结构摘要保留类名、字段、方法签名和依赖等代码骨架，减少送给模型的文本。JavaParser 是读取 Java 源码结构的工具；摘要不等同于完整方法实现。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耦合度 coupling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描述代码之间相互依赖的程度。一个类或模块依赖较多，修改时可能影响更多地方；指标用于帮助定位复核重点，不能单独证明代码有缺陷。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扇入 fanIn / 扇出 fanOut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扇入表示有多少其他类依赖当前类；扇出表示当前类依赖多少其他类。可理解为“多少地方会用到我”和“我会用到多少地方”。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模块指标 Ca / Ce / I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Ca 是依赖该模块的其他模块数，Ce 是该模块依赖的其他模块数。I = Ce / (Ca + Ce)，表示依赖向外的程度；这些值应结合实际分析范围理解。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设计模式 design pattern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解决常见软件设计问题的一类组织方法，例如工厂模式、观察者模式。识别结果说明代码可能采用了哪种方法，还需要结合实际代码判断是否合适。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merge-base / 三点比较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merge-base 是两条开发路线共有的最近祖先版本。三点比较从这个共同起点计算目标路线的变化，用于观察分支从分叉后改了什么。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异步任务 / 任务池 / 队列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异步任务在后台执行，用户发起后可继续操作。任务池安排若干线程处理工作；队列存放等待处理的任务。进入队列不代表任务已经完成。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重试 / 超时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重试是在符合条件的失败后再次尝试请求；超时是等待或执行时间超过设定范围。二者用于处理异常，不代表一定能完成或得到正确分析结论。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Docker / 镜像 / 容器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Docker 用于运行打包好的应用。镜像是准备好的程序与运行环境；容器是镜像启动后的运行实例，可以把它们理解为“安装包”和“正在运行的程序”。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JAR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Java 应用的打包文件。本项目把后端程序和构建后的前端静态资源一起装进 JAR，便于作为同一个应用发布和运行。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MySQL / 持久化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MySQL 是保存配置、审查记录和报告的数据库。持久化是把数据保存到数据库或磁盘，使它不只留在程序内存中；它不等同于备份。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 w:val="1"/>
        </w:trPr>
        <w:tc>
          <w:tcPr>
            <w:vAlign w:val="center"/>
            <w:tcW w:w="270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Flyway / 数据库迁移</w:t>
            </w:r>
          </w:p>
        </w:tc>
        <w:tc>
          <w:tcPr>
            <w:vAlign w:val="center"/>
            <w:tcW w:w="6660" w:type="dxa"/>
            <w:shd w:fill="FFFFFF" w:val="clear"/>
          </w:tcPr>
          <w:p>
            <w:pPr>
              <w:spacing w:before="0" w:after="0" w:line="260" w:lineRule="auto"/>
              <w:jc w:val="left"/>
              <w:keepNext w:val="0"/>
            </w:pPr>
            <w:r>
              <w:rPr>
                <w:rFonts w:ascii="宋体" w:hAnsi="宋体" w:eastAsia="宋体" w:cs="宋体"/>
                <w:sz w:val="21"/>
                <w:szCs w:val="21"/>
              </w:rPr>
              <w:t>Flyway 按顺序执行有版本号的数据库修改脚本，例如新增字段或索引。迁移是调整数据库结构，不等同于备份恢复或应用镜像回退。</w:t>
            </w:r>
          </w:p>
        </w:tc>
      </w:tr>
    </w:tbl>
    <w:p w14:paraId="39F73F36">
      <w:pPr>
        <w:rPr>
          <w:rFonts w:hint="eastAsia" w:ascii="宋体" w:hAnsi="宋体" w:eastAsia="宋体" w:cs="宋体"/>
          <w:sz w:val="24"/>
          <w:szCs w:val="24"/>
          <w:lang w:val="en"/>
        </w:rPr>
        <w:pageBreakBefore w:val="1"/>
      </w:pPr>
      <w:r>
        <w:rPr>
          <w:rFonts w:hint="eastAsia" w:ascii="宋体" w:hAnsi="宋体" w:eastAsia="宋体" w:cs="宋体"/>
          <w:sz w:val="24"/>
          <w:szCs w:val="24"/>
          <w:lang w:val="en"/>
        </w:rPr>
        <w:br w:type="page"/>
      </w:r>
    </w:p>
    <w:p w14:paraId="7EA79641">
      <w:pPr>
        <w:spacing w:after="24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文档版本 1.0　编制日期 2026-10-13</w:t>
      </w:r>
    </w:p>
    <w:p w14:paraId="55CF5207">
      <w:pPr>
        <w:pStyle w:val="2"/>
        <w:rPr>
          <w:rFonts w:hint="eastAsia" w:ascii="宋体" w:hAnsi="宋体" w:eastAsia="宋体" w:cs="宋体"/>
        </w:rPr>
        <w:outlineLvl w:val="0"/>
      </w:pPr>
      <w:bookmarkStart w:id="126" w:name="DeliveryTChapter1"/>
      <w:r>
        <w:rPr>
          <w:rFonts w:hint="eastAsia" w:ascii="宋体" w:hAnsi="宋体" w:eastAsia="宋体" w:cs="宋体"/>
        </w:rPr>
        <w:t>1 交付结论</w:t>
      </w:r>
      <w:bookmarkEnd w:id="126"/>
    </w:p>
    <w:p w14:paraId="513F49C6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本系统通过代码仓库接入、确定性结构分析与大模型语义分析，支持文件审查、Java 耦合度分析、设计模式识别、外部 API 分析和单提交差异审查，并将审查记录汇总为 Markdown 报告。系统采用前后端资源一体打包的 Spring Boot 应用和独立 MySQL 容器，面向内网以离线镜像包部署。</w:t>
      </w:r>
    </w:p>
    <w:p w14:paraId="1B74E509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本报告供技术评审、部署负责人和后续维护人员使用，说明技术路线、模块职责、模型设置、执行约束及测试证据。交付基线为 dev 的 d114f62</w:t>
      </w:r>
      <w:r>
        <w:rPr>
          <w:rFonts w:hint="eastAsia" w:ascii="宋体" w:hAnsi="宋体" w:eastAsia="宋体" w:cs="宋体"/>
          <w:lang w:val="en-US" w:eastAsia="zh-CN"/>
        </w:rPr>
        <w:t>提交</w:t>
      </w:r>
      <w:r>
        <w:rPr>
          <w:rFonts w:hint="eastAsia" w:ascii="宋体" w:hAnsi="宋体" w:eastAsia="宋体" w:cs="宋体"/>
        </w:rPr>
        <w:t>，提交时间为 2026-09-21。本报告中的界面、分析器和部署流程均按该基线定义；后续版本应另行修订文档版本及基线。</w:t>
      </w:r>
    </w:p>
    <w:tbl>
      <w:tblPr>
        <w:tblStyle w:val="15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6803"/>
      </w:tblGrid>
      <w:tr w14:paraId="4DA7473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00000033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  <w:t>项目</w:t>
            </w:r>
          </w:p>
        </w:tc>
        <w:tc>
          <w:tcPr>
            <w:shd w:val="clear" w:color="auto" w:fill="F3F3F3"/>
            <w:vAlign w:val="center"/>
          </w:tcPr>
          <w:p w14:paraId="00000034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  <w:t>内容</w:t>
            </w:r>
          </w:p>
        </w:tc>
      </w:tr>
      <w:tr w14:paraId="763C23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0000035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文档名称</w:t>
            </w:r>
          </w:p>
        </w:tc>
        <w:tc>
          <w:tcPr>
            <w:vAlign w:val="center"/>
          </w:tcPr>
          <w:p w14:paraId="00000036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基于AI的智能代码分析工具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 xml:space="preserve"> 技术报告</w:t>
            </w:r>
          </w:p>
        </w:tc>
      </w:tr>
      <w:tr w14:paraId="1F120A3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6E0E9A9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适用版本</w:t>
            </w:r>
          </w:p>
        </w:tc>
        <w:tc>
          <w:tcPr>
            <w:vAlign w:val="center"/>
          </w:tcPr>
          <w:p w14:paraId="13ACF542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dev 分支 d114f62</w:t>
            </w:r>
          </w:p>
        </w:tc>
      </w:tr>
      <w:tr w14:paraId="5B16E5F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4646F14A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编制日期</w:t>
            </w:r>
          </w:p>
        </w:tc>
        <w:tc>
          <w:tcPr>
            <w:vAlign w:val="center"/>
          </w:tcPr>
          <w:p w14:paraId="33B4AE46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2026-10-13</w:t>
            </w:r>
          </w:p>
        </w:tc>
      </w:tr>
      <w:tr w14:paraId="6A924C4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98DE522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交付形态</w:t>
            </w:r>
          </w:p>
        </w:tc>
        <w:tc>
          <w:tcPr>
            <w:vAlign w:val="center"/>
          </w:tcPr>
          <w:p w14:paraId="5F7DD42A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Word 技术报告</w:t>
            </w:r>
          </w:p>
        </w:tc>
      </w:tr>
      <w:tr w14:paraId="6F56008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10566A7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本次工程证据</w:t>
            </w:r>
          </w:p>
        </w:tc>
        <w:tc>
          <w:tcPr>
            <w:vAlign w:val="center"/>
          </w:tcPr>
          <w:p w14:paraId="798CB402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后端 335 项中 326 通过 9 条件跳过；前端 347 项通过；类型检查与隔离构建通过</w:t>
            </w:r>
          </w:p>
        </w:tc>
      </w:tr>
      <w:tr w14:paraId="08B8932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8889CC3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使用方确认</w:t>
            </w:r>
          </w:p>
        </w:tc>
        <w:tc>
          <w:tcPr>
            <w:vAlign w:val="center"/>
          </w:tcPr>
          <w:p w14:paraId="4F7A5357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该分支已通过 GitHub Actions，并在内网完成部署验证</w:t>
            </w:r>
          </w:p>
        </w:tc>
      </w:tr>
    </w:tbl>
    <w:p w14:paraId="2F743FF6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</w:p>
    <w:p w14:paraId="17DFB66A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本地回归验证支持该基线已有行为的工程稳定性</w:t>
      </w:r>
      <w:r>
        <w:rPr>
          <w:rFonts w:hint="eastAsia" w:ascii="宋体" w:hAnsi="宋体" w:eastAsia="宋体" w:cs="宋体"/>
          <w:lang w:eastAsia="zh-CN"/>
        </w:rPr>
        <w:t>，</w:t>
      </w:r>
      <w:r>
        <w:rPr>
          <w:rFonts w:hint="eastAsia" w:ascii="宋体" w:hAnsi="宋体" w:eastAsia="宋体" w:cs="宋体"/>
          <w:lang w:val="en-US" w:eastAsia="zh-CN"/>
        </w:rPr>
        <w:t>且</w:t>
      </w:r>
      <w:r>
        <w:rPr>
          <w:rFonts w:hint="eastAsia" w:ascii="宋体" w:hAnsi="宋体" w:eastAsia="宋体" w:cs="宋体"/>
        </w:rPr>
        <w:t>使用方</w:t>
      </w:r>
      <w:r>
        <w:rPr>
          <w:rFonts w:hint="eastAsia" w:ascii="宋体" w:hAnsi="宋体" w:eastAsia="宋体" w:cs="宋体"/>
          <w:lang w:val="en-US" w:eastAsia="zh-CN"/>
        </w:rPr>
        <w:t>已</w:t>
      </w:r>
      <w:r>
        <w:rPr>
          <w:rFonts w:hint="eastAsia" w:ascii="宋体" w:hAnsi="宋体" w:eastAsia="宋体" w:cs="宋体"/>
        </w:rPr>
        <w:t>确认</w:t>
      </w:r>
      <w:r>
        <w:rPr>
          <w:rFonts w:hint="eastAsia" w:ascii="宋体" w:hAnsi="宋体" w:eastAsia="宋体" w:cs="宋体"/>
          <w:lang w:val="en-US" w:eastAsia="zh-CN"/>
        </w:rPr>
        <w:t>该项目的</w:t>
      </w:r>
      <w:r>
        <w:rPr>
          <w:rFonts w:hint="eastAsia" w:ascii="宋体" w:hAnsi="宋体" w:eastAsia="宋体" w:cs="宋体"/>
        </w:rPr>
        <w:t>发布与部署路线具备实际运行基础。</w:t>
      </w:r>
    </w:p>
    <w:p w14:paraId="051184FD">
      <w:pPr>
        <w:pStyle w:val="2"/>
        <w:rPr>
          <w:rFonts w:hint="eastAsia" w:ascii="宋体" w:hAnsi="宋体" w:eastAsia="宋体" w:cs="宋体"/>
        </w:rPr>
        <w:outlineLvl w:val="0"/>
      </w:pPr>
      <w:bookmarkStart w:id="127" w:name="DeliveryTChapter2"/>
      <w:r>
        <w:rPr>
          <w:rFonts w:hint="eastAsia" w:ascii="宋体" w:hAnsi="宋体" w:eastAsia="宋体" w:cs="宋体"/>
        </w:rPr>
        <w:t>2 技术路线与能力范围</w:t>
      </w:r>
      <w:bookmarkEnd w:id="127"/>
    </w:p>
    <w:p w14:paraId="640916FE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本项目</w:t>
      </w:r>
      <w:r>
        <w:rPr>
          <w:rFonts w:hint="eastAsia" w:ascii="宋体" w:hAnsi="宋体" w:eastAsia="宋体" w:cs="宋体"/>
        </w:rPr>
        <w:t>技术路线为“</w:t>
      </w:r>
      <w:r>
        <w:rPr>
          <w:rFonts w:hint="eastAsia" w:ascii="宋体" w:hAnsi="宋体" w:eastAsia="宋体" w:cs="宋体"/>
          <w:lang w:val="en-US" w:eastAsia="zh-CN"/>
        </w:rPr>
        <w:t>接入代码</w:t>
      </w:r>
      <w:r>
        <w:rPr>
          <w:rFonts w:hint="eastAsia" w:ascii="宋体" w:hAnsi="宋体" w:eastAsia="宋体" w:cs="宋体"/>
        </w:rPr>
        <w:t>仓库 → 按策略选择分析器 → 确定性计算</w:t>
      </w:r>
      <w:r>
        <w:rPr>
          <w:rFonts w:hint="eastAsia" w:ascii="宋体" w:hAnsi="宋体" w:eastAsia="宋体" w:cs="宋体"/>
          <w:lang w:val="en-US" w:eastAsia="zh-CN"/>
        </w:rPr>
        <w:t>/</w:t>
      </w:r>
      <w:r>
        <w:rPr>
          <w:rFonts w:hint="eastAsia" w:ascii="宋体" w:hAnsi="宋体" w:eastAsia="宋体" w:cs="宋体"/>
        </w:rPr>
        <w:t>模型调用 → 结果落库 → 人工复核与报告汇总”。Java 依赖指标由程序计算，模型负责语义问题识别、模式判断和解释建议。两类结果共同呈现，使指标计算过程可以复核，也保留模型分析所需的上下文。</w:t>
      </w:r>
    </w:p>
    <w:tbl>
      <w:tblPr>
        <w:tblStyle w:val="15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6803"/>
      </w:tblGrid>
      <w:tr w14:paraId="5FAC95E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293AD7B7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  <w:t>层次</w:t>
            </w:r>
          </w:p>
        </w:tc>
        <w:tc>
          <w:tcPr>
            <w:shd w:val="clear" w:color="auto" w:fill="F3F3F3"/>
            <w:vAlign w:val="center"/>
          </w:tcPr>
          <w:p w14:paraId="05DAB408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  <w:t>采用技术与作用</w:t>
            </w:r>
          </w:p>
        </w:tc>
      </w:tr>
      <w:tr w14:paraId="596E24E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73FD63D8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浏览器界面</w:t>
            </w:r>
          </w:p>
        </w:tc>
        <w:tc>
          <w:tcPr>
            <w:vAlign w:val="center"/>
          </w:tcPr>
          <w:p w14:paraId="0667651D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Vue 3、TypeScript、Vite、Ant Design Vue；Axios 调用 REST；ECharts 展示关系图；Markdown 与差异组件展示结果</w:t>
            </w:r>
          </w:p>
        </w:tc>
      </w:tr>
      <w:tr w14:paraId="39912F5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4173317B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服务端</w:t>
            </w:r>
          </w:p>
        </w:tc>
        <w:tc>
          <w:tcPr>
            <w:vAlign w:val="center"/>
          </w:tcPr>
          <w:p w14:paraId="3D74B0A8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Java 17、Spring Boot 3.3.5、Spring MVC；业务服务负责配置、审查与报告；异步任务池执行分析</w:t>
            </w:r>
          </w:p>
        </w:tc>
      </w:tr>
      <w:tr w14:paraId="160DB41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25D59282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结构分析</w:t>
            </w:r>
          </w:p>
        </w:tc>
        <w:tc>
          <w:tcPr>
            <w:vAlign w:val="center"/>
          </w:tcPr>
          <w:p w14:paraId="490BE5D0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JavaParser 3.28.2，以 Java 17 语法级别抽取类型、显式 import、字段和方法签名</w:t>
            </w:r>
          </w:p>
        </w:tc>
      </w:tr>
      <w:tr w14:paraId="45EC660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972EDE3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Git 接入</w:t>
            </w:r>
          </w:p>
        </w:tc>
        <w:tc>
          <w:tcPr>
            <w:vAlign w:val="center"/>
          </w:tcPr>
          <w:p w14:paraId="5789FF1C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GitHub REST 与原文接口；Gitea REST 与 .diff；JGit 7.2 本地 bare 镜像辅助三点比较</w:t>
            </w:r>
          </w:p>
        </w:tc>
      </w:tr>
      <w:tr w14:paraId="122919E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7DB6195D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模型接入</w:t>
            </w:r>
          </w:p>
        </w:tc>
        <w:tc>
          <w:tcPr>
            <w:vAlign w:val="center"/>
          </w:tcPr>
          <w:p w14:paraId="6006DBC9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Spring RestClient 调用 OpenAI 兼容 chat/completions；Bearer 令牌；JSON 或普通对话输出</w:t>
            </w:r>
          </w:p>
        </w:tc>
      </w:tr>
      <w:tr w14:paraId="707FDE8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76B29BD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数据层</w:t>
            </w:r>
          </w:p>
        </w:tc>
        <w:tc>
          <w:tcPr>
            <w:vAlign w:val="center"/>
          </w:tcPr>
          <w:p w14:paraId="778A2F6C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MySQL 8.0.36、MyBatis-Plus 3.5.7；Flyway V1 至 V7 管理数据库演进</w:t>
            </w:r>
          </w:p>
        </w:tc>
      </w:tr>
      <w:tr w14:paraId="776DABB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172DF91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构建与部署</w:t>
            </w:r>
          </w:p>
        </w:tc>
        <w:tc>
          <w:tcPr>
            <w:vAlign w:val="center"/>
          </w:tcPr>
          <w:p w14:paraId="74886ACB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Node 22、pnpm 10.18.2、Maven 与 Java 17 三阶段 Docker 构建；JRE 17 jammy 运行；Linux amd64 离线包</w:t>
            </w:r>
          </w:p>
        </w:tc>
      </w:tr>
    </w:tbl>
    <w:p w14:paraId="3B8181EE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</w:p>
    <w:p w14:paraId="0D7EDF25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五类策略的输入、方法与结果如下。</w:t>
      </w:r>
    </w:p>
    <w:tbl>
      <w:tblPr>
        <w:tblStyle w:val="17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3"/>
        <w:gridCol w:w="2693"/>
        <w:gridCol w:w="2834"/>
      </w:tblGrid>
      <w:tr w14:paraId="3C69455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00000075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  <w:t>策略</w:t>
            </w:r>
          </w:p>
        </w:tc>
        <w:tc>
          <w:tcPr>
            <w:shd w:val="clear" w:color="auto" w:fill="F3F3F3"/>
            <w:vAlign w:val="center"/>
          </w:tcPr>
          <w:p w14:paraId="00000076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  <w:t>主要方法</w:t>
            </w:r>
          </w:p>
        </w:tc>
        <w:tc>
          <w:tcPr>
            <w:shd w:val="clear" w:color="auto" w:fill="F3F3F3"/>
            <w:vAlign w:val="center"/>
          </w:tcPr>
          <w:p w14:paraId="00000077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  <w:t>输出与适用范围</w:t>
            </w:r>
          </w:p>
        </w:tc>
      </w:tr>
      <w:tr w14:paraId="420C9CB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0000078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1 llm-review</w:t>
            </w:r>
          </w:p>
        </w:tc>
        <w:tc>
          <w:tcPr>
            <w:vAlign w:val="center"/>
          </w:tcPr>
          <w:p w14:paraId="00000079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获取所选文件原文，按阈值分块后调用模型；可选多文件合并</w:t>
            </w:r>
          </w:p>
        </w:tc>
        <w:tc>
          <w:tcPr>
            <w:vAlign w:val="center"/>
          </w:tcPr>
          <w:p w14:paraId="0000007A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单元问题、摘要及原始文本；适合源码规则与业务语义审查</w:t>
            </w:r>
          </w:p>
        </w:tc>
      </w:tr>
      <w:tr w14:paraId="2743493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8C9DE2C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2 coupling</w:t>
            </w:r>
          </w:p>
        </w:tc>
        <w:tc>
          <w:tcPr>
            <w:vAlign w:val="center"/>
          </w:tcPr>
          <w:p w14:paraId="0E5C818C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Java 结构抽取，计算类依赖与包级模块指标，再尽力生成模型建议</w:t>
            </w:r>
          </w:p>
        </w:tc>
        <w:tc>
          <w:tcPr>
            <w:vAlign w:val="center"/>
          </w:tcPr>
          <w:p w14:paraId="6EB9C3A0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扇入扇出、强连通分量、模块 Ca Ce I 和建议</w:t>
            </w:r>
          </w:p>
        </w:tc>
      </w:tr>
      <w:tr w14:paraId="683539E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FA0525E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3 design-pattern</w:t>
            </w:r>
          </w:p>
        </w:tc>
        <w:tc>
          <w:tcPr>
            <w:vAlign w:val="center"/>
          </w:tcPr>
          <w:p w14:paraId="43967499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将 Java 类型、字段、继承实现和方法签名摘要送入模型</w:t>
            </w:r>
          </w:p>
        </w:tc>
        <w:tc>
          <w:tcPr>
            <w:vAlign w:val="center"/>
          </w:tcPr>
          <w:p w14:paraId="1A9682A7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固定十类设计模式、参与类、依据、置信度、误用判断和建议</w:t>
            </w:r>
          </w:p>
        </w:tc>
      </w:tr>
      <w:tr w14:paraId="62ABF38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974B645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4 api-review</w:t>
            </w:r>
          </w:p>
        </w:tc>
        <w:tc>
          <w:tcPr>
            <w:vAlign w:val="center"/>
          </w:tcPr>
          <w:p w14:paraId="2C98D263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POST 触发外部服务，按配置 GET 查询 issues，提供结果链接</w:t>
            </w:r>
          </w:p>
        </w:tc>
        <w:tc>
          <w:tcPr>
            <w:vAlign w:val="center"/>
          </w:tcPr>
          <w:p w14:paraId="4A5F01BA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外部问题或触发查询错误；基础 API 适配，不负责完整流水线生命周期</w:t>
            </w:r>
          </w:p>
        </w:tc>
      </w:tr>
      <w:tr w14:paraId="1BB7591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FB8FA20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5 diff-review</w:t>
            </w:r>
          </w:p>
        </w:tc>
        <w:tc>
          <w:tcPr>
            <w:vAlign w:val="center"/>
          </w:tcPr>
          <w:p w14:paraId="768D2CAC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读取一个提交相对第一父提交的变更，制备方法或 hunk 单元</w:t>
            </w:r>
          </w:p>
        </w:tc>
        <w:tc>
          <w:tcPr>
            <w:vAlign w:val="center"/>
          </w:tcPr>
          <w:p w14:paraId="0C98097D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变更问题、新侧行号、提交意图判断与原始结果；最多 50 个实际单元</w:t>
            </w:r>
          </w:p>
        </w:tc>
      </w:tr>
    </w:tbl>
    <w:p w14:paraId="0506CBB3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</w:p>
    <w:p w14:paraId="27EC4C84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设计模式清单为单例、工厂、抽象工厂、建造者、观察者、策略、装饰器、适配器、代理和模板方法。系统没有覆盖全部 GoF 模式的承诺。提交视图每次选择一个提交；多个提交可逐次审查，再汇总已有记录。</w:t>
      </w:r>
    </w:p>
    <w:p w14:paraId="3B2CA9B4">
      <w:pPr>
        <w:spacing w:after="24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br w:type="page"/>
      </w:r>
    </w:p>
    <w:p w14:paraId="1D6FABEA">
      <w:pPr>
        <w:pStyle w:val="2"/>
        <w:rPr>
          <w:rFonts w:hint="eastAsia" w:ascii="宋体" w:hAnsi="宋体" w:eastAsia="宋体" w:cs="宋体"/>
        </w:rPr>
        <w:outlineLvl w:val="0"/>
      </w:pPr>
      <w:bookmarkStart w:id="128" w:name="DeliveryTChapter3"/>
      <w:r>
        <w:rPr>
          <w:rFonts w:hint="eastAsia" w:ascii="宋体" w:hAnsi="宋体" w:eastAsia="宋体" w:cs="宋体"/>
        </w:rPr>
        <w:t>3 系统架构</w:t>
      </w:r>
      <w:bookmarkEnd w:id="128"/>
    </w:p>
    <w:p w14:paraId="43FF6709">
      <w:pPr>
        <w:keepNext/>
        <w:spacing w:after="24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0" distR="0">
            <wp:extent cx="5938520" cy="6123940"/>
            <wp:effectExtent l="0" t="0" r="5080" b="2540"/>
            <wp:docPr id="101" name="图T 01 系统逻辑架构" descr="图T 01 系统逻辑架构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图T 01 系统逻辑架构" descr="图T 01 系统逻辑架构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6124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A0041">
      <w:pPr>
        <w:spacing w:after="16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sz w:val="20"/>
          <w:szCs w:val="20"/>
          <w:lang w:eastAsia="zh-CN"/>
        </w:rPr>
        <w:t>图</w:t>
      </w:r>
      <w:r>
        <w:rPr>
          <w:rFonts w:hint="eastAsia" w:ascii="宋体" w:hAnsi="宋体" w:eastAsia="宋体" w:cs="宋体"/>
          <w:sz w:val="20"/>
          <w:szCs w:val="20"/>
        </w:rPr>
        <w:t>1 系统逻辑架构</w:t>
      </w:r>
    </w:p>
    <w:p w14:paraId="7F748E51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eastAsia="zh-CN"/>
        </w:rPr>
        <w:t>图</w:t>
      </w:r>
      <w:r>
        <w:rPr>
          <w:rFonts w:hint="eastAsia" w:ascii="宋体" w:hAnsi="宋体" w:eastAsia="宋体" w:cs="宋体"/>
        </w:rPr>
        <w:t>1 按运行职责划分</w:t>
      </w:r>
      <w:r>
        <w:rPr>
          <w:rFonts w:hint="eastAsia" w:ascii="宋体" w:hAnsi="宋体" w:eastAsia="宋体" w:cs="宋体"/>
          <w:lang w:val="en-US" w:eastAsia="zh-CN"/>
        </w:rPr>
        <w:t>了</w:t>
      </w:r>
      <w:r>
        <w:rPr>
          <w:rFonts w:hint="eastAsia" w:ascii="宋体" w:hAnsi="宋体" w:eastAsia="宋体" w:cs="宋体"/>
        </w:rPr>
        <w:t>浏览器、应用、数据库、Git 宿主和模型网关。Controller 提供统一 REST 入口，Service 校验并保存项目、策略、提示词版本和模型配置。ReviewExecutor 与 ReportExecutor 在记录级任务池中执行审查和报告任务。Analyzer 按</w:t>
      </w:r>
      <w:r>
        <w:rPr>
          <w:rFonts w:hint="eastAsia" w:ascii="宋体" w:hAnsi="宋体" w:eastAsia="宋体" w:cs="宋体"/>
          <w:lang w:val="en-US" w:eastAsia="zh-CN"/>
        </w:rPr>
        <w:t>所选的审查策略</w:t>
      </w:r>
      <w:r>
        <w:rPr>
          <w:rFonts w:hint="eastAsia" w:ascii="宋体" w:hAnsi="宋体" w:eastAsia="宋体" w:cs="宋体"/>
        </w:rPr>
        <w:t>类型</w:t>
      </w:r>
      <w:r>
        <w:rPr>
          <w:rFonts w:hint="eastAsia" w:ascii="宋体" w:hAnsi="宋体" w:eastAsia="宋体" w:cs="宋体"/>
          <w:lang w:val="en-US" w:eastAsia="zh-CN"/>
        </w:rPr>
        <w:t>进行</w:t>
      </w:r>
      <w:r>
        <w:rPr>
          <w:rFonts w:hint="eastAsia" w:ascii="宋体" w:hAnsi="宋体" w:eastAsia="宋体" w:cs="宋体"/>
        </w:rPr>
        <w:t>分发；</w:t>
      </w:r>
      <w:r>
        <w:rPr>
          <w:rFonts w:hint="eastAsia" w:ascii="宋体" w:hAnsi="宋体" w:eastAsia="宋体" w:cs="宋体"/>
          <w:lang w:val="en-US" w:eastAsia="zh-CN"/>
        </w:rPr>
        <w:t>代码</w:t>
      </w:r>
      <w:r>
        <w:rPr>
          <w:rFonts w:hint="eastAsia" w:ascii="宋体" w:hAnsi="宋体" w:eastAsia="宋体" w:cs="宋体"/>
        </w:rPr>
        <w:t>文件</w:t>
      </w:r>
      <w:r>
        <w:rPr>
          <w:rFonts w:hint="eastAsia" w:ascii="宋体" w:hAnsi="宋体" w:eastAsia="宋体" w:cs="宋体"/>
          <w:lang w:val="en-US" w:eastAsia="zh-CN"/>
        </w:rPr>
        <w:t>审查、</w:t>
      </w:r>
      <w:r>
        <w:rPr>
          <w:rFonts w:hint="eastAsia" w:ascii="宋体" w:hAnsi="宋体" w:eastAsia="宋体" w:cs="宋体"/>
        </w:rPr>
        <w:t>耦合建议、模式识别</w:t>
      </w:r>
      <w:r>
        <w:rPr>
          <w:rFonts w:hint="eastAsia" w:ascii="宋体" w:hAnsi="宋体" w:eastAsia="宋体" w:cs="宋体"/>
          <w:lang w:eastAsia="zh-CN"/>
        </w:rPr>
        <w:t>、</w:t>
      </w:r>
      <w:r>
        <w:rPr>
          <w:rFonts w:hint="eastAsia" w:ascii="宋体" w:hAnsi="宋体" w:eastAsia="宋体" w:cs="宋体"/>
          <w:lang w:val="en-US" w:eastAsia="zh-CN"/>
        </w:rPr>
        <w:t>diff分析</w:t>
      </w:r>
      <w:r>
        <w:rPr>
          <w:rFonts w:hint="eastAsia" w:ascii="宋体" w:hAnsi="宋体" w:eastAsia="宋体" w:cs="宋体"/>
        </w:rPr>
        <w:t>和报告</w:t>
      </w:r>
      <w:r>
        <w:rPr>
          <w:rFonts w:hint="eastAsia" w:ascii="宋体" w:hAnsi="宋体" w:eastAsia="宋体" w:cs="宋体"/>
          <w:lang w:val="en-US" w:eastAsia="zh-CN"/>
        </w:rPr>
        <w:t>生成直接</w:t>
      </w:r>
      <w:r>
        <w:rPr>
          <w:rFonts w:hint="eastAsia" w:ascii="宋体" w:hAnsi="宋体" w:eastAsia="宋体" w:cs="宋体"/>
        </w:rPr>
        <w:t>调用模型</w:t>
      </w:r>
      <w:r>
        <w:rPr>
          <w:rFonts w:hint="eastAsia" w:ascii="宋体" w:hAnsi="宋体" w:eastAsia="宋体" w:cs="宋体"/>
          <w:lang w:eastAsia="zh-CN"/>
        </w:rPr>
        <w:t>，</w:t>
      </w:r>
      <w:r>
        <w:rPr>
          <w:rFonts w:hint="eastAsia" w:ascii="宋体" w:hAnsi="宋体" w:eastAsia="宋体" w:cs="宋体"/>
          <w:lang w:val="en-US" w:eastAsia="zh-CN"/>
        </w:rPr>
        <w:t>并</w:t>
      </w:r>
      <w:r>
        <w:rPr>
          <w:rFonts w:hint="eastAsia" w:ascii="宋体" w:hAnsi="宋体" w:eastAsia="宋体" w:cs="宋体"/>
        </w:rPr>
        <w:t>记录任务执行。</w:t>
      </w:r>
    </w:p>
    <w:p w14:paraId="0781F202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GitHostClientRegistry 按仓库</w:t>
      </w:r>
      <w:r>
        <w:rPr>
          <w:rFonts w:hint="eastAsia" w:ascii="宋体" w:hAnsi="宋体" w:eastAsia="宋体" w:cs="宋体"/>
          <w:lang w:val="en-US" w:eastAsia="zh-CN"/>
        </w:rPr>
        <w:t>类型（所内为gitea）进行代码仓库的适配</w:t>
      </w:r>
      <w:r>
        <w:rPr>
          <w:rFonts w:hint="eastAsia" w:ascii="宋体" w:hAnsi="宋体" w:eastAsia="宋体" w:cs="宋体"/>
        </w:rPr>
        <w:t>，未知</w:t>
      </w:r>
      <w:r>
        <w:rPr>
          <w:rFonts w:hint="eastAsia" w:ascii="宋体" w:hAnsi="宋体" w:eastAsia="宋体" w:cs="宋体"/>
          <w:lang w:val="en-US" w:eastAsia="zh-CN"/>
        </w:rPr>
        <w:t>类型</w:t>
      </w:r>
      <w:r>
        <w:rPr>
          <w:rFonts w:hint="eastAsia" w:ascii="宋体" w:hAnsi="宋体" w:eastAsia="宋体" w:cs="宋体"/>
        </w:rPr>
        <w:t>显式报错。</w:t>
      </w:r>
      <w:r>
        <w:rPr>
          <w:rFonts w:hint="eastAsia" w:ascii="宋体" w:hAnsi="宋体" w:eastAsia="宋体" w:cs="宋体"/>
          <w:lang w:val="en-US" w:eastAsia="zh-CN"/>
        </w:rPr>
        <w:t>由于所内部署的</w:t>
      </w:r>
      <w:r>
        <w:rPr>
          <w:rFonts w:hint="eastAsia" w:ascii="宋体" w:hAnsi="宋体" w:eastAsia="宋体" w:cs="宋体"/>
        </w:rPr>
        <w:t xml:space="preserve">Gitea 1.16.1 </w:t>
      </w:r>
      <w:r>
        <w:rPr>
          <w:rFonts w:hint="eastAsia" w:ascii="宋体" w:hAnsi="宋体" w:eastAsia="宋体" w:cs="宋体"/>
          <w:lang w:val="en-US" w:eastAsia="zh-CN"/>
        </w:rPr>
        <w:t>版本</w:t>
      </w:r>
      <w:r>
        <w:rPr>
          <w:rFonts w:hint="eastAsia" w:ascii="宋体" w:hAnsi="宋体" w:eastAsia="宋体" w:cs="宋体"/>
        </w:rPr>
        <w:t>缺少</w:t>
      </w:r>
      <w:r>
        <w:rPr>
          <w:rFonts w:hint="eastAsia" w:ascii="宋体" w:hAnsi="宋体" w:eastAsia="宋体" w:cs="宋体"/>
          <w:lang w:val="en-US" w:eastAsia="zh-CN"/>
        </w:rPr>
        <w:t>代码的比较接口</w:t>
      </w:r>
      <w:r>
        <w:rPr>
          <w:rFonts w:hint="eastAsia" w:ascii="宋体" w:hAnsi="宋体" w:eastAsia="宋体" w:cs="宋体"/>
        </w:rPr>
        <w:t>，通过 JGit bare 镜像计算 merge-base 三点差异</w:t>
      </w:r>
      <w:r>
        <w:rPr>
          <w:rFonts w:hint="eastAsia" w:ascii="宋体" w:hAnsi="宋体" w:eastAsia="宋体" w:cs="宋体"/>
          <w:lang w:eastAsia="zh-CN"/>
        </w:rPr>
        <w:t>。</w:t>
      </w:r>
      <w:r>
        <w:rPr>
          <w:rFonts w:hint="eastAsia" w:ascii="宋体" w:hAnsi="宋体" w:eastAsia="宋体" w:cs="宋体"/>
          <w:lang w:val="en-US" w:eastAsia="zh-CN"/>
        </w:rPr>
        <w:t>代码内容会被持久</w:t>
      </w:r>
      <w:r>
        <w:rPr>
          <w:rFonts w:hint="eastAsia" w:ascii="宋体" w:hAnsi="宋体" w:eastAsia="宋体" w:cs="宋体"/>
        </w:rPr>
        <w:t>保存，避免每次完整克隆</w:t>
      </w:r>
      <w:r>
        <w:rPr>
          <w:rFonts w:hint="eastAsia" w:ascii="宋体" w:hAnsi="宋体" w:eastAsia="宋体" w:cs="宋体"/>
          <w:lang w:val="en-US" w:eastAsia="zh-CN"/>
        </w:rPr>
        <w:t>再计算</w:t>
      </w:r>
      <w:r>
        <w:rPr>
          <w:rFonts w:hint="eastAsia" w:ascii="宋体" w:hAnsi="宋体" w:eastAsia="宋体" w:cs="宋体"/>
        </w:rPr>
        <w:t>。</w:t>
      </w:r>
    </w:p>
    <w:p w14:paraId="29EDF5FE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前端工程中，</w:t>
      </w:r>
      <w:r>
        <w:rPr>
          <w:rFonts w:hint="eastAsia" w:ascii="宋体" w:hAnsi="宋体" w:eastAsia="宋体" w:cs="宋体"/>
        </w:rPr>
        <w:t>Vue 构建资源进入后端 JAR 的 static 目录，页面和 API 由同一个应用端口提供</w:t>
      </w:r>
      <w:r>
        <w:rPr>
          <w:rFonts w:hint="eastAsia" w:ascii="宋体" w:hAnsi="宋体" w:eastAsia="宋体" w:cs="宋体"/>
          <w:lang w:eastAsia="zh-CN"/>
        </w:rPr>
        <w:t>，</w:t>
      </w:r>
      <w:r>
        <w:rPr>
          <w:rFonts w:hint="eastAsia" w:ascii="宋体" w:hAnsi="宋体" w:eastAsia="宋体" w:cs="宋体"/>
          <w:lang w:val="en-US" w:eastAsia="zh-CN"/>
        </w:rPr>
        <w:t>部署后于</w:t>
      </w:r>
      <w:r>
        <w:rPr>
          <w:rFonts w:hint="eastAsia" w:ascii="宋体" w:hAnsi="宋体" w:eastAsia="宋体" w:cs="宋体"/>
        </w:rPr>
        <w:t xml:space="preserve"> 18080 提供访问。</w:t>
      </w:r>
    </w:p>
    <w:p w14:paraId="68939FE9">
      <w:pPr>
        <w:spacing w:after="24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br w:type="page"/>
      </w:r>
    </w:p>
    <w:p w14:paraId="63D9D502">
      <w:pPr>
        <w:pStyle w:val="2"/>
        <w:rPr>
          <w:rFonts w:hint="eastAsia" w:ascii="宋体" w:hAnsi="宋体" w:eastAsia="宋体" w:cs="宋体"/>
        </w:rPr>
        <w:outlineLvl w:val="0"/>
      </w:pPr>
      <w:bookmarkStart w:id="129" w:name="DeliveryTChapter4"/>
      <w:r>
        <w:rPr>
          <w:rFonts w:hint="eastAsia" w:ascii="宋体" w:hAnsi="宋体" w:eastAsia="宋体" w:cs="宋体"/>
        </w:rPr>
        <w:t>4 执行过程与状态</w:t>
      </w:r>
      <w:bookmarkEnd w:id="129"/>
    </w:p>
    <w:p w14:paraId="41091060">
      <w:pPr>
        <w:keepNext/>
        <w:spacing w:after="24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0" distR="0">
            <wp:extent cx="5938520" cy="6680835"/>
            <wp:effectExtent l="0" t="0" r="0" b="0"/>
            <wp:docPr id="102" name="图T 02 文件与提交差异审查时序" descr="图T 02 文件与提交差异审查时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图T 02 文件与提交差异审查时序" descr="图T 02 文件与提交差异审查时序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668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762E4">
      <w:pPr>
        <w:spacing w:after="16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sz w:val="20"/>
          <w:szCs w:val="20"/>
          <w:lang w:eastAsia="zh-CN"/>
        </w:rPr>
        <w:t>图</w:t>
      </w:r>
      <w:r>
        <w:rPr>
          <w:rFonts w:hint="eastAsia" w:ascii="宋体" w:hAnsi="宋体" w:eastAsia="宋体" w:cs="宋体"/>
          <w:sz w:val="20"/>
          <w:szCs w:val="20"/>
        </w:rPr>
        <w:t>2 文件与提交差异审查时序</w:t>
      </w:r>
    </w:p>
    <w:p w14:paraId="41DA326A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eastAsia="zh-CN"/>
        </w:rPr>
        <w:t>图</w:t>
      </w:r>
      <w:r>
        <w:rPr>
          <w:rFonts w:hint="eastAsia" w:ascii="宋体" w:hAnsi="宋体" w:eastAsia="宋体" w:cs="宋体"/>
        </w:rPr>
        <w:t>2 描述</w:t>
      </w:r>
      <w:r>
        <w:rPr>
          <w:rFonts w:hint="eastAsia" w:ascii="宋体" w:hAnsi="宋体" w:eastAsia="宋体" w:cs="宋体"/>
          <w:lang w:val="en-US" w:eastAsia="zh-CN"/>
        </w:rPr>
        <w:t>了系统的</w:t>
      </w:r>
      <w:r>
        <w:rPr>
          <w:rFonts w:hint="eastAsia" w:ascii="宋体" w:hAnsi="宋体" w:eastAsia="宋体" w:cs="宋体"/>
        </w:rPr>
        <w:t>两条输入入口及共同的记录生命周期。</w:t>
      </w:r>
      <w:r>
        <w:rPr>
          <w:rFonts w:hint="eastAsia" w:ascii="宋体" w:hAnsi="宋体" w:eastAsia="宋体" w:cs="宋体"/>
          <w:lang w:val="en-US" w:eastAsia="zh-CN"/>
        </w:rPr>
        <w:t>用户可以选择</w:t>
      </w:r>
      <w:r>
        <w:rPr>
          <w:rFonts w:hint="eastAsia" w:ascii="宋体" w:hAnsi="宋体" w:eastAsia="宋体" w:cs="宋体"/>
        </w:rPr>
        <w:t>分支和文件范围发起全文审查</w:t>
      </w:r>
      <w:r>
        <w:rPr>
          <w:rFonts w:hint="eastAsia" w:ascii="宋体" w:hAnsi="宋体" w:eastAsia="宋体" w:cs="宋体"/>
          <w:lang w:eastAsia="zh-CN"/>
        </w:rPr>
        <w:t>，</w:t>
      </w:r>
      <w:r>
        <w:rPr>
          <w:rFonts w:hint="eastAsia" w:ascii="宋体" w:hAnsi="宋体" w:eastAsia="宋体" w:cs="宋体"/>
          <w:lang w:val="en-US" w:eastAsia="zh-CN"/>
        </w:rPr>
        <w:t>也可以选择单个提交</w:t>
      </w:r>
      <w:r>
        <w:rPr>
          <w:rFonts w:hint="eastAsia" w:ascii="宋体" w:hAnsi="宋体" w:eastAsia="宋体" w:cs="宋体"/>
        </w:rPr>
        <w:t>和变更文件发起 diff 审查。</w:t>
      </w:r>
      <w:r>
        <w:rPr>
          <w:rFonts w:hint="eastAsia" w:ascii="宋体" w:hAnsi="宋体" w:eastAsia="宋体" w:cs="宋体"/>
          <w:lang w:val="en-US" w:eastAsia="zh-CN"/>
        </w:rPr>
        <w:t>审查</w:t>
      </w:r>
      <w:r>
        <w:rPr>
          <w:rFonts w:hint="eastAsia" w:ascii="宋体" w:hAnsi="宋体" w:eastAsia="宋体" w:cs="宋体"/>
        </w:rPr>
        <w:t>材料</w:t>
      </w:r>
      <w:r>
        <w:rPr>
          <w:rFonts w:hint="eastAsia" w:ascii="宋体" w:hAnsi="宋体" w:eastAsia="宋体" w:cs="宋体"/>
          <w:lang w:val="en-US" w:eastAsia="zh-CN"/>
        </w:rPr>
        <w:t>的</w:t>
      </w:r>
      <w:r>
        <w:rPr>
          <w:rFonts w:hint="eastAsia" w:ascii="宋体" w:hAnsi="宋体" w:eastAsia="宋体" w:cs="宋体"/>
        </w:rPr>
        <w:t>制备由分析器内部完成，浏览器通过轮询</w:t>
      </w:r>
      <w:r>
        <w:rPr>
          <w:rFonts w:hint="eastAsia" w:ascii="宋体" w:hAnsi="宋体" w:eastAsia="宋体" w:cs="宋体"/>
          <w:lang w:val="en-US" w:eastAsia="zh-CN"/>
        </w:rPr>
        <w:t>获取</w:t>
      </w:r>
      <w:r>
        <w:rPr>
          <w:rFonts w:hint="eastAsia" w:ascii="宋体" w:hAnsi="宋体" w:eastAsia="宋体" w:cs="宋体"/>
        </w:rPr>
        <w:t>状态，人工标记另行保存。</w:t>
      </w:r>
    </w:p>
    <w:p w14:paraId="544F00A2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触发</w:t>
      </w:r>
      <w:r>
        <w:rPr>
          <w:rFonts w:hint="eastAsia" w:ascii="宋体" w:hAnsi="宋体" w:eastAsia="宋体" w:cs="宋体"/>
          <w:lang w:val="en-US" w:eastAsia="zh-CN"/>
        </w:rPr>
        <w:t>审查</w:t>
      </w:r>
      <w:r>
        <w:rPr>
          <w:rFonts w:hint="eastAsia" w:ascii="宋体" w:hAnsi="宋体" w:eastAsia="宋体" w:cs="宋体"/>
        </w:rPr>
        <w:t>时，ReviewService 校验项目、策略和模型，保存分支、范围及策略模型提示词快照，并创建排队记录。</w:t>
      </w:r>
    </w:p>
    <w:p w14:paraId="770F6ABC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异步执行开始后写入</w:t>
      </w:r>
      <w:r>
        <w:rPr>
          <w:rFonts w:hint="eastAsia" w:ascii="宋体" w:hAnsi="宋体" w:eastAsia="宋体" w:cs="宋体"/>
          <w:lang w:val="en-US" w:eastAsia="zh-CN"/>
        </w:rPr>
        <w:t>开始时间</w:t>
      </w:r>
      <w:r>
        <w:rPr>
          <w:rFonts w:hint="eastAsia" w:ascii="宋体" w:hAnsi="宋体" w:eastAsia="宋体" w:cs="宋体"/>
        </w:rPr>
        <w:t>和进度，分析器获取原文或</w:t>
      </w:r>
      <w:r>
        <w:rPr>
          <w:rFonts w:hint="eastAsia" w:ascii="宋体" w:hAnsi="宋体" w:eastAsia="宋体" w:cs="宋体"/>
          <w:lang w:val="en-US" w:eastAsia="zh-CN"/>
        </w:rPr>
        <w:t>代码片段</w:t>
      </w:r>
      <w:r>
        <w:rPr>
          <w:rFonts w:hint="eastAsia" w:ascii="宋体" w:hAnsi="宋体" w:eastAsia="宋体" w:cs="宋体"/>
        </w:rPr>
        <w:t>、制备</w:t>
      </w:r>
      <w:r>
        <w:rPr>
          <w:rFonts w:hint="eastAsia" w:ascii="宋体" w:hAnsi="宋体" w:eastAsia="宋体" w:cs="宋体"/>
          <w:lang w:val="en-US" w:eastAsia="zh-CN"/>
        </w:rPr>
        <w:t>代码</w:t>
      </w:r>
      <w:r>
        <w:rPr>
          <w:rFonts w:hint="eastAsia" w:ascii="宋体" w:hAnsi="宋体" w:eastAsia="宋体" w:cs="宋体"/>
        </w:rPr>
        <w:t>单元、调用模型并聚合结果。结束时写入 resultJson、</w:t>
      </w:r>
      <w:r>
        <w:rPr>
          <w:rFonts w:hint="eastAsia" w:ascii="宋体" w:hAnsi="宋体" w:eastAsia="宋体" w:cs="宋体"/>
          <w:lang w:val="en-US" w:eastAsia="zh-CN"/>
        </w:rPr>
        <w:t>结束时间</w:t>
      </w:r>
      <w:r>
        <w:rPr>
          <w:rFonts w:hint="eastAsia" w:ascii="宋体" w:hAnsi="宋体" w:eastAsia="宋体" w:cs="宋体"/>
        </w:rPr>
        <w:t>和终态。界面耗时从实际开始到完成，不包含排队时间。</w:t>
      </w:r>
    </w:p>
    <w:tbl>
      <w:tblPr>
        <w:tblStyle w:val="15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6803"/>
      </w:tblGrid>
      <w:tr w14:paraId="78440D9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6E307EF9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  <w:t>状态值</w:t>
            </w:r>
          </w:p>
        </w:tc>
        <w:tc>
          <w:tcPr>
            <w:shd w:val="clear" w:color="auto" w:fill="F3F3F3"/>
            <w:vAlign w:val="center"/>
          </w:tcPr>
          <w:p w14:paraId="1C9D1B4B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  <w:t>界面含义与解释</w:t>
            </w:r>
          </w:p>
        </w:tc>
      </w:tr>
      <w:tr w14:paraId="0A9C7A2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76BCC72E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0</w:t>
            </w:r>
          </w:p>
        </w:tc>
        <w:tc>
          <w:tcPr>
            <w:vAlign w:val="center"/>
          </w:tcPr>
          <w:p w14:paraId="55A07169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排队中，任务尚未开始执行</w:t>
            </w:r>
          </w:p>
        </w:tc>
      </w:tr>
      <w:tr w14:paraId="3D6432D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573C4A5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1</w:t>
            </w:r>
          </w:p>
        </w:tc>
        <w:tc>
          <w:tcPr>
            <w:vAlign w:val="center"/>
          </w:tcPr>
          <w:p w14:paraId="6C86E215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执行中</w:t>
            </w:r>
          </w:p>
        </w:tc>
      </w:tr>
      <w:tr w14:paraId="59AEFD5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CA5A2EF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2</w:t>
            </w:r>
          </w:p>
        </w:tc>
        <w:tc>
          <w:tcPr>
            <w:vAlign w:val="center"/>
          </w:tcPr>
          <w:p w14:paraId="3720E5DE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成功，分析过程完成</w:t>
            </w:r>
          </w:p>
        </w:tc>
      </w:tr>
      <w:tr w14:paraId="0C741B1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9E1B72E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3</w:t>
            </w:r>
          </w:p>
        </w:tc>
        <w:tc>
          <w:tcPr>
            <w:vAlign w:val="center"/>
          </w:tcPr>
          <w:p w14:paraId="40BA6548">
            <w:pPr>
              <w:keepNext w:val="0"/>
              <w:keepLines/>
              <w:spacing w:after="0" w:line="240" w:lineRule="auto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失败，</w:t>
            </w: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获取代码或审查时出错</w:t>
            </w:r>
          </w:p>
        </w:tc>
      </w:tr>
      <w:tr w14:paraId="7A35912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4EBDCE4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4</w:t>
            </w:r>
          </w:p>
        </w:tc>
        <w:tc>
          <w:tcPr>
            <w:vAlign w:val="center"/>
          </w:tcPr>
          <w:p w14:paraId="529FDEB5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部分成功，已有结果可读</w:t>
            </w:r>
          </w:p>
        </w:tc>
      </w:tr>
    </w:tbl>
    <w:p w14:paraId="0DB7BB31">
      <w:pPr>
        <w:spacing w:after="240"/>
        <w:jc w:val="both"/>
        <w:rPr>
          <w:rFonts w:hint="eastAsia" w:ascii="宋体" w:hAnsi="宋体" w:eastAsia="宋体" w:cs="宋体"/>
        </w:rPr>
      </w:pPr>
    </w:p>
    <w:p w14:paraId="5C030BE3">
      <w:pPr>
        <w:pStyle w:val="2"/>
        <w:rPr>
          <w:rFonts w:hint="eastAsia" w:ascii="宋体" w:hAnsi="宋体" w:eastAsia="宋体" w:cs="宋体"/>
        </w:rPr>
        <w:outlineLvl w:val="0"/>
      </w:pPr>
      <w:bookmarkStart w:id="130" w:name="DeliveryTChapter5"/>
      <w:r>
        <w:rPr>
          <w:rFonts w:hint="eastAsia" w:ascii="宋体" w:hAnsi="宋体" w:eastAsia="宋体" w:cs="宋体"/>
        </w:rPr>
        <w:t>5 AI 大模型设置方法</w:t>
      </w:r>
      <w:bookmarkEnd w:id="130"/>
    </w:p>
    <w:p w14:paraId="231BA2D9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模型接入需要四项数据：配置名称、接口地址、Token 和模型名。名称用于选择配置；模型名必须是网关接受的请求标识；Token 为请求用令牌。创建或修改模型后会尝试连通验证，失败仍保留配置并呈现失败状态。</w:t>
      </w:r>
    </w:p>
    <w:p w14:paraId="02ED5B4D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推荐接入顺序为：取得现场网关根地址和模型标识 → 在“模型”中新建 → 点击“验证” → 用一个小范围审查验证 JSON 与实际输出 → 在策略中选择该模型。验证按钮使用 max_tokens 为 1 的极简</w:t>
      </w:r>
      <w:r>
        <w:rPr>
          <w:rFonts w:hint="eastAsia" w:ascii="宋体" w:hAnsi="宋体" w:eastAsia="宋体" w:cs="宋体"/>
          <w:lang w:val="en-US" w:eastAsia="zh-CN"/>
        </w:rPr>
        <w:t>请求</w:t>
      </w:r>
      <w:r>
        <w:rPr>
          <w:rFonts w:hint="eastAsia" w:ascii="宋体" w:hAnsi="宋体" w:eastAsia="宋体" w:cs="宋体"/>
        </w:rPr>
        <w:t>，只证明该请求得到正常响应。首次启动从 YAML 建立的默认模型直接标为成功，仍应人工点击验证并执行实际小例。</w:t>
      </w:r>
    </w:p>
    <w:tbl>
      <w:tblPr>
        <w:tblStyle w:val="15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6803"/>
      </w:tblGrid>
      <w:tr w14:paraId="1005DCF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3FE63C16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  <w:t>参数</w:t>
            </w:r>
          </w:p>
        </w:tc>
        <w:tc>
          <w:tcPr>
            <w:shd w:val="clear" w:color="auto" w:fill="F3F3F3"/>
            <w:vAlign w:val="center"/>
          </w:tcPr>
          <w:p w14:paraId="62851762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  <w:t>设置位置与当前行为</w:t>
            </w:r>
          </w:p>
        </w:tc>
      </w:tr>
      <w:tr w14:paraId="467281A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7FFCD602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baseUrl token modelName</w:t>
            </w:r>
          </w:p>
        </w:tc>
        <w:tc>
          <w:tcPr>
            <w:vAlign w:val="center"/>
          </w:tcPr>
          <w:p w14:paraId="7CE1FC7C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模型界面，持久化到 model_config；策略绑定 modelConfigId</w:t>
            </w:r>
          </w:p>
        </w:tc>
      </w:tr>
      <w:tr w14:paraId="7AB5FE4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D2EB866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deepseek.base-url api-key model</w:t>
            </w:r>
          </w:p>
        </w:tc>
        <w:tc>
          <w:tcPr>
            <w:vAlign w:val="center"/>
          </w:tcPr>
          <w:p w14:paraId="6E7DA058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YAML 默认模型 seed；模型表已有记录时不自动覆盖</w:t>
            </w:r>
          </w:p>
        </w:tc>
      </w:tr>
      <w:tr w14:paraId="2E059FD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551F26F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temperature</w:t>
            </w:r>
          </w:p>
        </w:tc>
        <w:tc>
          <w:tcPr>
            <w:vAlign w:val="center"/>
          </w:tcPr>
          <w:p w14:paraId="4ABBFA45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正式调用固定为 0，页面不可调；不保证多次结果语义相同</w:t>
            </w:r>
          </w:p>
        </w:tc>
      </w:tr>
      <w:tr w14:paraId="069F308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8B8AD0F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response_format</w:t>
            </w:r>
          </w:p>
        </w:tc>
        <w:tc>
          <w:tcPr>
            <w:vAlign w:val="center"/>
          </w:tcPr>
          <w:p w14:paraId="7C1773CD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JSON 调用传 json_object；普通调用不传；不是 JSON Schema 约束</w:t>
            </w:r>
          </w:p>
        </w:tc>
      </w:tr>
      <w:tr w14:paraId="536A629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3009F42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messages</w:t>
            </w:r>
          </w:p>
        </w:tc>
        <w:tc>
          <w:tcPr>
            <w:vAlign w:val="center"/>
          </w:tcPr>
          <w:p w14:paraId="60E9E22E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正式请求为 system 与 user；ping 仅发送 user 内容</w:t>
            </w:r>
          </w:p>
        </w:tc>
      </w:tr>
      <w:tr w14:paraId="061F9B9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25BAE4FF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max_tokens</w:t>
            </w:r>
          </w:p>
        </w:tc>
        <w:tc>
          <w:tcPr>
            <w:vAlign w:val="center"/>
          </w:tcPr>
          <w:p w14:paraId="4E67848B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仅 ping 设置为 1；正式审查与报告未设置；界面无该字段</w:t>
            </w:r>
          </w:p>
        </w:tc>
      </w:tr>
      <w:tr w14:paraId="34628DE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37C211F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connect-timeout-ms</w:t>
            </w:r>
          </w:p>
        </w:tc>
        <w:tc>
          <w:tcPr>
            <w:vAlign w:val="center"/>
          </w:tcPr>
          <w:p w14:paraId="61F31C35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YAML，默认 10000 毫秒；非正值回退默认</w:t>
            </w:r>
          </w:p>
        </w:tc>
      </w:tr>
      <w:tr w14:paraId="72D0DB5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A7A0FAC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read-timeout-ms</w:t>
            </w:r>
          </w:p>
        </w:tc>
        <w:tc>
          <w:tcPr>
            <w:vAlign w:val="center"/>
          </w:tcPr>
          <w:p w14:paraId="46966C75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YAML，默认 300000 毫秒；非正值回退默认</w:t>
            </w:r>
          </w:p>
        </w:tc>
      </w:tr>
    </w:tbl>
    <w:p w14:paraId="45F95055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JSON 路径的请求结构如下，Authorization 使用 Bearer 令牌。图源和文档不保存真实令牌。</w:t>
      </w:r>
    </w:p>
    <w:p w14:paraId="475B28FD">
      <w:pPr>
        <w:spacing w:after="120"/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sz w:val="20"/>
          <w:szCs w:val="20"/>
        </w:rPr>
        <w:t>{</w:t>
      </w:r>
    </w:p>
    <w:p w14:paraId="7FAA1C83">
      <w:pPr>
        <w:spacing w:after="120"/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sz w:val="20"/>
          <w:szCs w:val="20"/>
        </w:rPr>
        <w:t xml:space="preserve">  "model": "&lt;现场模型标识&gt;",</w:t>
      </w:r>
    </w:p>
    <w:p w14:paraId="23888283">
      <w:pPr>
        <w:spacing w:after="120"/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sz w:val="20"/>
          <w:szCs w:val="20"/>
        </w:rPr>
        <w:t xml:space="preserve">  "temperature": 0,</w:t>
      </w:r>
    </w:p>
    <w:p w14:paraId="4485CA13">
      <w:pPr>
        <w:spacing w:after="120"/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sz w:val="20"/>
          <w:szCs w:val="20"/>
        </w:rPr>
        <w:t xml:space="preserve">  "response_format": {"type": "json_object"},</w:t>
      </w:r>
    </w:p>
    <w:p w14:paraId="7B7CD40E">
      <w:pPr>
        <w:spacing w:after="120"/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sz w:val="20"/>
          <w:szCs w:val="20"/>
        </w:rPr>
        <w:t xml:space="preserve">  "messages": [</w:t>
      </w:r>
    </w:p>
    <w:p w14:paraId="6A0E0C6F">
      <w:pPr>
        <w:spacing w:after="120"/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sz w:val="20"/>
          <w:szCs w:val="20"/>
        </w:rPr>
        <w:t xml:space="preserve">    {"role": "system", "content": "角色与格式要求"},</w:t>
      </w:r>
    </w:p>
    <w:p w14:paraId="21C6D69E">
      <w:pPr>
        <w:spacing w:after="120"/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sz w:val="20"/>
          <w:szCs w:val="20"/>
        </w:rPr>
        <w:t xml:space="preserve">    {"role": "user", "content": "分析模板 关注点 输入材料"}</w:t>
      </w:r>
    </w:p>
    <w:p w14:paraId="03A99DA5">
      <w:pPr>
        <w:spacing w:after="120"/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sz w:val="20"/>
          <w:szCs w:val="20"/>
        </w:rPr>
        <w:t xml:space="preserve">  ]</w:t>
      </w:r>
    </w:p>
    <w:p w14:paraId="117ECDBA">
      <w:pPr>
        <w:spacing w:after="120"/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sz w:val="20"/>
          <w:szCs w:val="20"/>
        </w:rPr>
        <w:t>}</w:t>
      </w:r>
    </w:p>
    <w:p w14:paraId="6FBBE421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自定义提示词对不同策略有不同影响。文件 LLM、耦合和模式策略绑定非空提示词后，改用普通对话并保存自由文本；文件 LLM 的结构化 issues 可能为空。diff 的提示词作为固定 JSON 模板内的关注点，不替换输出协议。综合报告使用普通对话生成 Markdown。</w:t>
      </w:r>
      <w:bookmarkStart w:id="25" w:name="_GoBack"/>
      <w:bookmarkEnd w:id="25"/>
    </w:p>
    <w:p w14:paraId="13B51253">
      <w:pPr>
        <w:pStyle w:val="2"/>
        <w:rPr>
          <w:rFonts w:hint="eastAsia" w:ascii="宋体" w:hAnsi="宋体" w:eastAsia="宋体" w:cs="宋体"/>
        </w:rPr>
        <w:outlineLvl w:val="0"/>
      </w:pPr>
      <w:bookmarkStart w:id="131" w:name="DeliveryTChapter6"/>
      <w:r>
        <w:rPr>
          <w:rFonts w:hint="eastAsia" w:ascii="宋体" w:hAnsi="宋体" w:eastAsia="宋体" w:cs="宋体"/>
        </w:rPr>
        <w:t>6 分析方法与输入边界</w:t>
      </w:r>
      <w:bookmarkEnd w:id="131"/>
    </w:p>
    <w:p w14:paraId="591C29F1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全文审查默认按文件生成单元。超过</w:t>
      </w:r>
      <w:r>
        <w:rPr>
          <w:rFonts w:hint="eastAsia" w:ascii="宋体" w:hAnsi="宋体" w:eastAsia="宋体" w:cs="宋体"/>
          <w:lang w:val="en-US" w:eastAsia="zh-CN"/>
        </w:rPr>
        <w:t>设定的阈值（</w:t>
      </w:r>
      <w:r>
        <w:rPr>
          <w:rFonts w:hint="eastAsia" w:ascii="宋体" w:hAnsi="宋体" w:eastAsia="宋体" w:cs="宋体"/>
        </w:rPr>
        <w:t>chunk-max-chars</w:t>
      </w:r>
      <w:r>
        <w:rPr>
          <w:rFonts w:hint="eastAsia" w:ascii="宋体" w:hAnsi="宋体" w:eastAsia="宋体" w:cs="宋体"/>
          <w:lang w:val="en-US" w:eastAsia="zh-CN"/>
        </w:rPr>
        <w:t>=140000字符）</w:t>
      </w:r>
      <w:r>
        <w:rPr>
          <w:rFonts w:hint="eastAsia" w:ascii="宋体" w:hAnsi="宋体" w:eastAsia="宋体" w:cs="宋体"/>
        </w:rPr>
        <w:t>时优先按方法或构造器边界切分，失败时按行切分。多文件合并</w:t>
      </w:r>
      <w:r>
        <w:rPr>
          <w:rFonts w:hint="eastAsia" w:ascii="宋体" w:hAnsi="宋体" w:eastAsia="宋体" w:cs="宋体"/>
          <w:lang w:val="en-US" w:eastAsia="zh-CN"/>
        </w:rPr>
        <w:t>审查时，</w:t>
      </w:r>
      <w:r>
        <w:rPr>
          <w:rFonts w:hint="eastAsia" w:ascii="宋体" w:hAnsi="宋体" w:eastAsia="宋体" w:cs="宋体"/>
        </w:rPr>
        <w:t>会把材料放入一次调用</w:t>
      </w:r>
      <w:r>
        <w:rPr>
          <w:rFonts w:hint="eastAsia" w:ascii="宋体" w:hAnsi="宋体" w:eastAsia="宋体" w:cs="宋体"/>
          <w:lang w:val="en-US" w:eastAsia="zh-CN"/>
        </w:rPr>
        <w:t>请求中</w:t>
      </w:r>
      <w:r>
        <w:rPr>
          <w:rFonts w:hint="eastAsia" w:ascii="宋体" w:hAnsi="宋体" w:eastAsia="宋体" w:cs="宋体"/>
        </w:rPr>
        <w:t>，超过阈值直接失败，不再自动拆分。</w:t>
      </w:r>
    </w:p>
    <w:p w14:paraId="39FBFB58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diff 审查以第一父提交到当前提交为基线，merge 提交也按第一父提交。Java 尽量补全新侧方法体并按变更行窗口裁剪，无法制备时回退 hunk 或全文；默认窗口 60 行，内部最小 10 行。单个文件可能形成多个单元，超过 50 个实际单元会失败并要求分批。前端“预估单元数”实为可审查文件数，不能作为真实调用次数。</w:t>
      </w:r>
    </w:p>
    <w:p w14:paraId="61A4C18A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耦合度的边来自所选源码中非静态、非通配的显式 import，目标类也必须在当前抽取集合内。未使用 symbol-solver，结果不覆盖同包引用、反射、运行时注入和完整调用关系。只抽取顶层类型；Lombok 生成的方法与内部匿名类型不构成完整结构材料。原文或解析失败文件可能被跳过，因此“未发现循环”仅适用于成功制备的范围。</w:t>
      </w:r>
    </w:p>
    <w:p w14:paraId="2091EC1A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类级高耦合条件为 fanOut 大于策略 threshold，默认 10。循环采用 Tarjan 强连通分量，表示依赖图中的环而非证明运行时递归。包级模块按共同包根的下一段聚合：Ca 为依赖该模块的去重模块数，Ce 为该模块依赖的去重模块数，I = Ce / (Ca + Ce)，结果保留两位小数；无边时 I 为 0。模块高耦合条件固定为 Ce 大于 3 且 I 不小于 0.8，与类阈值分开解释。</w:t>
      </w:r>
    </w:p>
    <w:p w14:paraId="2E5B2CD1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设计模式识别主要依赖结构摘要，没有所有方法体的业务上下文。模型置信度为其输出值，不能当作经校准的概率。</w:t>
      </w:r>
    </w:p>
    <w:p w14:paraId="5991CAB3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外部 API 分析支持触发与一次查询，未实现持续等待 SonarQube 等外部任务完成的统一轮询；应结合外部结果链接核对原始产物。</w:t>
      </w:r>
    </w:p>
    <w:p w14:paraId="4A456300">
      <w:pPr>
        <w:pStyle w:val="2"/>
        <w:rPr>
          <w:rFonts w:hint="eastAsia" w:ascii="宋体" w:hAnsi="宋体" w:eastAsia="宋体" w:cs="宋体"/>
        </w:rPr>
        <w:outlineLvl w:val="0"/>
      </w:pPr>
      <w:bookmarkStart w:id="132" w:name="DeliveryTChapter7"/>
      <w:r>
        <w:rPr>
          <w:rFonts w:hint="eastAsia" w:ascii="宋体" w:hAnsi="宋体" w:eastAsia="宋体" w:cs="宋体"/>
        </w:rPr>
        <w:t>7 调度</w:t>
      </w:r>
      <w:r>
        <w:rPr>
          <w:rFonts w:hint="eastAsia" w:ascii="宋体" w:hAnsi="宋体" w:eastAsia="宋体" w:cs="宋体"/>
          <w:lang w:eastAsia="zh-CN"/>
        </w:rPr>
        <w:t>、</w:t>
      </w:r>
      <w:r>
        <w:rPr>
          <w:rFonts w:hint="eastAsia" w:ascii="宋体" w:hAnsi="宋体" w:eastAsia="宋体" w:cs="宋体"/>
        </w:rPr>
        <w:t>数据与可靠性</w:t>
      </w:r>
      <w:bookmarkEnd w:id="132"/>
    </w:p>
    <w:tbl>
      <w:tblPr>
        <w:tblStyle w:val="15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6803"/>
      </w:tblGrid>
      <w:tr w14:paraId="592FB98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40455B4D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  <w:t>参数或机制</w:t>
            </w:r>
          </w:p>
        </w:tc>
        <w:tc>
          <w:tcPr>
            <w:shd w:val="clear" w:color="auto" w:fill="F3F3F3"/>
            <w:vAlign w:val="center"/>
          </w:tcPr>
          <w:p w14:paraId="1B4D8887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  <w:t>当前配置与约束</w:t>
            </w:r>
          </w:p>
        </w:tc>
      </w:tr>
      <w:tr w14:paraId="491C133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4E4435D7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记录级任务池</w:t>
            </w:r>
          </w:p>
        </w:tc>
        <w:tc>
          <w:tcPr>
            <w:vAlign w:val="center"/>
          </w:tcPr>
          <w:p w14:paraId="5FCF5994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core 2 max 4 queue 100；审查与报告共享</w:t>
            </w:r>
          </w:p>
        </w:tc>
      </w:tr>
      <w:tr w14:paraId="4678C10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598F2FB3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单元级任务池</w:t>
            </w:r>
          </w:p>
        </w:tc>
        <w:tc>
          <w:tcPr>
            <w:vAlign w:val="center"/>
          </w:tcPr>
          <w:p w14:paraId="072EA374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review.concurrency 默认 4；core 与 max 相同，queue 1000；用于全文与 diff 单元</w:t>
            </w:r>
          </w:p>
        </w:tc>
      </w:tr>
      <w:tr w14:paraId="57B5809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63D7DE4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自动重试</w:t>
            </w:r>
          </w:p>
        </w:tc>
        <w:tc>
          <w:tcPr>
            <w:vAlign w:val="center"/>
          </w:tcPr>
          <w:p w14:paraId="4774082B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retry-max 默认 3；初次加 3 次，最多 4 次调用；退避默认 1 2 4 秒</w:t>
            </w:r>
          </w:p>
        </w:tc>
      </w:tr>
      <w:tr w14:paraId="208F033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4903B9A8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可重试错误</w:t>
            </w:r>
          </w:p>
        </w:tc>
        <w:tc>
          <w:tcPr>
            <w:vAlign w:val="center"/>
          </w:tcPr>
          <w:p w14:paraId="51A47CE3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网络超时、网络访问错误、5xx、403、429；无令牌、401 和确定性解析错误不自动重试</w:t>
            </w:r>
          </w:p>
        </w:tc>
      </w:tr>
      <w:tr w14:paraId="586DE80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5DA10B9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任务预算</w:t>
            </w:r>
          </w:p>
        </w:tc>
        <w:tc>
          <w:tcPr>
            <w:vAlign w:val="center"/>
          </w:tcPr>
          <w:p w14:paraId="68088E11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task-timeout-minutes 默认 50；提交前协作检查，不是任务总耗时硬上限</w:t>
            </w:r>
          </w:p>
        </w:tc>
      </w:tr>
      <w:tr w14:paraId="6CDC473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2FF8BD2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报告聚合预算</w:t>
            </w:r>
          </w:p>
        </w:tc>
        <w:tc>
          <w:tcPr>
            <w:vAlign w:val="center"/>
          </w:tcPr>
          <w:p w14:paraId="2243F0A0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最终 user prompt 默认 140000 字符；每条聚合材料默认 20000 字符</w:t>
            </w:r>
          </w:p>
        </w:tc>
      </w:tr>
      <w:tr w14:paraId="3143C14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5B740817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结果写入</w:t>
            </w:r>
          </w:p>
        </w:tc>
        <w:tc>
          <w:tcPr>
            <w:vAlign w:val="center"/>
          </w:tcPr>
          <w:p w14:paraId="668C9773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result_json 与报告正文 MEDIUMTEXT；错误原因 VARCHAR 1000 并有界截断</w:t>
            </w:r>
          </w:p>
        </w:tc>
      </w:tr>
    </w:tbl>
    <w:p w14:paraId="0C79A583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上述单元重试循环用于文件 LLM 和 diff；耦合建议、模式识别与报告没有同一套自动重试。已经提交的单元和重试循环不持续中断 deadline，队列等待也会增加总耗时，因此默认 50 分钟不能作为“审查加报告一小时必定完成”的证明。实际业务耗时需要在指定环境和指定样本上测量。</w:t>
      </w:r>
    </w:p>
    <w:p w14:paraId="621E0744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数据库包括 sys_user、prompt、prompt_version、model_config、review_strategy、project、review_record、report、report_record 和 issue_mark 十张应用表。主键由应用分配，Long 向浏览器序列化为字符串。多数业务对象采用逻辑删除；关联由服务维护，没有物理外键。Flyway V1 至 V7 保持已有迁移不可改写，通过后续迁移增加索引、时间字段和大文本容量。</w:t>
      </w:r>
    </w:p>
    <w:p w14:paraId="168184C4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结果超过 1 MiB 时告警而非自动截断。保存失败时尝试写入有界错误并结束执行态；数据库完全不可用时仍可能只能记录日志。报告对所选记录去重后聚合，材料过大时截断单条或停止纳入后续条目；原始记录仍在库中。正式报告应检查是否裁剪，并核对选择范围、SHA 和策略快照。</w:t>
      </w:r>
    </w:p>
    <w:p w14:paraId="2245BAA8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Git Caffeine 缓存默认提交详情 200 条、原文 500 条、写后 30 分钟过期。结构物料缓存没有 TTL 与容量配置，键缺少仓库、宿主和分支维度，应关注长时间多仓使用的材料隔离风险。报告取数投影没有 status，失败记录带非空旧结果时可能仍被纳入；当前 diff 聚合名称落到默认 llm-review 标签，复核应以 type 5 快照和 commit 字段为准。</w:t>
      </w:r>
    </w:p>
    <w:p w14:paraId="48F0E48D">
      <w:pPr>
        <w:pStyle w:val="2"/>
        <w:rPr>
          <w:rFonts w:hint="eastAsia" w:ascii="宋体" w:hAnsi="宋体" w:eastAsia="宋体" w:cs="宋体"/>
        </w:rPr>
        <w:outlineLvl w:val="0"/>
      </w:pPr>
      <w:bookmarkStart w:id="133" w:name="DeliveryTChapter8"/>
      <w:r>
        <w:rPr>
          <w:rFonts w:hint="eastAsia" w:ascii="宋体" w:hAnsi="宋体" w:eastAsia="宋体" w:cs="宋体"/>
        </w:rPr>
        <w:t>8 测试方法与本次结果</w:t>
      </w:r>
      <w:bookmarkEnd w:id="133"/>
    </w:p>
    <w:p w14:paraId="4CBF6981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本次验证日期为 2026-10-13，</w:t>
      </w:r>
      <w:r>
        <w:rPr>
          <w:rFonts w:hint="eastAsia" w:ascii="宋体" w:hAnsi="宋体" w:eastAsia="宋体" w:cs="宋体"/>
          <w:lang w:val="en-US" w:eastAsia="zh-CN"/>
        </w:rPr>
        <w:t>验证的代码版本是dev分支的</w:t>
      </w:r>
      <w:r>
        <w:rPr>
          <w:rFonts w:hint="eastAsia" w:ascii="宋体" w:hAnsi="宋体" w:eastAsia="宋体" w:cs="宋体"/>
        </w:rPr>
        <w:t xml:space="preserve"> d114f62 </w:t>
      </w:r>
      <w:r>
        <w:rPr>
          <w:rFonts w:hint="eastAsia" w:ascii="宋体" w:hAnsi="宋体" w:eastAsia="宋体" w:cs="宋体"/>
          <w:lang w:val="en-US" w:eastAsia="zh-CN"/>
        </w:rPr>
        <w:t>提交，</w:t>
      </w:r>
      <w:r>
        <w:rPr>
          <w:rFonts w:hint="eastAsia" w:ascii="宋体" w:hAnsi="宋体" w:eastAsia="宋体" w:cs="宋体"/>
        </w:rPr>
        <w:t>没有使用运行配置、真实密钥或线上数据。</w:t>
      </w:r>
    </w:p>
    <w:p w14:paraId="684FA4A4">
      <w:pPr>
        <w:spacing w:after="240"/>
        <w:ind w:firstLine="480" w:firstLineChars="200"/>
        <w:jc w:val="both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后端使用 Java 17.0.20.1 和本地 Maven 离线依赖执行完整测试；前端使用 Node 24.19.0 与已有依赖执行测试、类型检查和构建。</w:t>
      </w:r>
      <w:r>
        <w:rPr>
          <w:rFonts w:hint="eastAsia" w:ascii="宋体" w:hAnsi="宋体" w:eastAsia="宋体" w:cs="宋体"/>
          <w:lang w:val="en-US" w:eastAsia="zh-CN"/>
        </w:rPr>
        <w:t>测试情况如下。</w:t>
      </w:r>
    </w:p>
    <w:tbl>
      <w:tblPr>
        <w:tblStyle w:val="15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6803"/>
      </w:tblGrid>
      <w:tr w14:paraId="0196548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1F24AE4B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  <w:t>检查</w:t>
            </w:r>
          </w:p>
        </w:tc>
        <w:tc>
          <w:tcPr>
            <w:shd w:val="clear" w:color="auto" w:fill="F3F3F3"/>
            <w:vAlign w:val="center"/>
          </w:tcPr>
          <w:p w14:paraId="2203C231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105128"/>
                <w:sz w:val="20"/>
                <w:szCs w:val="20"/>
              </w:rPr>
              <w:t>本次结果</w:t>
            </w:r>
          </w:p>
        </w:tc>
      </w:tr>
      <w:tr w14:paraId="6B7CFAB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7D813122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后端完整测试</w:t>
            </w:r>
          </w:p>
        </w:tc>
        <w:tc>
          <w:tcPr>
            <w:vAlign w:val="center"/>
          </w:tcPr>
          <w:p w14:paraId="12854C31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335 项，326 通过，9 跳过，0 失败，0 错误；构建摘要 SUCCESS</w:t>
            </w:r>
          </w:p>
        </w:tc>
      </w:tr>
      <w:tr w14:paraId="12F92FE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B81E28C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前端完整测试</w:t>
            </w:r>
          </w:p>
        </w:tc>
        <w:tc>
          <w:tcPr>
            <w:vAlign w:val="center"/>
          </w:tcPr>
          <w:p w14:paraId="1575E148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39 个测试文件，347 项全部通过</w:t>
            </w:r>
          </w:p>
        </w:tc>
      </w:tr>
      <w:tr w14:paraId="5D7FF05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26816E47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前端类型检查</w:t>
            </w:r>
          </w:p>
        </w:tc>
        <w:tc>
          <w:tcPr>
            <w:vAlign w:val="center"/>
          </w:tcPr>
          <w:p w14:paraId="448CB425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退出码 0，通过</w:t>
            </w:r>
          </w:p>
        </w:tc>
      </w:tr>
      <w:tr w14:paraId="3BDFE7A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598C7410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前端隔离构建</w:t>
            </w:r>
          </w:p>
        </w:tc>
        <w:tc>
          <w:tcPr>
            <w:vAlign w:val="center"/>
          </w:tcPr>
          <w:p w14:paraId="16FC9669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通过；15.87 秒为此次构建过程耗时，不是业务处理性能</w:t>
            </w:r>
          </w:p>
        </w:tc>
      </w:tr>
      <w:tr w14:paraId="5A34E66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E561FBB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GitHub Actions 与内网部署</w:t>
            </w:r>
          </w:p>
        </w:tc>
        <w:tc>
          <w:tcPr>
            <w:vAlign w:val="center"/>
          </w:tcPr>
          <w:p w14:paraId="21597134">
            <w:pPr>
              <w:keepNext w:val="0"/>
              <w:keepLines/>
              <w:spacing w:after="0" w:line="240" w:lineRule="auto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已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确认</w:t>
            </w: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打包的镜像能在内网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部署成功</w:t>
            </w:r>
          </w:p>
        </w:tc>
      </w:tr>
    </w:tbl>
    <w:p w14:paraId="2870B4F5">
      <w:pPr>
        <w:spacing w:after="240"/>
        <w:ind w:firstLine="480" w:firstLineChars="200"/>
        <w:jc w:val="both"/>
        <w:rPr>
          <w:rFonts w:hint="eastAsia" w:ascii="宋体" w:hAnsi="宋体" w:eastAsia="宋体" w:cs="宋体"/>
        </w:rPr>
      </w:pPr>
    </w:p>
    <w:sectPr>
      <w:footerReference r:id="rId3" w:type="default"/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B0D122FB-3DC9-43AF-A614-3A6303002415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CDFF3B97-9BA8-4F83-83DF-F0C5C69A10BE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A01E8A5A-EA5A-4E59-B706-176A2509F1DC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497CCD9E-50BF-4774-9821-9B93C479DCE1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3F0ED3B5-31FB-4458-8544-74C8CC568416}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  <w:embedRegular r:id="rId6" w:fontKey="{BD0E940B-2D9F-43F8-9C27-A711FD880B0F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7" w:fontKey="{5C2107D1-D72B-4EBB-B0A9-0ECA6096A459}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  <w:embedRegular r:id="rId8" w:fontKey="{81D12C2A-D35F-4D28-8280-2BB8E37180BF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116">
    <w:pPr>
      <w:rPr>
        <w:color w:val="002715"/>
      </w:rPr>
    </w:pPr>
  </w:p>
  <w:tbl>
    <w:tblPr>
      <w:tblStyle w:val="22"/>
      <w:tblW w:w="9360" w:type="dxa"/>
      <w:tblInd w:w="0" w:type="dxa"/>
      <w:tblLayout w:type="fixed"/>
      <w:tblCellMar>
        <w:top w:w="100" w:type="dxa"/>
        <w:left w:w="100" w:type="dxa"/>
        <w:bottom w:w="100" w:type="dxa"/>
        <w:right w:w="100" w:type="dxa"/>
      </w:tblCellMar>
    </w:tblPr>
    <w:tblGrid>
      <w:gridCol w:w="4680"/>
      <w:gridCol w:w="4680"/>
    </w:tblGrid>
    <w:tr w14:paraId="6BF7EF09">
      <w:tblPrEx>
        <w:tblCellMar>
          <w:top w:w="100" w:type="dxa"/>
          <w:left w:w="100" w:type="dxa"/>
          <w:bottom w:w="100" w:type="dxa"/>
          <w:right w:w="100" w:type="dxa"/>
        </w:tblCellMar>
      </w:tblPrEx>
      <w:tc>
        <w:tcPr>
          <w:tcBorders>
            <w:top w:val="nil"/>
            <w:left w:val="nil"/>
            <w:bottom w:val="nil"/>
            <w:right w:val="nil"/>
          </w:tcBorders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  <w:vAlign w:val="top"/>
        </w:tcPr>
        <w:p w14:paraId="00000117"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left"/>
            <w:rPr>
              <w:rFonts w:ascii="Georgia" w:hAnsi="Georgia" w:eastAsia="Georgia" w:cs="Georgia"/>
              <w:color w:val="105128"/>
              <w:sz w:val="18"/>
              <w:szCs w:val="18"/>
            </w:rPr>
          </w:pPr>
          <w:r>
            <w:rPr>
              <w:rFonts w:hint="eastAsia" w:ascii="Georgia" w:hAnsi="Georgia" w:eastAsia="宋体" w:cs="Georgia"/>
              <w:color w:val="105128"/>
              <w:sz w:val="18"/>
              <w:szCs w:val="18"/>
              <w:rtl w:val="0"/>
              <w:lang w:eastAsia="zh-CN"/>
            </w:rPr>
            <w:t>基于AI的智能代码分析工具</w:t>
          </w:r>
          <w:r>
            <w:rPr>
              <w:rFonts w:ascii="Georgia" w:hAnsi="Georgia" w:eastAsia="Georgia" w:cs="Georgia"/>
              <w:color w:val="105128"/>
              <w:sz w:val="18"/>
              <w:szCs w:val="18"/>
              <w:rtl w:val="0"/>
            </w:rPr>
            <w:t xml:space="preserve"> 技术报告</w:t>
          </w:r>
        </w:p>
      </w:tc>
      <w:tc>
        <w:tcPr>
          <w:tcBorders>
            <w:top w:val="nil"/>
            <w:left w:val="nil"/>
            <w:bottom w:val="nil"/>
            <w:right w:val="nil"/>
          </w:tcBorders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  <w:vAlign w:val="top"/>
        </w:tcPr>
        <w:p w14:paraId="00000118"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right"/>
            <w:rPr>
              <w:rFonts w:ascii="Georgia" w:hAnsi="Georgia" w:eastAsia="Georgia" w:cs="Georgia"/>
              <w:color w:val="105128"/>
              <w:sz w:val="18"/>
              <w:szCs w:val="18"/>
            </w:rPr>
          </w:pPr>
          <w:r>
            <w:rPr>
              <w:rFonts w:ascii="Georgia" w:hAnsi="Georgia" w:eastAsia="Georgia" w:cs="Georgia"/>
              <w:color w:val="105128"/>
              <w:sz w:val="18"/>
              <w:szCs w:val="18"/>
            </w:rPr>
            <w:fldChar w:fldCharType="begin"/>
          </w:r>
          <w:r>
            <w:rPr>
              <w:rFonts w:ascii="Georgia" w:hAnsi="Georgia" w:eastAsia="Georgia" w:cs="Georgia"/>
              <w:color w:val="105128"/>
              <w:sz w:val="18"/>
              <w:szCs w:val="18"/>
            </w:rPr>
            <w:instrText xml:space="preserve">PAGE</w:instrText>
          </w:r>
          <w:r>
            <w:rPr>
              <w:rFonts w:ascii="Georgia" w:hAnsi="Georgia" w:eastAsia="Georgia" w:cs="Georgia"/>
              <w:color w:val="105128"/>
              <w:sz w:val="18"/>
              <w:szCs w:val="18"/>
            </w:rPr>
            <w:fldChar w:fldCharType="separate"/>
          </w:r>
          <w:r>
            <w:rPr>
              <w:rFonts w:ascii="Georgia" w:hAnsi="Georgia" w:eastAsia="Georgia" w:cs="Georgia"/>
              <w:color w:val="105128"/>
              <w:sz w:val="18"/>
              <w:szCs w:val="18"/>
            </w:rPr>
            <w:fldChar w:fldCharType="end"/>
          </w:r>
        </w:p>
      </w:tc>
    </w:tr>
  </w:tbl>
  <w:p w14:paraId="00000119">
    <w:pPr>
      <w:rPr>
        <w:color w:val="002715"/>
      </w:rPr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05451103"/>
    <w:rsid w:val="09816C22"/>
    <w:rsid w:val="16EB406B"/>
    <w:rsid w:val="174C7453"/>
    <w:rsid w:val="17680EC2"/>
    <w:rsid w:val="193823BE"/>
    <w:rsid w:val="21DB304A"/>
    <w:rsid w:val="301E2C2A"/>
    <w:rsid w:val="36A70051"/>
    <w:rsid w:val="3D3651AC"/>
    <w:rsid w:val="44D8304D"/>
    <w:rsid w:val="4A280276"/>
    <w:rsid w:val="4F8E5B53"/>
    <w:rsid w:val="56EF5668"/>
    <w:rsid w:val="5ABE5136"/>
    <w:rsid w:val="5D9C32AF"/>
    <w:rsid w:val="7AB960DA"/>
    <w:rsid w:val="7DC964C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rPr>
      <w:rFonts w:ascii="Calibri" w:hAnsi="Calibri" w:eastAsia="Calibri" w:cs="Calibri"/>
      <w:sz w:val="24"/>
      <w:szCs w:val="24"/>
      <w:lang w:val="en"/>
    </w:rPr>
  </w:style>
  <w:style w:type="paragraph" w:styleId="2">
    <w:name w:val="heading 1"/>
    <w:basedOn w:val="1"/>
    <w:next w:val="1"/>
    <w:uiPriority w:val="0"/>
    <w:pPr>
      <w:keepNext/>
      <w:keepLines/>
      <w:spacing w:before="360" w:after="80"/>
    </w:pPr>
    <w:rPr>
      <w:rFonts w:ascii="Georgia" w:hAnsi="Georgia" w:eastAsia="Georgia" w:cs="Georgia"/>
      <w:b/>
      <w:bCs/>
      <w:color w:val="1A703A"/>
      <w:sz w:val="36"/>
      <w:szCs w:val="36"/>
    </w:rPr>
  </w:style>
  <w:style w:type="paragraph" w:styleId="3">
    <w:name w:val="heading 2"/>
    <w:basedOn w:val="1"/>
    <w:next w:val="1"/>
    <w:uiPriority w:val="0"/>
    <w:pPr>
      <w:keepNext/>
      <w:keepLines/>
      <w:spacing w:before="160"/>
      <w:jc w:val="center"/>
    </w:pPr>
    <w:rPr>
      <w:rFonts w:ascii="Georgia" w:hAnsi="Georgia" w:eastAsia="Georgia" w:cs="Georgia"/>
      <w:color w:val="592382"/>
      <w:sz w:val="32"/>
      <w:szCs w:val="32"/>
    </w:rPr>
  </w:style>
  <w:style w:type="paragraph" w:styleId="4">
    <w:name w:val="heading 3"/>
    <w:basedOn w:val="1"/>
    <w:next w:val="1"/>
    <w:uiPriority w:val="0"/>
    <w:pPr>
      <w:keepNext/>
      <w:keepLines/>
      <w:spacing w:before="160"/>
      <w:jc w:val="center"/>
    </w:pPr>
    <w:rPr>
      <w:rFonts w:ascii="Georgia" w:hAnsi="Georgia" w:eastAsia="Georgia" w:cs="Georgia"/>
      <w:color w:val="592382"/>
    </w:rPr>
  </w:style>
  <w:style w:type="paragraph" w:styleId="5">
    <w:name w:val="heading 4"/>
    <w:basedOn w:val="1"/>
    <w:next w:val="1"/>
    <w:uiPriority w:val="0"/>
    <w:pPr>
      <w:keepNext/>
      <w:keepLines/>
      <w:spacing w:before="80" w:after="40"/>
    </w:pPr>
    <w:rPr>
      <w:i/>
      <w:iCs/>
      <w:color w:val="37233F"/>
    </w:rPr>
  </w:style>
  <w:style w:type="paragraph" w:styleId="6">
    <w:name w:val="heading 5"/>
    <w:basedOn w:val="1"/>
    <w:next w:val="1"/>
    <w:uiPriority w:val="0"/>
    <w:pPr>
      <w:keepNext/>
      <w:keepLines/>
      <w:spacing w:before="80" w:after="40"/>
    </w:pPr>
    <w:rPr>
      <w:color w:val="37233F"/>
    </w:rPr>
  </w:style>
  <w:style w:type="paragraph" w:styleId="7">
    <w:name w:val="heading 6"/>
    <w:basedOn w:val="1"/>
    <w:next w:val="1"/>
    <w:uiPriority w:val="0"/>
    <w:pPr>
      <w:keepNext/>
      <w:keepLines/>
      <w:spacing w:before="40"/>
    </w:pPr>
    <w:rPr>
      <w:i/>
      <w:iCs/>
      <w:color w:val="595959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1"/>
    <w:basedOn w:val="1"/>
    <w:next w:val="1"/>
    <w:uiPriority w:val="0"/>
  </w:style>
  <w:style w:type="paragraph" w:styleId="9">
    <w:name w:val="Subtitle"/>
    <w:basedOn w:val="1"/>
    <w:next w:val="1"/>
    <w:qFormat/>
    <w:uiPriority w:val="0"/>
    <w:rPr>
      <w:color w:val="595959"/>
      <w:sz w:val="28"/>
      <w:szCs w:val="28"/>
    </w:rPr>
  </w:style>
  <w:style w:type="paragraph" w:styleId="10">
    <w:name w:val="Title"/>
    <w:basedOn w:val="1"/>
    <w:next w:val="1"/>
    <w:uiPriority w:val="0"/>
    <w:pPr>
      <w:spacing w:after="80"/>
      <w:jc w:val="center"/>
    </w:pPr>
    <w:rPr>
      <w:b/>
      <w:bCs/>
      <w:color w:val="4A2E5F"/>
      <w:sz w:val="80"/>
      <w:szCs w:val="80"/>
    </w:rPr>
  </w:style>
  <w:style w:type="table" w:customStyle="1" w:styleId="13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">
    <w:name w:val="_Style 10"/>
    <w:basedOn w:val="13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_Style 11"/>
    <w:basedOn w:val="13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_Style 12"/>
    <w:basedOn w:val="13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_Style 13"/>
    <w:basedOn w:val="13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_Style 14"/>
    <w:basedOn w:val="13"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_Style 15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_Style 16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_Style 17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_Style 18"/>
    <w:basedOn w:val="13"/>
    <w:uiPriority w:val="0"/>
  </w:style>
  <w:style w:type="paragraph" w:styleId="DeliveryTocTitle">
    <w:name w:val="目录标题"/>
    <w:basedOn w:val="1"/>
    <w:pPr>
      <w:outlineLvl w:val="9"/>
      <w:spacing w:before="0" w:after="120" w:line="260" w:lineRule="auto"/>
      <w:keepNext w:val="1"/>
    </w:pPr>
    <w:rPr>
      <w:rFonts w:ascii="宋体" w:hAnsi="宋体" w:eastAsia="宋体" w:cs="宋体"/>
      <w:sz w:val="36"/>
      <w:szCs w:val="36"/>
      <w:color w:val="1A703A"/>
    </w:rPr>
  </w:style>
  <w:style w:type="paragraph" w:styleId="DeliveryToc1">
    <w:name w:val="toc 1"/>
    <w:basedOn w:val="1"/>
    <w:pPr>
      <w:outlineLvl w:val="9"/>
      <w:spacing w:before="0" w:after="120" w:line="260" w:lineRule="auto"/>
      <w:tabs>
        <w:tab w:val="right" w:leader="dot" w:pos="9360"/>
      </w:tabs>
    </w:pPr>
    <w:rPr>
      <w:rFonts w:ascii="宋体" w:hAnsi="宋体" w:eastAsia="宋体" w:cs="宋体"/>
      <w:sz w:val="21"/>
      <w:szCs w:val="21"/>
      <w:color w:val="00000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3983</Words>
  <Characters>5373</Characters>
  <TotalTime>1</TotalTime>
  <ScaleCrop>false</ScaleCrop>
  <LinksUpToDate>false</LinksUpToDate>
  <CharactersWithSpaces>5804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2026-10-14T06:12:00Z</dcterms:created>
  <dc:creator>ysx</dc:creator>
  <cp:lastModifiedBy>化け物</cp:lastModifiedBy>
  <dcterms:modified xsi:type="dcterms:W3CDTF">2026-10-14T07:22:46Z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eyJoZGlkIjoiZGJmOTZhYzk5N2JkMzJmMWY3NmFmMTk3Yjc3NGNjM2EiLCJ1c2VySWQiOiIxMzc4NDgzODQ0In0=</vt:lpwstr>
  </property>
  <property fmtid="{D5CDD505-2E9C-101B-9397-08002B2CF9AE}" pid="3" name="KSOProductBuildVer">
    <vt:lpwstr>2052-12.1.0.28505</vt:lpwstr>
  </property>
  <property fmtid="{D5CDD505-2E9C-101B-9397-08002B2CF9AE}" pid="4" name="ICV">
    <vt:lpwstr>2AAF755BFCE44E54A58E3E8965C43157_12</vt:lpwstr>
  </property>
</Properties>
</file>