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3"/>
        <w:jc w:val="center"/>
        <w:rPr>
          <w:rFonts w:ascii="宋体" w:hAnsi="宋体" w:eastAsia="宋体" w:cs="宋体"/>
          <w:color w:val="1A703A"/>
        </w:rPr>
      </w:pPr>
      <w:bookmarkStart w:id="0" w:name="_heading=h.fuuxw87etzty" w:colFirst="0" w:colLast="0"/>
      <w:bookmarkEnd w:id="0"/>
      <w:r>
        <w:rPr>
          <w:rFonts w:ascii="宋体" w:hAnsi="宋体" w:eastAsia="宋体" w:cs="宋体"/>
          <w:color w:val="1A703A"/>
          <w:rtl w:val="0"/>
        </w:rPr>
        <w:t>部署与使用手册</w:t>
      </w:r>
    </w:p>
    <w:p w14:paraId="00000002">
      <w:pPr>
        <w:rPr>
          <w:rFonts w:ascii="宋体" w:hAnsi="宋体" w:eastAsia="宋体" w:cs="宋体"/>
          <w:color w:val="002715"/>
        </w:rPr>
      </w:pPr>
    </w:p>
    <w:p w14:paraId="00000003">
      <w:pPr>
        <w:rPr>
          <w:rFonts w:ascii="宋体" w:hAnsi="宋体" w:eastAsia="宋体" w:cs="宋体"/>
          <w:color w:val="002715"/>
        </w:rPr>
      </w:pPr>
    </w:p>
    <w:p w14:paraId="00000004">
      <w:pPr>
        <w:rPr>
          <w:rFonts w:ascii="宋体" w:hAnsi="宋体" w:eastAsia="宋体" w:cs="宋体"/>
          <w:color w:val="002715"/>
        </w:rPr>
      </w:pPr>
      <w:r>
        <mc:AlternateContent>
          <mc:Choice Requires="wps">
            <w:drawing>
              <wp:anchor distT="228600" distB="228600" distL="228600" distR="228600" simplePos="0" relativeHeight="251659264" behindDoc="0" locked="0" layoutInCell="1" allowOverlap="1">
                <wp:simplePos x="0" y="0"/>
                <wp:positionH relativeFrom="column">
                  <wp:posOffset>2600325</wp:posOffset>
                </wp:positionH>
                <wp:positionV relativeFrom="paragraph">
                  <wp:posOffset>352425</wp:posOffset>
                </wp:positionV>
                <wp:extent cx="742950" cy="16510"/>
                <wp:effectExtent l="0" t="0" r="0" b="0"/>
                <wp:wrapTopAndBottom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250" y="3527350"/>
                          <a:ext cx="2563200" cy="33900"/>
                        </a:xfrm>
                        <a:prstGeom prst="rect">
                          <a:avLst/>
                        </a:prstGeom>
                        <a:solidFill>
                          <a:srgbClr val="1A703A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143A4B">
                            <w:pPr>
                              <w:spacing w:before="0" w:after="0" w:line="240" w:lineRule="auto"/>
                              <w:ind w:left="0" w:right="0" w:firstLine="0"/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04.75pt;margin-top:27.75pt;height:1.3pt;width:58.5pt;mso-wrap-distance-bottom:18pt;mso-wrap-distance-top:18pt;z-index:251659264;v-text-anchor:middle;mso-width-relative:page;mso-height-relative:page;" fillcolor="#1A703A" filled="t" stroked="f" coordsize="21600,21600" o:gfxdata="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">
                <v:fill on="t" focussize="0,0"/>
                <v:stroke on="f"/>
                <v:imagedata o:title=""/>
                <o:lock v:ext="edit" aspectratio="f"/>
                <v:textbox inset="7.1988188976378pt,7.1988188976378pt,7.1988188976378pt,7.1988188976378pt">
                  <w:txbxContent>
                    <w:p w14:paraId="79143A4B">
                      <w:pPr>
                        <w:spacing w:before="0" w:after="0" w:line="240" w:lineRule="auto"/>
                        <w:ind w:left="0" w:right="0" w:firstLine="0"/>
                        <w:jc w:val="center"/>
                      </w:pPr>
                    </w:p>
                  </w:txbxContent>
                </v:textbox>
                <w10:wrap type="topAndBottom"/>
              </v:rect>
            </w:pict>
          </mc:Fallback>
        </mc:AlternateContent>
      </w:r>
    </w:p>
    <w:p w14:paraId="00000005">
      <w:pPr>
        <w:rPr>
          <w:rFonts w:ascii="宋体" w:hAnsi="宋体" w:eastAsia="宋体" w:cs="宋体"/>
          <w:color w:val="002715"/>
        </w:rPr>
      </w:pPr>
    </w:p>
    <w:p w14:paraId="00000006">
      <w:pPr>
        <w:rPr>
          <w:rFonts w:ascii="宋体" w:hAnsi="宋体" w:eastAsia="宋体" w:cs="宋体"/>
          <w:color w:val="002715"/>
        </w:rPr>
      </w:pPr>
    </w:p>
    <w:p w14:paraId="00000007">
      <w:pPr>
        <w:pStyle w:val="10"/>
        <w:rPr>
          <w:rFonts w:ascii="宋体" w:hAnsi="宋体" w:eastAsia="宋体" w:cs="宋体"/>
          <w:color w:val="1A703A"/>
        </w:rPr>
      </w:pPr>
      <w:r>
        <w:rPr>
          <w:rFonts w:ascii="宋体" w:hAnsi="宋体" w:eastAsia="宋体" w:cs="宋体"/>
          <w:color w:val="1A703A"/>
          <w:sz w:val="60"/>
          <w:szCs w:val="60"/>
          <w:rtl w:val="0"/>
        </w:rPr>
        <w:t>基于AI的智能代码分析工具</w:t>
      </w:r>
    </w:p>
    <w:p w14:paraId="00000008">
      <w:pPr>
        <w:pStyle w:val="10"/>
        <w:rPr>
          <w:rFonts w:ascii="宋体" w:hAnsi="宋体" w:eastAsia="宋体" w:cs="宋体"/>
          <w:color w:val="1A703A"/>
        </w:rPr>
      </w:pPr>
      <w:r>
        <w:rPr>
          <w:rFonts w:ascii="宋体" w:hAnsi="宋体" w:eastAsia="宋体" w:cs="宋体"/>
          <w:color w:val="1A703A"/>
          <w:sz w:val="60"/>
          <w:szCs w:val="60"/>
          <w:rtl w:val="0"/>
        </w:rPr>
        <w:t>用户手册</w:t>
      </w:r>
    </w:p>
    <w:p w14:paraId="00000009">
      <w:pPr>
        <w:pStyle w:val="4"/>
        <w:rPr>
          <w:color w:val="105128"/>
        </w:rPr>
      </w:pPr>
      <w:bookmarkStart w:id="1" w:name="_heading=h.vj0y3v9ru4fn" w:colFirst="0" w:colLast="0"/>
      <w:bookmarkEnd w:id="1"/>
    </w:p>
    <w:p w14:paraId="0000000A">
      <w:pPr>
        <w:pStyle w:val="4"/>
        <w:rPr>
          <w:color w:val="105128"/>
        </w:rPr>
      </w:pPr>
      <w:bookmarkStart w:id="2" w:name="_heading=h.r64a6lc0ytip" w:colFirst="0" w:colLast="0"/>
      <w:bookmarkEnd w:id="2"/>
    </w:p>
    <w:p w14:paraId="0000000B">
      <w:pPr>
        <w:pStyle w:val="4"/>
        <w:rPr>
          <w:color w:val="105128"/>
        </w:rPr>
      </w:pPr>
      <w:bookmarkStart w:id="3" w:name="_heading=h.8n89tlutz5i6" w:colFirst="0" w:colLast="0"/>
      <w:bookmarkEnd w:id="3"/>
    </w:p>
    <w:p w14:paraId="0000000C">
      <w:pPr>
        <w:pStyle w:val="4"/>
        <w:rPr>
          <w:color w:val="053B22"/>
        </w:rPr>
      </w:pPr>
      <w:bookmarkStart w:id="4" w:name="_heading=h.rnjlnh61vquq" w:colFirst="0" w:colLast="0"/>
      <w:bookmarkEnd w:id="4"/>
    </w:p>
    <w:p w14:paraId="0000000D">
      <w:pPr>
        <w:rPr>
          <w:color w:val="002715"/>
        </w:rPr>
      </w:pPr>
    </w:p>
    <w:p w14:paraId="0000000E">
      <w:pPr>
        <w:rPr>
          <w:color w:val="002715"/>
        </w:rPr>
      </w:pPr>
    </w:p>
    <w:p w14:paraId="0000000F">
      <w:pPr>
        <w:rPr>
          <w:color w:val="002715"/>
        </w:rPr>
      </w:pPr>
    </w:p>
    <w:p w14:paraId="00000010">
      <w:pPr>
        <w:rPr>
          <w:color w:val="002715"/>
        </w:rPr>
      </w:pPr>
    </w:p>
    <w:p w14:paraId="00000011">
      <w:pPr>
        <w:rPr>
          <w:color w:val="002715"/>
        </w:rPr>
      </w:pPr>
    </w:p>
    <w:p w14:paraId="00000012">
      <w:pPr>
        <w:rPr>
          <w:color w:val="002715"/>
        </w:rPr>
      </w:pPr>
    </w:p>
    <w:p w14:paraId="00000013">
      <w:pPr>
        <w:rPr>
          <w:color w:val="002715"/>
        </w:rPr>
      </w:pPr>
    </w:p>
    <w:p w14:paraId="00000014">
      <w:pPr>
        <w:rPr>
          <w:color w:val="002715"/>
        </w:rPr>
      </w:pPr>
    </w:p>
    <w:p w14:paraId="00000015">
      <w:pPr>
        <w:rPr>
          <w:color w:val="002715"/>
        </w:rPr>
      </w:pPr>
    </w:p>
    <w:p w14:paraId="00000016">
      <w:pPr>
        <w:rPr>
          <w:color w:val="002715"/>
        </w:rPr>
      </w:pPr>
    </w:p>
    <w:p w14:paraId="00000017">
      <w:pPr>
        <w:rPr>
          <w:color w:val="434343"/>
        </w:rPr>
      </w:pPr>
    </w:p>
    <w:p w14:paraId="00000019">
      <w:pPr>
        <w:pStyle w:val="4"/>
        <w:rPr>
          <w:rFonts w:ascii="宋体" w:hAnsi="宋体" w:eastAsia="宋体" w:cs="宋体"/>
          <w:color w:val="000000"/>
        </w:rPr>
      </w:pPr>
      <w:bookmarkStart w:id="5" w:name="_heading=h.io4lnv62zpnv" w:colFirst="0" w:colLast="0"/>
      <w:bookmarkEnd w:id="5"/>
      <w:r>
        <w:rPr>
          <w:rFonts w:ascii="宋体" w:hAnsi="宋体" w:eastAsia="宋体" w:cs="宋体"/>
          <w:color w:val="000000"/>
          <w:rtl w:val="0"/>
        </w:rPr>
        <w:t>2026 年 10 月 13 日  文档版本 1.0</w:t>
      </w:r>
    </w:p>
    <w:p w14:paraId="0000001A">
      <w:pPr>
        <w:pStyle w:val="4"/>
        <w:rPr>
          <w:color w:val="000000"/>
        </w:rPr>
      </w:pPr>
      <w:bookmarkStart w:id="6" w:name="_heading=h.l0z5dez015hw" w:colFirst="0" w:colLast="0"/>
      <w:bookmarkEnd w:id="6"/>
      <w:r>
        <w:br w:type="page"/>
      </w:r>
    </w:p>
    <w:sdt>
      <w:sdtPr>
        <w:id w:val="147457896"/>
        <w:docPartObj>
          <w:docPartGallery w:val="Table of Contents"/>
          <w:docPartUnique/>
        </w:docPartObj>
      </w:sdtPr>
      <w:sdtContent>
        <w:p w14:paraId="1D0F643D">
          <w:pPr>
            <w:pStyle w:val="23"/>
            <w:spacing w:before="0" w:after="120" w:line="260" w:lineRule="auto"/>
            <w:jc w:val="center"/>
          </w:pPr>
          <w:r>
            <w:rPr>
              <w:rFonts w:ascii="宋体" w:hAnsi="宋体" w:eastAsia="宋体" w:cs="宋体"/>
              <w:b/>
              <w:sz w:val="36"/>
              <w:szCs w:val="36"/>
            </w:rPr>
            <w:t>目录</w:t>
          </w:r>
        </w:p>
        <w:p w14:paraId="45D31D62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TOC \o "1-1" \h \u </w:instrText>
          </w:r>
          <w:r>
            <w:fldChar w:fldCharType="separate"/>
          </w:r>
          <w:r>
            <w:fldChar w:fldCharType="begin"/>
          </w:r>
          <w:r>
            <w:instrText xml:space="preserve"> HYPERLINK \l "DeliveryGlossary" </w:instrText>
          </w:r>
          <w:r>
            <w:fldChar w:fldCharType="separate"/>
          </w:r>
          <w:r>
            <w:t>术语表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DeliveryGlossary \h </w:instrText>
          </w:r>
          <w:r>
            <w:fldChar w:fldCharType="separate"/>
          </w:r>
          <w:r>
            <w:t>3</w:t>
          </w:r>
          <w:r>
            <w:fldChar w:fldCharType="end"/>
          </w:r>
        </w:p>
        <w:p w14:paraId="6B242E8D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"DeliveryUChapter1" </w:instrText>
          </w:r>
          <w:r>
            <w:fldChar w:fldCharType="separate"/>
          </w:r>
          <w:r>
            <w:t>1 系统使用概览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26FBF68D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"DeliveryUChapter2" </w:instrText>
          </w:r>
          <w:r>
            <w:fldChar w:fldCharType="separate"/>
          </w:r>
          <w:r>
            <w:t>2 部署环境与网络说明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DeliveryUChapter2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7F02E350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"DeliveryUChapter3" </w:instrText>
          </w:r>
          <w:r>
            <w:fldChar w:fldCharType="separate"/>
          </w:r>
          <w:r>
            <w:t>3 离线部署包与首次部署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DeliveryUChapter3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2CD252F9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"DeliveryUChapter4" </w:instrText>
          </w:r>
          <w:r>
            <w:fldChar w:fldCharType="separate"/>
          </w:r>
          <w:r>
            <w:t>4 运行维护、升级与回退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DeliveryUChapter4 \h </w:instrText>
          </w:r>
          <w:r>
            <w:fldChar w:fldCharType="separate"/>
          </w:r>
          <w:r>
            <w:t>16</w:t>
          </w:r>
          <w:r>
            <w:fldChar w:fldCharType="end"/>
          </w:r>
        </w:p>
        <w:p w14:paraId="3A9AB3EC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"DeliveryUChapter5" </w:instrText>
          </w:r>
          <w:r>
            <w:fldChar w:fldCharType="separate"/>
          </w:r>
          <w:r>
            <w:t>5 AI 大模型接入与验证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DeliveryUChapter5 \h </w:instrText>
          </w:r>
          <w:r>
            <w:fldChar w:fldCharType="separate"/>
          </w:r>
          <w:r>
            <w:t>18</w:t>
          </w:r>
          <w:r>
            <w:fldChar w:fldCharType="end"/>
          </w:r>
        </w:p>
        <w:p w14:paraId="634C0AAA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"DeliveryUChapter6" </w:instrText>
          </w:r>
          <w:r>
            <w:fldChar w:fldCharType="separate"/>
          </w:r>
          <w:r>
            <w:t>6 提示词管理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DeliveryUChapter6 \h </w:instrText>
          </w:r>
          <w:r>
            <w:fldChar w:fldCharType="separate"/>
          </w:r>
          <w:r>
            <w:t>21</w:t>
          </w:r>
          <w:r>
            <w:fldChar w:fldCharType="end"/>
          </w:r>
        </w:p>
        <w:p w14:paraId="24758148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"DeliveryUChapter7" </w:instrText>
          </w:r>
          <w:r>
            <w:fldChar w:fldCharType="separate"/>
          </w:r>
          <w:r>
            <w:t>7 审查策略配置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DeliveryUChapter7 \h </w:instrText>
          </w:r>
          <w:r>
            <w:fldChar w:fldCharType="separate"/>
          </w:r>
          <w:r>
            <w:t>23</w:t>
          </w:r>
          <w:r>
            <w:fldChar w:fldCharType="end"/>
          </w:r>
        </w:p>
        <w:p w14:paraId="4CA8E733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"DeliveryUChapter8" </w:instrText>
          </w:r>
          <w:r>
            <w:fldChar w:fldCharType="separate"/>
          </w:r>
          <w:r>
            <w:t>8 项目接入和范围准备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DeliveryUChapter8 \h </w:instrText>
          </w:r>
          <w:r>
            <w:fldChar w:fldCharType="separate"/>
          </w:r>
          <w:r>
            <w:t>25</w:t>
          </w:r>
          <w:r>
            <w:fldChar w:fldCharType="end"/>
          </w:r>
        </w:p>
        <w:p w14:paraId="37946186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"DeliveryUChapter9" </w:instrText>
          </w:r>
          <w:r>
            <w:fldChar w:fldCharType="separate"/>
          </w:r>
          <w:r>
            <w:t>9 结构视图审查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DeliveryUChapter9 \h </w:instrText>
          </w:r>
          <w:r>
            <w:fldChar w:fldCharType="separate"/>
          </w:r>
          <w:r>
            <w:t>26</w:t>
          </w:r>
          <w:r>
            <w:fldChar w:fldCharType="end"/>
          </w:r>
        </w:p>
        <w:p w14:paraId="453C94A3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"DeliveryUChapter10" </w:instrText>
          </w:r>
          <w:r>
            <w:fldChar w:fldCharType="separate"/>
          </w:r>
          <w:r>
            <w:t>10 单次提交与多个提交审查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DeliveryUChapter10 \h </w:instrText>
          </w:r>
          <w:r>
            <w:fldChar w:fldCharType="separate"/>
          </w:r>
          <w:r>
            <w:t>27</w:t>
          </w:r>
          <w:r>
            <w:fldChar w:fldCharType="end"/>
          </w:r>
        </w:p>
        <w:p w14:paraId="7C56421A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"DeliveryUChapter11" </w:instrText>
          </w:r>
          <w:r>
            <w:fldChar w:fldCharType="separate"/>
          </w:r>
          <w:r>
            <w:t>11 审查结果、人工复核与准确率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DeliveryUChapter11 \h </w:instrText>
          </w:r>
          <w:r>
            <w:fldChar w:fldCharType="separate"/>
          </w:r>
          <w:r>
            <w:t>30</w:t>
          </w:r>
          <w:r>
            <w:fldChar w:fldCharType="end"/>
          </w:r>
        </w:p>
        <w:p w14:paraId="5848A2D6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"DeliveryUChapter12" </w:instrText>
          </w:r>
          <w:r>
            <w:fldChar w:fldCharType="separate"/>
          </w:r>
          <w:r>
            <w:t>12 历史记录查看与报告生成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DeliveryUChapter12 \h </w:instrText>
          </w:r>
          <w:r>
            <w:fldChar w:fldCharType="separate"/>
          </w:r>
          <w:r>
            <w:t>32</w:t>
          </w:r>
          <w:r>
            <w:fldChar w:fldCharType="end"/>
          </w:r>
        </w:p>
        <w:p w14:paraId="2B09825D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"DeliveryUChapter13" </w:instrText>
          </w:r>
          <w:r>
            <w:fldChar w:fldCharType="separate"/>
          </w:r>
          <w:r>
            <w:t>13 常见故障与交付留存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DeliveryUChapter13 \h </w:instrText>
          </w:r>
          <w:r>
            <w:fldChar w:fldCharType="separate"/>
          </w:r>
          <w:r>
            <w:t>34</w:t>
          </w:r>
          <w:r>
            <w:fldChar w:fldCharType="end"/>
          </w:r>
        </w:p>
        <w:p w14:paraId="60E5BA57">
          <w:pPr>
            <w:pStyle w:val="8"/>
            <w:spacing w:before="0" w:after="120" w:line="260" w:lineRule="auto"/>
            <w:jc w:val="left"/>
          </w:pPr>
          <w:r>
            <w:fldChar w:fldCharType="begin"/>
          </w:r>
          <w:r>
            <w:instrText xml:space="preserve"> HYPERLINK \l "DeliveryUChapter14" </w:instrText>
          </w:r>
          <w:r>
            <w:fldChar w:fldCharType="separate"/>
          </w:r>
          <w:r>
            <w:t>14 图件清单</w:t>
          </w:r>
          <w:r>
            <w:fldChar w:fldCharType="end"/>
          </w:r>
          <w:r>
            <w:tab/>
          </w:r>
          <w:r>
            <w:fldChar w:fldCharType="begin"/>
          </w:r>
          <w:r>
            <w:instrText xml:space="preserve"> PAGEREF DeliveryUChapter14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</w:sdtContent>
    </w:sdt>
    <w:p w14:paraId="0000001B">
      <w:pPr>
        <w:pStyle w:val="2"/>
        <w:keepNext/>
        <w:keepLines/>
        <w:pageBreakBefore/>
        <w:outlineLvl w:val="0"/>
      </w:pPr>
      <w:bookmarkStart w:id="7" w:name="DeliveryGlossary"/>
      <w:r>
        <w:rPr>
          <w:rFonts w:ascii="宋体" w:hAnsi="宋体" w:eastAsia="宋体" w:cs="宋体"/>
        </w:rPr>
        <w:t>术语表</w:t>
      </w:r>
      <w:bookmarkEnd w:id="7"/>
    </w:p>
    <w:p w14:paraId="7244FF4C">
      <w:pPr>
        <w:keepNext/>
        <w:spacing w:before="0" w:after="120" w:line="260" w:lineRule="auto"/>
        <w:jc w:val="left"/>
      </w:pPr>
      <w:r>
        <w:rPr>
          <w:rFonts w:ascii="宋体" w:hAnsi="宋体" w:eastAsia="宋体" w:cs="宋体"/>
          <w:sz w:val="21"/>
          <w:szCs w:val="21"/>
        </w:rPr>
        <w:t>本表解释正文中反复出现的概念。可先阅读，也可在遇到陌生术语时返回查阅。</w:t>
      </w:r>
    </w:p>
    <w:tbl>
      <w:tblPr>
        <w:tblStyle w:val="15"/>
        <w:tblW w:w="9360" w:type="dxa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90" w:type="dxa"/>
          <w:left w:w="120" w:type="dxa"/>
          <w:bottom w:w="90" w:type="dxa"/>
          <w:right w:w="120" w:type="dxa"/>
        </w:tblCellMar>
      </w:tblPr>
      <w:tblGrid>
        <w:gridCol w:w="2700"/>
        <w:gridCol w:w="6660"/>
      </w:tblGrid>
      <w:tr w14:paraId="2EA884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  <w:tblHeader/>
        </w:trPr>
        <w:tc>
          <w:tcPr>
            <w:tcW w:w="2700" w:type="dxa"/>
            <w:shd w:val="clear" w:color="auto" w:fill="E7E6E6"/>
            <w:vAlign w:val="center"/>
          </w:tcPr>
          <w:p w14:paraId="766AAD9B">
            <w:pPr>
              <w:keepNext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术语</w:t>
            </w:r>
          </w:p>
        </w:tc>
        <w:tc>
          <w:tcPr>
            <w:tcW w:w="6660" w:type="dxa"/>
            <w:shd w:val="clear" w:color="auto" w:fill="E7E6E6"/>
            <w:vAlign w:val="center"/>
          </w:tcPr>
          <w:p w14:paraId="5EACC81E">
            <w:pPr>
              <w:keepNext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b/>
                <w:sz w:val="21"/>
                <w:szCs w:val="21"/>
              </w:rPr>
              <w:t>通俗说明</w:t>
            </w:r>
          </w:p>
        </w:tc>
      </w:tr>
      <w:tr w14:paraId="130404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7940EC79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 / Git / Gitea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23B20760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代码仓库集中保存项目文件及修改历史。Git 负责记录版本；Gitea 是通过网页管理 Git 仓库的服务，便于浏览代码和协作。</w:t>
            </w:r>
          </w:p>
        </w:tc>
      </w:tr>
      <w:tr w14:paraId="6C1CC0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0E86532D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分支 branch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2A4419C5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同一项目的一条开发路线。不同分支可以分别开发和维护；分支名称不代表固定版本，继续提交后它指向的代码会变化。</w:t>
            </w:r>
          </w:p>
        </w:tc>
      </w:tr>
      <w:tr w14:paraId="53854C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10149BAD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提交 commit / SHA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64369689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一次被 Git 保存的代码修改记录。SHA 是这次提交的编号，用它可以定位同一份代码版本；短 SHA 是完整编号的缩写。</w:t>
            </w:r>
          </w:p>
        </w:tc>
      </w:tr>
      <w:tr w14:paraId="629281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4D398871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差异 diff / 第一父提交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230DA301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diff 列出两个版本增加、删除或修改的内容。第一父提交是当前提交的第一个直接前序版本；合并提交还可能有其他父提交。</w:t>
            </w:r>
          </w:p>
        </w:tc>
      </w:tr>
      <w:tr w14:paraId="76357D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753E43AF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审查策略 / 分析器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6DE2512D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策略是选好的分析方式、模型和参数组合；分析器是实际执行该类分析的程序。可以把它们理解为“检查方案”和“执行检查的工具”。</w:t>
            </w:r>
          </w:p>
        </w:tc>
      </w:tr>
      <w:tr w14:paraId="541476B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199331BE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 LLM / 模型名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69E8514D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大模型根据代码和要求生成分析意见。模型名是发送给网关的调用标识，必须与现场提供的名称一致；模型意见仍需人工复核。</w:t>
            </w:r>
          </w:p>
        </w:tc>
      </w:tr>
      <w:tr w14:paraId="096309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6B80CBBC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提示词 Prompt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462D42F0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发给模型的任务说明，例如检查重点、业务规则和回答格式。提示词不是待审查的代码，它用于告诉模型应怎样分析代码。</w:t>
            </w:r>
          </w:p>
        </w:tc>
      </w:tr>
      <w:tr w14:paraId="0890B5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1BB9758E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AI 网关 / API 接口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7FF4EF5E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接口是程序之间发送请求、接收结果的约定入口。AI 网关提供模型调用入口；系统向它发送模型名、提示词和代码材料，再读取回答。</w:t>
            </w:r>
          </w:p>
        </w:tc>
      </w:tr>
      <w:tr w14:paraId="6A8FC1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1C6192A9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Token 认证令牌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A8DD66F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调用网关或仓库时用来证明调用权限的凭据，作用类似钥匙。它不是模型名，也不是密码示例；保存配置和截图时需要保护它。</w:t>
            </w:r>
          </w:p>
        </w:tc>
      </w:tr>
      <w:tr w14:paraId="36E017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47AE528A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 / 模型 token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568C12AD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字符是文本中的字、字母或符号；模型 token 是模型切分文本后使用的计量单位，二者没有固定换算比例。这里的 token 与认证令牌含义不同。</w:t>
            </w:r>
          </w:p>
        </w:tc>
      </w:tr>
      <w:tr w14:paraId="16C081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087E5702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JSON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964B726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一种按字段组织数据的文本格式，便于程序读取。例如 issues 保存问题列表，summary 保存摘要；它与供人阅读的普通说明文字用途不同。</w:t>
            </w:r>
          </w:p>
        </w:tc>
      </w:tr>
      <w:tr w14:paraId="0D8E5B8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23492756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Markdown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2D81C949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用简单标记表示标题、列表和表格的文本格式，文件通常以 .md 结尾。本系统生成的报告使用这种格式，可以查看、保存和继续编辑。</w:t>
            </w:r>
          </w:p>
        </w:tc>
      </w:tr>
      <w:tr w14:paraId="255C2B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52474A7A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配置快照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2B98ED5C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任务发起时保留的一份配置副本，用来说明当时采用的策略、模型和提示词。以后修改当前配置，不会自动改写这份历史副本。</w:t>
            </w:r>
          </w:p>
        </w:tc>
      </w:tr>
      <w:tr w14:paraId="293D67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7AD844EE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Docker / 镜像 / 容器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685506B7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Docker 用于运行打包好的应用。镜像是准备好的程序与运行环境；容器是镜像启动后的运行实例，可以把它们理解为“安装包”和“正在运行的程序”。</w:t>
            </w:r>
          </w:p>
        </w:tc>
      </w:tr>
      <w:tr w14:paraId="5F217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2AE60501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Docker Compose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4CABF55F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按配置文件一起管理应用、数据库、网络和挂载目录的工具。手册中的 docker compose 命令用于启动、检查或停止这一组服务。</w:t>
            </w:r>
          </w:p>
        </w:tc>
      </w:tr>
      <w:tr w14:paraId="3F1A27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1420A066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离线部署包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607656AC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事先准备好的镜像、脚本和配置文件集合，复制到目标机后即可装载部署。部署时不必从公网下载镜像；运行时仍需连接现场仓库和 AI 网关。</w:t>
            </w:r>
          </w:p>
        </w:tc>
      </w:tr>
      <w:tr w14:paraId="47B91C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41412251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.env / YAML 配置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4BEA108A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用于保存运行参数的文本文件。.env 常按“名称=值”填写；YAML 按缩进组织配置。空格、引号和缩进会影响读取，修改时需遵守手册示例。</w:t>
            </w:r>
          </w:p>
        </w:tc>
      </w:tr>
      <w:tr w14:paraId="52F9A5A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6BFB1F3B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 / 持久化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3ACF3250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MySQL 是保存配置、审查记录和报告的数据库。持久化是把数据保存到数据库或磁盘，使它不只留在程序内存中；它不等同于备份。</w:t>
            </w:r>
          </w:p>
        </w:tc>
      </w:tr>
      <w:tr w14:paraId="2167E3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01C476F2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 / 回退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4B564FD3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备份是另外保存一份数据以便恢复；回退是切回较早的应用版本。应用镜像回退不会自动恢复数据库数据，数据恢复还需单独处理。</w:t>
            </w:r>
          </w:p>
        </w:tc>
      </w:tr>
      <w:tr w14:paraId="19C7AD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3B9274DA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异步任务 / 任务池 / 队列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4B85D1B6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异步任务在后台执行，用户发起后可继续操作。任务池安排若干线程处理工作；队列存放等待处理的任务。进入队列不代表任务已经完成。</w:t>
            </w:r>
          </w:p>
        </w:tc>
      </w:tr>
      <w:tr w14:paraId="41C684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38B10CD1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重试 / 超时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40068D24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重试是在符合条件的失败后再次尝试请求；超时是等待或执行时间超过设定范围。二者用于处理异常，不代表一定能完成或得到正确分析结论。</w:t>
            </w:r>
          </w:p>
        </w:tc>
      </w:tr>
      <w:tr w14:paraId="328355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4546714B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耦合度 coupling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5F5D81D0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描述代码之间相互依赖的程度。一个类或模块依赖较多，修改时可能影响更多地方；指标用于帮助定位复核重点，不能单独证明代码有缺陷。</w:t>
            </w:r>
          </w:p>
        </w:tc>
      </w:tr>
      <w:tr w14:paraId="6D5CB9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4888C477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设计模式 design pattern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534D3A37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解决常见软件设计问题的一类组织方法，例如工厂模式、观察者模式。识别结果说明代码可能采用了哪种方法，还需要结合实际代码判断是否合适。</w:t>
            </w:r>
          </w:p>
        </w:tc>
      </w:tr>
      <w:tr w14:paraId="2721ED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07104E73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误报 / 已采纳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1149CE97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误报表示复核人员认为这条发现不成立；已采纳表示接受这条分析意见。标记帮助记录人工判断，“已采纳”本身不表示代码已经修复。</w:t>
            </w:r>
          </w:p>
        </w:tc>
      </w:tr>
      <w:tr w14:paraId="7B7AEE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90" w:type="dxa"/>
            <w:left w:w="120" w:type="dxa"/>
            <w:bottom w:w="90" w:type="dxa"/>
            <w:right w:w="120" w:type="dxa"/>
          </w:tblCellMar>
        </w:tblPrEx>
        <w:trPr>
          <w:cantSplit/>
        </w:trPr>
        <w:tc>
          <w:tcPr>
            <w:tcW w:w="2700" w:type="dxa"/>
            <w:shd w:val="clear" w:color="auto" w:fill="FFFFFF"/>
            <w:vAlign w:val="center"/>
          </w:tcPr>
          <w:p w14:paraId="5770889D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准确率 / 复核覆盖率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131686BB">
            <w:pPr>
              <w:keepNext w:val="0"/>
              <w:spacing w:before="0" w:after="0" w:line="260" w:lineRule="auto"/>
              <w:jc w:val="left"/>
            </w:pPr>
            <w:r>
              <w:rPr>
                <w:rFonts w:ascii="宋体" w:hAnsi="宋体" w:eastAsia="宋体" w:cs="宋体"/>
                <w:sz w:val="21"/>
                <w:szCs w:val="21"/>
              </w:rPr>
              <w:t>准确率汇总问题标记中的判断结果；复核覆盖率表示有多少问题已经人工标记。二者需一起看，不能把大量未复核的问题当作已经确认正确。</w:t>
            </w:r>
          </w:p>
        </w:tc>
      </w:tr>
    </w:tbl>
    <w:p w14:paraId="07823E6A">
      <w:pPr>
        <w:pStyle w:val="3"/>
        <w:keepNext/>
        <w:pageBreakBefore/>
        <w:spacing w:before="0" w:after="120" w:line="260" w:lineRule="auto"/>
        <w:jc w:val="left"/>
        <w:outlineLvl w:val="1"/>
      </w:pPr>
      <w:r>
        <w:rPr>
          <w:rFonts w:ascii="宋体" w:hAnsi="宋体" w:eastAsia="宋体" w:cs="宋体"/>
          <w:sz w:val="32"/>
          <w:szCs w:val="32"/>
        </w:rPr>
        <w:t>文档信息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15DB884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0000003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文档属性</w:t>
            </w:r>
          </w:p>
        </w:tc>
        <w:tc>
          <w:tcPr>
            <w:shd w:val="clear" w:color="auto" w:fill="F3F3F3"/>
            <w:vAlign w:val="center"/>
          </w:tcPr>
          <w:p w14:paraId="0000003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内容</w:t>
            </w:r>
          </w:p>
        </w:tc>
      </w:tr>
      <w:tr w14:paraId="7BFDE55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000003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系统名称</w:t>
            </w:r>
          </w:p>
        </w:tc>
        <w:tc>
          <w:tcPr>
            <w:vAlign w:val="center"/>
          </w:tcPr>
          <w:p w14:paraId="0000003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基于AI的智能代码分析工具</w:t>
            </w:r>
          </w:p>
        </w:tc>
      </w:tr>
      <w:tr w14:paraId="711DB67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9EEADD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文档版本</w:t>
            </w:r>
          </w:p>
        </w:tc>
        <w:tc>
          <w:tcPr>
            <w:vAlign w:val="center"/>
          </w:tcPr>
          <w:p w14:paraId="7540B91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1.0</w:t>
            </w:r>
          </w:p>
        </w:tc>
      </w:tr>
      <w:tr w14:paraId="13CE0A7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948CFA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适用分支</w:t>
            </w:r>
          </w:p>
        </w:tc>
        <w:tc>
          <w:tcPr>
            <w:vAlign w:val="center"/>
          </w:tcPr>
          <w:p w14:paraId="432B30D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dev</w:t>
            </w:r>
          </w:p>
        </w:tc>
      </w:tr>
      <w:tr w14:paraId="13DABD5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EB6372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适用源码基线</w:t>
            </w:r>
          </w:p>
        </w:tc>
        <w:tc>
          <w:tcPr>
            <w:vAlign w:val="center"/>
          </w:tcPr>
          <w:p w14:paraId="0F067A2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d114f62</w:t>
            </w:r>
          </w:p>
        </w:tc>
      </w:tr>
      <w:tr w14:paraId="5458DCC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ACC146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编制日期</w:t>
            </w:r>
          </w:p>
        </w:tc>
        <w:tc>
          <w:tcPr>
            <w:vAlign w:val="center"/>
          </w:tcPr>
          <w:p w14:paraId="3495685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2026-10-13</w:t>
            </w:r>
          </w:p>
        </w:tc>
      </w:tr>
      <w:tr w14:paraId="66067A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74146D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适用人员</w:t>
            </w:r>
          </w:p>
        </w:tc>
        <w:tc>
          <w:tcPr>
            <w:vAlign w:val="center"/>
          </w:tcPr>
          <w:p w14:paraId="72D4045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部署负责人、系统运维人员、代码审查人员、项目负责人</w:t>
            </w:r>
          </w:p>
        </w:tc>
      </w:tr>
    </w:tbl>
    <w:p w14:paraId="000000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本手册说明 dev 基线的离线部署、模型和仓库接入、代码审查、人工复核及报告生成操作。应用界面或部署包升级后，应按对应版本核对本手册；其他分支的页面、配置和功能不在本手册适用范围内。</w:t>
      </w:r>
    </w:p>
    <w:p w14:paraId="30724A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  <w:highlight w:val="yellow"/>
        </w:rPr>
      </w:pPr>
      <w:r>
        <w:rPr>
          <w:rFonts w:ascii="宋体" w:hAnsi="宋体" w:eastAsia="宋体" w:cs="宋体"/>
          <w:highlight w:val="yellow"/>
        </w:rPr>
        <w:t>本手册中的 &lt;版本&gt;、&lt;目标机内网IP&gt;、&lt;网关主机&gt; 和 &lt;owner&gt;/&lt;repo&gt; 为现场填写项。命令示例使用 Linux 终端；界面操作使用部署后的浏览器页面。所有示例均不包含真实密码或令牌。</w:t>
      </w:r>
    </w:p>
    <w:p w14:paraId="039F15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  <w:highlight w:val="yellow"/>
        </w:rPr>
      </w:pPr>
      <w:r>
        <w:rPr>
          <w:rFonts w:ascii="宋体" w:hAnsi="宋体" w:eastAsia="宋体" w:cs="宋体"/>
          <w:highlight w:val="yellow"/>
        </w:rPr>
        <w:t>长命令、定时任务和配置值可能因版面宽度自动折行。抄写或粘贴时，每条命令和每个配置值应保持为一行；不要在自动折行处插入回车。.env 中的 JAVA_OPTS 需保留整段双引号。</w:t>
      </w:r>
    </w:p>
    <w:p w14:paraId="48166E62">
      <w:pPr>
        <w:pStyle w:val="2"/>
        <w:outlineLvl w:val="0"/>
      </w:pPr>
      <w:bookmarkStart w:id="8" w:name="DeliveryUChapter1"/>
      <w:r>
        <w:rPr>
          <w:rFonts w:ascii="宋体" w:hAnsi="宋体" w:eastAsia="宋体" w:cs="宋体"/>
        </w:rPr>
        <w:t>1 系统使用概览</w:t>
      </w:r>
      <w:bookmarkEnd w:id="8"/>
    </w:p>
    <w:p w14:paraId="670A59D8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1.1 系统用途</w:t>
      </w:r>
    </w:p>
    <w:p w14:paraId="7E2E32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基于AI的智能代码分析工具 将 Git 仓库材料与可复用审查策略结合，支持全文代码审查、Java 耦合度分析、设计模式识别、外部 API 审查和单次提交变更审查。用户可以保留审查记录、复核部分结构化问题，并将多条已完成记录汇总为综合报告。</w:t>
      </w:r>
    </w:p>
    <w:p w14:paraId="5D08EC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使用时应同时检查审查范围、执行状态和分析意见。分析执行成功表示本次任务完成，不表示代码没有缺陷，也不表示模型意见已经由人员确认。正式结论应由审查人员结合源码、变更目的与业务约束复核。</w:t>
      </w:r>
    </w:p>
    <w:p w14:paraId="4C56A76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1.2 页面入口</w:t>
      </w:r>
    </w:p>
    <w:p w14:paraId="1C7CBD9F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默认访问地址为：</w:t>
      </w:r>
    </w:p>
    <w:p w14:paraId="245460CA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http://&lt;目标机内网IP&gt;:18080</w:t>
      </w:r>
    </w:p>
    <w:p w14:paraId="225EDC3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进入页面后，左侧导航依次为“项目”“模型”“策略”“提示词”。点击项目名称进入项目详情，详情页包含“代码审查”“审查记录”“报告生成”三个页签；“代码审查”内又分为“结构视图”和“提交视图”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482BBF3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311B62E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页面</w:t>
            </w:r>
          </w:p>
        </w:tc>
        <w:tc>
          <w:tcPr>
            <w:shd w:val="clear" w:color="auto" w:fill="F3F3F3"/>
            <w:vAlign w:val="center"/>
          </w:tcPr>
          <w:p w14:paraId="6895233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主要操作</w:t>
            </w:r>
          </w:p>
        </w:tc>
      </w:tr>
      <w:tr w14:paraId="431A156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3261CC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项目</w:t>
            </w:r>
          </w:p>
        </w:tc>
        <w:tc>
          <w:tcPr>
            <w:vAlign w:val="center"/>
          </w:tcPr>
          <w:p w14:paraId="60E69AF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接入仓库、进入项目详情、查看删除影响范围</w:t>
            </w:r>
          </w:p>
        </w:tc>
      </w:tr>
      <w:tr w14:paraId="2715B88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4379F3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模型</w:t>
            </w:r>
          </w:p>
        </w:tc>
        <w:tc>
          <w:tcPr>
            <w:vAlign w:val="center"/>
          </w:tcPr>
          <w:p w14:paraId="3B0AA74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维护 AI 网关地址、Token、模型名，执行连通验证</w:t>
            </w:r>
          </w:p>
        </w:tc>
      </w:tr>
      <w:tr w14:paraId="1B0D5A2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344933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策略</w:t>
            </w:r>
          </w:p>
        </w:tc>
        <w:tc>
          <w:tcPr>
            <w:vAlign w:val="center"/>
          </w:tcPr>
          <w:p w14:paraId="6D55612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选择分析器并绑定模型、提示词或外部 API 参数</w:t>
            </w:r>
          </w:p>
        </w:tc>
      </w:tr>
      <w:tr w14:paraId="24A2514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A7F53F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提示词</w:t>
            </w:r>
          </w:p>
        </w:tc>
        <w:tc>
          <w:tcPr>
            <w:vAlign w:val="center"/>
          </w:tcPr>
          <w:p w14:paraId="2C7AD03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编写规则、保存版本、比较版本差异</w:t>
            </w:r>
          </w:p>
        </w:tc>
      </w:tr>
      <w:tr w14:paraId="42E0E13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CCA231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项目详情 → 代码审查</w:t>
            </w:r>
          </w:p>
        </w:tc>
        <w:tc>
          <w:tcPr>
            <w:vAlign w:val="center"/>
          </w:tcPr>
          <w:p w14:paraId="606B153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选分支、文件范围或单次提交，发起任务、查看当前结果</w:t>
            </w:r>
          </w:p>
        </w:tc>
      </w:tr>
      <w:tr w14:paraId="754AFED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DE58B1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项目详情 → 审查记录</w:t>
            </w:r>
          </w:p>
        </w:tc>
        <w:tc>
          <w:tcPr>
            <w:vAlign w:val="center"/>
          </w:tcPr>
          <w:p w14:paraId="3C55F99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查看历史记录、耗时、准确率汇总和重审入口</w:t>
            </w:r>
          </w:p>
        </w:tc>
      </w:tr>
      <w:tr w14:paraId="5A0BF8D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77D104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项目详情 → 报告生成</w:t>
            </w:r>
          </w:p>
        </w:tc>
        <w:tc>
          <w:tcPr>
            <w:vAlign w:val="center"/>
          </w:tcPr>
          <w:p w14:paraId="44E2334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勾选已完成记录、生成并下载 Markdown 报告</w:t>
            </w:r>
          </w:p>
        </w:tc>
      </w:tr>
    </w:tbl>
    <w:p w14:paraId="766557F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</w:p>
    <w:p w14:paraId="10F1AD2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当前版本没有登录页面或内建用户角色管理入口。部署负责人应通过内网访问范围、主机访问策略或所在环境的统一访问控制保护入口。</w:t>
      </w:r>
    </w:p>
    <w:p w14:paraId="71498452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1.3 首次使用顺序</w:t>
      </w:r>
    </w:p>
    <w:p w14:paraId="158E3ACA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建议按下列顺序完成首次使用：</w:t>
      </w:r>
    </w:p>
    <w:p w14:paraId="0613CC65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部署离线包，确认服务状态和页面访问。</w:t>
      </w:r>
    </w:p>
    <w:p w14:paraId="00C05799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在“模型”页面接入并验证现场 AI 网关。</w:t>
      </w:r>
    </w:p>
    <w:p w14:paraId="3B61819E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按业务需要在“提示词”页面编写规则。</w:t>
      </w:r>
    </w:p>
    <w:p w14:paraId="098FD140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在“策略”页面选择分析器，绑定模型及可选提示词。</w:t>
      </w:r>
    </w:p>
    <w:p w14:paraId="737E5AC3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在“项目”页面接入实际仓库。</w:t>
      </w:r>
    </w:p>
    <w:p w14:paraId="72453953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进入项目详情，明确分支和审查范围，执行一次小范围审查。</w:t>
      </w:r>
    </w:p>
    <w:p w14:paraId="6D653BCD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复核结果，检查范围缺口，保留审查记录。</w:t>
      </w:r>
    </w:p>
    <w:p w14:paraId="5850537A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 在“报告生成”页签勾选相关记录，生成、审阅并下载报告。</w:t>
      </w:r>
    </w:p>
    <w:p w14:paraId="306FB8FC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采集部署后的项目列表，完整显示左侧项目、模型、策略、提示词四个菜单及项目名称入口；使用可公开的项目名，遮蔽不需公开的仓库地址和浏览器内部地址。</w:t>
      </w:r>
    </w:p>
    <w:p w14:paraId="10AFA713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045C7624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1 系统导航与项目入口  现场截图预留</w:t>
      </w:r>
    </w:p>
    <w:p w14:paraId="2A139E3C">
      <w:pPr>
        <w:pStyle w:val="2"/>
        <w:outlineLvl w:val="0"/>
      </w:pPr>
      <w:bookmarkStart w:id="9" w:name="DeliveryUChapter2"/>
      <w:r>
        <w:rPr>
          <w:rFonts w:ascii="宋体" w:hAnsi="宋体" w:eastAsia="宋体" w:cs="宋体"/>
        </w:rPr>
        <w:t>2 部署环境与网络说明</w:t>
      </w:r>
      <w:bookmarkEnd w:id="9"/>
    </w:p>
    <w:p w14:paraId="1771C24E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2.1 部署形态</w:t>
      </w:r>
    </w:p>
    <w:p w14:paraId="301ED79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正式交付使用 Linux amd64 离线 Docker 部署包。应用镜像内包含 JRE 17、Spring Boot 后端和已构建的 Vue 前端；应用以单容器、单业务端口提供页面及后端接口。数据库使用单独的 MySQL 8.0.36 容器。</w:t>
      </w:r>
    </w:p>
    <w:p w14:paraId="6BDC9BD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目标机运行离线包无需另行安装 Node.js、pnpm、Maven、JDK 或 Nginx。离线镜像装载不依赖访问公网镜像仓库，业务运行仍需要连通现场 Git 服务和 AI 网关。</w:t>
      </w:r>
    </w:p>
    <w:p w14:paraId="76C0F6E9">
      <w:pPr>
        <w:keepNext/>
        <w:spacing w:after="240"/>
        <w:jc w:val="center"/>
        <w:rPr>
          <w:rFonts w:ascii="宋体" w:hAnsi="宋体" w:eastAsia="宋体" w:cs="宋体"/>
        </w:rPr>
      </w:pPr>
      <w:r>
        <w:drawing>
          <wp:inline distT="0" distB="0" distL="0" distR="0">
            <wp:extent cx="5938520" cy="5938520"/>
            <wp:effectExtent l="0" t="0" r="5080" b="5080"/>
            <wp:docPr id="101" name="图U 00 内网离线部署拓扑" descr="图U 00 内网离线部署拓扑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图U 00 内网离线部署拓扑" descr="图U 00 内网离线部署拓扑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593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51540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0 内网离线部署拓扑</w:t>
      </w:r>
    </w:p>
    <w:p w14:paraId="0EE7F9E5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hint="eastAsia" w:cs="宋体"/>
          <w:lang w:eastAsia="zh-CN"/>
        </w:rPr>
        <w:t>图</w:t>
      </w:r>
      <w:r>
        <w:rPr>
          <w:rFonts w:ascii="宋体" w:hAnsi="宋体" w:eastAsia="宋体" w:cs="宋体"/>
        </w:rPr>
        <w:t>0 说明：浏览器通过宿主机应用端口访问应用容器；应用通过内部 Docker 网络访问 MySQL，通过 HTTP(S) 访问 Git 服务和 AI 网关。数据库目录、Git 镜像缓存和运行配置由宿主机持久化。外部流水线和 SonarQube 连接用于可选的 api-review 策略。</w:t>
      </w:r>
    </w:p>
    <w:p w14:paraId="190ADBD1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2.2 环境要求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2738BEC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0000007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项目</w:t>
            </w:r>
          </w:p>
        </w:tc>
        <w:tc>
          <w:tcPr>
            <w:shd w:val="clear" w:color="auto" w:fill="F3F3F3"/>
            <w:vAlign w:val="center"/>
          </w:tcPr>
          <w:p w14:paraId="0000007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要求或默认参数</w:t>
            </w:r>
          </w:p>
        </w:tc>
        <w:tc>
          <w:tcPr>
            <w:shd w:val="clear" w:color="auto" w:fill="F3F3F3"/>
            <w:vAlign w:val="center"/>
          </w:tcPr>
          <w:p w14:paraId="0000007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部署说明</w:t>
            </w:r>
          </w:p>
        </w:tc>
      </w:tr>
      <w:tr w14:paraId="429FC04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000007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处理器架构</w:t>
            </w:r>
          </w:p>
        </w:tc>
        <w:tc>
          <w:tcPr>
            <w:vAlign w:val="center"/>
          </w:tcPr>
          <w:p w14:paraId="0000007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Linux amd64</w:t>
            </w:r>
          </w:p>
        </w:tc>
        <w:tc>
          <w:tcPr>
            <w:vAlign w:val="center"/>
          </w:tcPr>
          <w:p w14:paraId="0000007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离线发布镜像固定为 linux/amd64</w:t>
            </w:r>
          </w:p>
        </w:tc>
      </w:tr>
      <w:tr w14:paraId="39B2EEE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B24A99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历史验证环境</w:t>
            </w:r>
          </w:p>
        </w:tc>
        <w:tc>
          <w:tcPr>
            <w:vAlign w:val="center"/>
          </w:tcPr>
          <w:p w14:paraId="38F906D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CentOS 7.6.1810；内核 3.10.0-957.el7.x86_64</w:t>
            </w:r>
          </w:p>
        </w:tc>
        <w:tc>
          <w:tcPr>
            <w:vAlign w:val="center"/>
          </w:tcPr>
          <w:p w14:paraId="64E020B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仓库部署资料记录的目标环境，不代表其他系统已完成同等验证</w:t>
            </w:r>
          </w:p>
        </w:tc>
      </w:tr>
      <w:tr w14:paraId="59ADA3E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AFB75B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历史 Docker / Compose</w:t>
            </w:r>
          </w:p>
        </w:tc>
        <w:tc>
          <w:tcPr>
            <w:vAlign w:val="center"/>
          </w:tcPr>
          <w:p w14:paraId="005F0B0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Docker 20.10.24；Compose v2.17.2</w:t>
            </w:r>
          </w:p>
        </w:tc>
        <w:tc>
          <w:tcPr>
            <w:vAlign w:val="center"/>
          </w:tcPr>
          <w:p w14:paraId="323AA8B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优先使用 docker compose；脚本也支持独立 docker-compose</w:t>
            </w:r>
          </w:p>
        </w:tc>
      </w:tr>
      <w:tr w14:paraId="51C3A43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F10239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部署目录文件系统</w:t>
            </w:r>
          </w:p>
        </w:tc>
        <w:tc>
          <w:tcPr>
            <w:vAlign w:val="center"/>
          </w:tcPr>
          <w:p w14:paraId="7EC3C35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Linux 原生文件系统</w:t>
            </w:r>
          </w:p>
        </w:tc>
        <w:tc>
          <w:tcPr>
            <w:vAlign w:val="center"/>
          </w:tcPr>
          <w:p w14:paraId="187815F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避免 WSL 的 /mnt/c、/mnt/h 及 NTFS、CIFS 等共享挂载点</w:t>
            </w:r>
          </w:p>
        </w:tc>
      </w:tr>
      <w:tr w14:paraId="310A604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FF5DF4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部署分区可用空间</w:t>
            </w:r>
          </w:p>
        </w:tc>
        <w:tc>
          <w:tcPr>
            <w:vAlign w:val="center"/>
          </w:tcPr>
          <w:p w14:paraId="33B2524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至少 5 GB</w:t>
            </w:r>
          </w:p>
        </w:tc>
        <w:tc>
          <w:tcPr>
            <w:vAlign w:val="center"/>
          </w:tcPr>
          <w:p w14:paraId="43A3B3D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前置体检检查；还需为代码镜像、业务数据和备份增长预留空间</w:t>
            </w:r>
          </w:p>
        </w:tc>
      </w:tr>
      <w:tr w14:paraId="4D53A44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E3D299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Docker 数据分区可用空间</w:t>
            </w:r>
          </w:p>
        </w:tc>
        <w:tc>
          <w:tcPr>
            <w:vAlign w:val="center"/>
          </w:tcPr>
          <w:p w14:paraId="2089017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至少 8 GB</w:t>
            </w:r>
          </w:p>
        </w:tc>
        <w:tc>
          <w:tcPr>
            <w:vAlign w:val="center"/>
          </w:tcPr>
          <w:p w14:paraId="3DEC22B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前置体检检查实际 DockerRootDir 所在分区</w:t>
            </w:r>
          </w:p>
        </w:tc>
      </w:tr>
      <w:tr w14:paraId="1C5EB8A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4E7E9B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当前可用内存</w:t>
            </w:r>
          </w:p>
        </w:tc>
        <w:tc>
          <w:tcPr>
            <w:vAlign w:val="center"/>
          </w:tcPr>
          <w:p w14:paraId="2F8D2A6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至少 6 GB</w:t>
            </w:r>
          </w:p>
        </w:tc>
        <w:tc>
          <w:tcPr>
            <w:vAlign w:val="center"/>
          </w:tcPr>
          <w:p w14:paraId="09A0A57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前置体检要求，不是主机总内存要求</w:t>
            </w:r>
          </w:p>
        </w:tc>
      </w:tr>
      <w:tr w14:paraId="74F790F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18B3AC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应用容器内存限制</w:t>
            </w:r>
          </w:p>
        </w:tc>
        <w:tc>
          <w:tcPr>
            <w:vAlign w:val="center"/>
          </w:tcPr>
          <w:p w14:paraId="5DA47DF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4g</w:t>
            </w:r>
          </w:p>
        </w:tc>
        <w:tc>
          <w:tcPr>
            <w:vAlign w:val="center"/>
          </w:tcPr>
          <w:p w14:paraId="291E144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默认配置值，需结合实际负载评估</w:t>
            </w:r>
          </w:p>
        </w:tc>
      </w:tr>
      <w:tr w14:paraId="7B2D6D6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7B1665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MySQL 容器内存限制</w:t>
            </w:r>
          </w:p>
        </w:tc>
        <w:tc>
          <w:tcPr>
            <w:vAlign w:val="center"/>
          </w:tcPr>
          <w:p w14:paraId="5A10587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2g</w:t>
            </w:r>
          </w:p>
        </w:tc>
        <w:tc>
          <w:tcPr>
            <w:vAlign w:val="center"/>
          </w:tcPr>
          <w:p w14:paraId="7ECCB90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默认 buffer pool 为 1G</w:t>
            </w:r>
          </w:p>
        </w:tc>
      </w:tr>
      <w:tr w14:paraId="77D6C5B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310F21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JVM 堆参数</w:t>
            </w:r>
          </w:p>
        </w:tc>
        <w:tc>
          <w:tcPr>
            <w:vAlign w:val="center"/>
          </w:tcPr>
          <w:p w14:paraId="2598EF1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-Xms1g -Xmx4g</w:t>
            </w:r>
          </w:p>
        </w:tc>
        <w:tc>
          <w:tcPr>
            <w:vAlign w:val="center"/>
          </w:tcPr>
          <w:p w14:paraId="10C933C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调整时同时考虑容器内非堆和其他运行开销</w:t>
            </w:r>
          </w:p>
        </w:tc>
      </w:tr>
      <w:tr w14:paraId="3050255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FB0EC0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应用容器内端口</w:t>
            </w:r>
          </w:p>
        </w:tc>
        <w:tc>
          <w:tcPr>
            <w:vAlign w:val="center"/>
          </w:tcPr>
          <w:p w14:paraId="31EE919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8080</w:t>
            </w:r>
          </w:p>
        </w:tc>
        <w:tc>
          <w:tcPr>
            <w:vAlign w:val="center"/>
          </w:tcPr>
          <w:p w14:paraId="0FD53EE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由应用镜像使用</w:t>
            </w:r>
          </w:p>
        </w:tc>
      </w:tr>
      <w:tr w14:paraId="39C8A65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F177E1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宿主机访问端口</w:t>
            </w:r>
          </w:p>
        </w:tc>
        <w:tc>
          <w:tcPr>
            <w:vAlign w:val="center"/>
          </w:tcPr>
          <w:p w14:paraId="5B94EB6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18080</w:t>
            </w:r>
          </w:p>
        </w:tc>
        <w:tc>
          <w:tcPr>
            <w:vAlign w:val="center"/>
          </w:tcPr>
          <w:p w14:paraId="5817291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可通过 APP_PORT 修改</w:t>
            </w:r>
          </w:p>
        </w:tc>
      </w:tr>
      <w:tr w14:paraId="31E47D4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9E2CEE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数据库端口</w:t>
            </w:r>
          </w:p>
        </w:tc>
        <w:tc>
          <w:tcPr>
            <w:vAlign w:val="center"/>
          </w:tcPr>
          <w:p w14:paraId="21E0570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内部 mysql:3306</w:t>
            </w:r>
          </w:p>
        </w:tc>
        <w:tc>
          <w:tcPr>
            <w:vAlign w:val="center"/>
          </w:tcPr>
          <w:p w14:paraId="241049B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默认不向宿主机发布</w:t>
            </w:r>
          </w:p>
        </w:tc>
      </w:tr>
      <w:tr w14:paraId="719D288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AFE483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Compose 项目名</w:t>
            </w:r>
          </w:p>
        </w:tc>
        <w:tc>
          <w:tcPr>
            <w:vAlign w:val="center"/>
          </w:tcPr>
          <w:p w14:paraId="459BD54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codereview</w:t>
            </w:r>
          </w:p>
        </w:tc>
        <w:tc>
          <w:tcPr>
            <w:vAlign w:val="center"/>
          </w:tcPr>
          <w:p w14:paraId="53E037A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用于管理本系统服务</w:t>
            </w:r>
          </w:p>
        </w:tc>
      </w:tr>
      <w:tr w14:paraId="0FD586A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40A686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Docker 网络名</w:t>
            </w:r>
          </w:p>
        </w:tc>
        <w:tc>
          <w:tcPr>
            <w:vAlign w:val="center"/>
          </w:tcPr>
          <w:p w14:paraId="4D0D604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codereview-net</w:t>
            </w:r>
          </w:p>
        </w:tc>
        <w:tc>
          <w:tcPr>
            <w:vAlign w:val="center"/>
          </w:tcPr>
          <w:p w14:paraId="0500691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bridge 网络，部署脚本尝试避开其他项目网段</w:t>
            </w:r>
          </w:p>
        </w:tc>
      </w:tr>
    </w:tbl>
    <w:p w14:paraId="5658B29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Docker 守护进程必须可访问，部署账号需要相应操作权限。目标机应具备 Bash、tar、gzip、sha256sum、sed、awk 等部署工具。环境采集脚本可列出工具和资源现状，前置体检会阻止关键资源或端口条件不满足的部署。</w:t>
      </w:r>
    </w:p>
    <w:p w14:paraId="489AA8E9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应用和数据库的 4g、2g 是容器限制配置，不能作为实测峰值或主机新增总资源占用的证明。现场应保留其他业务所需资源，并持续观察磁盘和内存。</w:t>
      </w:r>
    </w:p>
    <w:p w14:paraId="2A110CC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2.3 网络与端口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330A412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73A7CA4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方向</w:t>
            </w:r>
          </w:p>
        </w:tc>
        <w:tc>
          <w:tcPr>
            <w:shd w:val="clear" w:color="auto" w:fill="F3F3F3"/>
            <w:vAlign w:val="center"/>
          </w:tcPr>
          <w:p w14:paraId="7FE39BD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连接内容</w:t>
            </w:r>
          </w:p>
        </w:tc>
        <w:tc>
          <w:tcPr>
            <w:shd w:val="clear" w:color="auto" w:fill="F3F3F3"/>
            <w:vAlign w:val="center"/>
          </w:tcPr>
          <w:p w14:paraId="560EEEF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现场要求</w:t>
            </w:r>
          </w:p>
        </w:tc>
      </w:tr>
      <w:tr w14:paraId="4A7FA72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7E5D3B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浏览器 → 应用</w:t>
            </w:r>
          </w:p>
        </w:tc>
        <w:tc>
          <w:tcPr>
            <w:vAlign w:val="center"/>
          </w:tcPr>
          <w:p w14:paraId="5BB27C9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APP_BIND_IP:APP_PORT，默认 0.0.0.0:18080</w:t>
            </w:r>
          </w:p>
        </w:tc>
        <w:tc>
          <w:tcPr>
            <w:vAlign w:val="center"/>
          </w:tcPr>
          <w:p w14:paraId="1281D20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用户所在内网可访问该端口</w:t>
            </w:r>
          </w:p>
        </w:tc>
      </w:tr>
      <w:tr w14:paraId="7A49CDE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0B8FEB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应用 → MySQL</w:t>
            </w:r>
          </w:p>
        </w:tc>
        <w:tc>
          <w:tcPr>
            <w:vAlign w:val="center"/>
          </w:tcPr>
          <w:p w14:paraId="7F55E60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Docker 网络中的 mysql:3306</w:t>
            </w:r>
          </w:p>
        </w:tc>
        <w:tc>
          <w:tcPr>
            <w:vAlign w:val="center"/>
          </w:tcPr>
          <w:p w14:paraId="0366177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无需开放宿主机 3306</w:t>
            </w:r>
          </w:p>
        </w:tc>
      </w:tr>
      <w:tr w14:paraId="1D2216D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4D6ED3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应用 → Gitea</w:t>
            </w:r>
          </w:p>
        </w:tc>
        <w:tc>
          <w:tcPr>
            <w:vAlign w:val="center"/>
          </w:tcPr>
          <w:p w14:paraId="67DE5E6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仓库 HTTP(S)、API 和本地镜像同步</w:t>
            </w:r>
          </w:p>
        </w:tc>
        <w:tc>
          <w:tcPr>
            <w:vAlign w:val="center"/>
          </w:tcPr>
          <w:p w14:paraId="5088568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仓库地址与宿主配置正确，令牌具有读取权限</w:t>
            </w:r>
          </w:p>
        </w:tc>
      </w:tr>
      <w:tr w14:paraId="34B2B49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297111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应用 → AI 网关</w:t>
            </w:r>
          </w:p>
        </w:tc>
        <w:tc>
          <w:tcPr>
            <w:vAlign w:val="center"/>
          </w:tcPr>
          <w:p w14:paraId="1AF31AB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OpenAI 兼容 chat/completions 接口</w:t>
            </w:r>
          </w:p>
        </w:tc>
        <w:tc>
          <w:tcPr>
            <w:vAlign w:val="center"/>
          </w:tcPr>
          <w:p w14:paraId="039ED00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网关可达，Token 和模型名有效</w:t>
            </w:r>
          </w:p>
        </w:tc>
      </w:tr>
      <w:tr w14:paraId="5E79F22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CA3604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应用 → 外部流水线</w:t>
            </w:r>
          </w:p>
        </w:tc>
        <w:tc>
          <w:tcPr>
            <w:vAlign w:val="center"/>
          </w:tcPr>
          <w:p w14:paraId="36CB4C6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api-review 的调用 API、可选查询地址</w:t>
            </w:r>
          </w:p>
        </w:tc>
        <w:tc>
          <w:tcPr>
            <w:vAlign w:val="center"/>
          </w:tcPr>
          <w:p w14:paraId="6AC5A2A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仅使用该策略时需要</w:t>
            </w:r>
          </w:p>
        </w:tc>
      </w:tr>
      <w:tr w14:paraId="2BF6ADC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A34570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浏览器 → SonarQube</w:t>
            </w:r>
          </w:p>
        </w:tc>
        <w:tc>
          <w:tcPr>
            <w:vAlign w:val="center"/>
          </w:tcPr>
          <w:p w14:paraId="03BF2AC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结果展示地址</w:t>
            </w:r>
          </w:p>
        </w:tc>
        <w:tc>
          <w:tcPr>
            <w:vAlign w:val="center"/>
          </w:tcPr>
          <w:p w14:paraId="79F858B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使用 api-review 的外部结果链接时需要</w:t>
            </w:r>
          </w:p>
        </w:tc>
      </w:tr>
    </w:tbl>
    <w:p w14:paraId="14F2E37F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APP_BIND_IP 默认监听所有网卡。仅向某块内网网卡提供访问时，可填写该网卡地址。防火墙和访问范围按现场制度配置；部署脚本不会替用户开放防火墙，也不会重启 Docker 守护进程。</w:t>
      </w:r>
    </w:p>
    <w:p w14:paraId="1EED3C75">
      <w:pPr>
        <w:pStyle w:val="2"/>
        <w:outlineLvl w:val="0"/>
      </w:pPr>
      <w:bookmarkStart w:id="10" w:name="DeliveryUChapter3"/>
      <w:r>
        <w:rPr>
          <w:rFonts w:ascii="宋体" w:hAnsi="宋体" w:eastAsia="宋体" w:cs="宋体"/>
        </w:rPr>
        <w:t>3 离线部署包与首次部署</w:t>
      </w:r>
      <w:bookmarkEnd w:id="10"/>
    </w:p>
    <w:p w14:paraId="056B07E1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3.1 包名和目录</w:t>
      </w:r>
    </w:p>
    <w:p w14:paraId="5891B9FF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离线包命名为 codereview-offline-&lt;版本&gt;.tar.gz。它包含应用镜像、MySQL 镜像、部署脚本、配置模板、源码快照和校验和。</w:t>
      </w:r>
    </w:p>
    <w:p w14:paraId="23400482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codereview-offline-&lt;版本&gt;/</w:t>
      </w:r>
    </w:p>
    <w:p w14:paraId="5B984D72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docker-compose.yml</w:t>
      </w:r>
    </w:p>
    <w:p w14:paraId="2DDF46FF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.env.example</w:t>
      </w:r>
    </w:p>
    <w:p w14:paraId="7394DE02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config/application.yml.example</w:t>
      </w:r>
    </w:p>
    <w:p w14:paraId="45EEA9DF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images/</w:t>
      </w:r>
    </w:p>
    <w:p w14:paraId="35E6C0F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codereview-app-&lt;版本&gt;.tar.gz</w:t>
      </w:r>
    </w:p>
    <w:p w14:paraId="68D3D02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mysql-8.0.36.tar.gz</w:t>
      </w:r>
    </w:p>
    <w:p w14:paraId="046D42C8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└─ SHA256SUMS.txt</w:t>
      </w:r>
    </w:p>
    <w:p w14:paraId="09FB0FB8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scripts/</w:t>
      </w:r>
    </w:p>
    <w:p w14:paraId="5DD53BE6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deploy.sh</w:t>
      </w:r>
    </w:p>
    <w:p w14:paraId="48C24AF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preflight.sh</w:t>
      </w:r>
    </w:p>
    <w:p w14:paraId="37DB4426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backup.sh</w:t>
      </w:r>
    </w:p>
    <w:p w14:paraId="708D5D38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├─ rollback.sh</w:t>
      </w:r>
    </w:p>
    <w:p w14:paraId="2D94E636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│  └─ common.sh</w:t>
      </w:r>
    </w:p>
    <w:p w14:paraId="5B26899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├─ env-check.sh</w:t>
      </w:r>
    </w:p>
    <w:p w14:paraId="421554F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└─ source-&lt;版本&gt;.zip</w:t>
      </w:r>
    </w:p>
    <w:p w14:paraId="339D0D00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首次部署后还会建立以下运行文件和目录：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0931CA1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1A10286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位置</w:t>
            </w:r>
          </w:p>
        </w:tc>
        <w:tc>
          <w:tcPr>
            <w:shd w:val="clear" w:color="auto" w:fill="F3F3F3"/>
            <w:vAlign w:val="center"/>
          </w:tcPr>
          <w:p w14:paraId="38505B6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用途</w:t>
            </w:r>
          </w:p>
        </w:tc>
        <w:tc>
          <w:tcPr>
            <w:shd w:val="clear" w:color="auto" w:fill="F3F3F3"/>
            <w:vAlign w:val="center"/>
          </w:tcPr>
          <w:p w14:paraId="7E3BA5E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保存要求</w:t>
            </w:r>
          </w:p>
        </w:tc>
      </w:tr>
      <w:tr w14:paraId="6583847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A91B59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.env</w:t>
            </w:r>
          </w:p>
        </w:tc>
        <w:tc>
          <w:tcPr>
            <w:vAlign w:val="center"/>
          </w:tcPr>
          <w:p w14:paraId="3D8AEB8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数据库密码、镜像版本、端口及环境令牌</w:t>
            </w:r>
          </w:p>
        </w:tc>
        <w:tc>
          <w:tcPr>
            <w:vAlign w:val="center"/>
          </w:tcPr>
          <w:p w14:paraId="77F5874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含凭据，与数据库数据配套保存</w:t>
            </w:r>
          </w:p>
        </w:tc>
      </w:tr>
      <w:tr w14:paraId="7E89F6B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989874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config/application.yml</w:t>
            </w:r>
          </w:p>
        </w:tc>
        <w:tc>
          <w:tcPr>
            <w:vAlign w:val="center"/>
          </w:tcPr>
          <w:p w14:paraId="089C2EB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渲染后的运行配置</w:t>
            </w:r>
          </w:p>
        </w:tc>
        <w:tc>
          <w:tcPr>
            <w:vAlign w:val="center"/>
          </w:tcPr>
          <w:p w14:paraId="27D106A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包含数据库连接等现场配置，应保护并备份</w:t>
            </w:r>
          </w:p>
        </w:tc>
      </w:tr>
      <w:tr w14:paraId="1B367AC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018D3D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data/mysql</w:t>
            </w:r>
          </w:p>
        </w:tc>
        <w:tc>
          <w:tcPr>
            <w:vAlign w:val="center"/>
          </w:tcPr>
          <w:p w14:paraId="73470D0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MySQL 持久化数据</w:t>
            </w:r>
          </w:p>
        </w:tc>
        <w:tc>
          <w:tcPr>
            <w:vAlign w:val="center"/>
          </w:tcPr>
          <w:p w14:paraId="5C11AB2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不得随意删除或覆盖</w:t>
            </w:r>
          </w:p>
        </w:tc>
      </w:tr>
      <w:tr w14:paraId="09A7AAA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E70463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data/git-mirrors</w:t>
            </w:r>
          </w:p>
        </w:tc>
        <w:tc>
          <w:tcPr>
            <w:vAlign w:val="center"/>
          </w:tcPr>
          <w:p w14:paraId="124CC7E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Gitea 本地 bare 仓库缓存</w:t>
            </w:r>
          </w:p>
        </w:tc>
        <w:tc>
          <w:tcPr>
            <w:vAlign w:val="center"/>
          </w:tcPr>
          <w:p w14:paraId="151E177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需要应用容器可写；可重建，但重建需要重新同步仓库</w:t>
            </w:r>
          </w:p>
        </w:tc>
      </w:tr>
      <w:tr w14:paraId="45768FB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24D022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backups</w:t>
            </w:r>
          </w:p>
        </w:tc>
        <w:tc>
          <w:tcPr>
            <w:vAlign w:val="center"/>
          </w:tcPr>
          <w:p w14:paraId="6003681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数据库 SQL gzip 和 .env 副本</w:t>
            </w:r>
          </w:p>
        </w:tc>
        <w:tc>
          <w:tcPr>
            <w:vAlign w:val="center"/>
          </w:tcPr>
          <w:p w14:paraId="2361A05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限制访问并按要求异地留存</w:t>
            </w:r>
          </w:p>
        </w:tc>
      </w:tr>
    </w:tbl>
    <w:p w14:paraId="7DAF91DA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3.2 解压与环境采集</w:t>
      </w:r>
    </w:p>
    <w:p w14:paraId="058D4228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将包复制到 Linux 原生目录后执行：</w:t>
      </w:r>
    </w:p>
    <w:p w14:paraId="4A9AB06E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tar xzf codereview-offline-&lt;版本&gt;.tar.gz</w:t>
      </w:r>
    </w:p>
    <w:p w14:paraId="3A663EC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codereview-offline-&lt;版本&gt;</w:t>
      </w:r>
    </w:p>
    <w:p w14:paraId="5CDF9693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env-check.sh</w:t>
      </w:r>
    </w:p>
    <w:p w14:paraId="7F035B3A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环境采集脚本默认将报告写入 /tmp，终端会显示实际报告路径。需要直接保存到可写的交付目录时，可以指定目录：</w:t>
      </w:r>
    </w:p>
    <w:p w14:paraId="1AC12CE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env-check.sh /&lt;可写报告目录&gt;</w:t>
      </w:r>
    </w:p>
    <w:p w14:paraId="548DD6B0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脚本读取系统、Docker、资源、网络和工具信息，并写入报告文件。报告可能包含内部主机名、IP 和环境信息；提供给其他人员前按要求脱敏。</w:t>
      </w:r>
    </w:p>
    <w:p w14:paraId="2272E4B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3.3 校验镜像完整性</w:t>
      </w:r>
    </w:p>
    <w:p w14:paraId="40925094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在包根目录执行：</w:t>
      </w:r>
    </w:p>
    <w:p w14:paraId="7AF10F8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images</w:t>
      </w:r>
    </w:p>
    <w:p w14:paraId="2707FF2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sha256sum -c SHA256SUMS.txt</w:t>
      </w:r>
    </w:p>
    <w:p w14:paraId="0DF7AEE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cd ..</w:t>
      </w:r>
    </w:p>
    <w:p w14:paraId="1ADD90E1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应用镜像和数据库镜像都应显示 OK。出现 FAILED 时停止部署，重新获取或复制正确文件，重新校验后再继续。</w:t>
      </w:r>
    </w:p>
    <w:p w14:paraId="2CFABAE6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3.4 设置部署参数</w:t>
      </w:r>
    </w:p>
    <w:p w14:paraId="3A860D86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推荐先复制参数模板，填写现场值：</w:t>
      </w:r>
    </w:p>
    <w:p w14:paraId="2CEA88D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cp .env.example .env</w:t>
      </w:r>
    </w:p>
    <w:p w14:paraId="49DC0B6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vi .env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6CBCE81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0BA1E61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参数</w:t>
            </w:r>
          </w:p>
        </w:tc>
        <w:tc>
          <w:tcPr>
            <w:shd w:val="clear" w:color="auto" w:fill="F3F3F3"/>
            <w:vAlign w:val="center"/>
          </w:tcPr>
          <w:p w14:paraId="1F4339C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默认值或填写要求</w:t>
            </w:r>
          </w:p>
        </w:tc>
      </w:tr>
      <w:tr w14:paraId="5B31BF3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1C5A9F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APP_PORT</w:t>
            </w:r>
          </w:p>
        </w:tc>
        <w:tc>
          <w:tcPr>
            <w:vAlign w:val="center"/>
          </w:tcPr>
          <w:p w14:paraId="2B42648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18080；修改为现场允许且空闲的端口</w:t>
            </w:r>
          </w:p>
        </w:tc>
      </w:tr>
      <w:tr w14:paraId="7621558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49D814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APP_BIND_IP</w:t>
            </w:r>
          </w:p>
        </w:tc>
        <w:tc>
          <w:tcPr>
            <w:vAlign w:val="center"/>
          </w:tcPr>
          <w:p w14:paraId="6B1B55B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0.0.0.0；可改为指定内网网卡 IP</w:t>
            </w:r>
          </w:p>
        </w:tc>
      </w:tr>
      <w:tr w14:paraId="605735B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2945CC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Consolas" w:hAnsi="Consolas" w:eastAsia="宋体" w:cs="宋体"/>
                <w:b/>
                <w:bCs/>
                <w:sz w:val="18"/>
                <w:szCs w:val="18"/>
              </w:rPr>
              <w:t>MYSQL_ROOT_PASSWORD</w:t>
            </w:r>
          </w:p>
        </w:tc>
        <w:tc>
          <w:tcPr>
            <w:vAlign w:val="center"/>
          </w:tcPr>
          <w:p w14:paraId="1169CD4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手工建立 .env 时必须填写</w:t>
            </w:r>
          </w:p>
        </w:tc>
      </w:tr>
      <w:tr w14:paraId="5AE15B9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EBF47F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MYSQL_PASSWORD</w:t>
            </w:r>
          </w:p>
        </w:tc>
        <w:tc>
          <w:tcPr>
            <w:vAlign w:val="center"/>
          </w:tcPr>
          <w:p w14:paraId="6908CEE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手工建立 .env 时必须填写</w:t>
            </w:r>
          </w:p>
        </w:tc>
      </w:tr>
      <w:tr w14:paraId="3E9C48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6DBFEC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MYSQL_DATABASE</w:t>
            </w:r>
          </w:p>
        </w:tc>
        <w:tc>
          <w:tcPr>
            <w:vAlign w:val="center"/>
          </w:tcPr>
          <w:p w14:paraId="651255F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code_review</w:t>
            </w:r>
          </w:p>
        </w:tc>
      </w:tr>
      <w:tr w14:paraId="570BE3B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6FE771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MYSQL_USER</w:t>
            </w:r>
          </w:p>
        </w:tc>
        <w:tc>
          <w:tcPr>
            <w:vAlign w:val="center"/>
          </w:tcPr>
          <w:p w14:paraId="5FA1551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codereview</w:t>
            </w:r>
          </w:p>
        </w:tc>
      </w:tr>
      <w:tr w14:paraId="4E14225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CA6208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MYSQL_IMAGE_TAG</w:t>
            </w:r>
          </w:p>
        </w:tc>
        <w:tc>
          <w:tcPr>
            <w:vAlign w:val="center"/>
          </w:tcPr>
          <w:p w14:paraId="0D5283B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8.0.36</w:t>
            </w:r>
          </w:p>
        </w:tc>
      </w:tr>
      <w:tr w14:paraId="6A5C117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448372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APP_MEM_LIMIT / MYSQL_MEM_LIMIT</w:t>
            </w:r>
          </w:p>
        </w:tc>
        <w:tc>
          <w:tcPr>
            <w:vAlign w:val="center"/>
          </w:tcPr>
          <w:p w14:paraId="058B388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4g / 2g</w:t>
            </w:r>
          </w:p>
        </w:tc>
      </w:tr>
      <w:tr w14:paraId="7DB1704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3835B6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JAVA_OPTS</w:t>
            </w:r>
          </w:p>
        </w:tc>
        <w:tc>
          <w:tcPr>
            <w:vAlign w:val="center"/>
          </w:tcPr>
          <w:p w14:paraId="2CA866E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含空格的整段值应保留双引号</w:t>
            </w:r>
          </w:p>
        </w:tc>
      </w:tr>
      <w:tr w14:paraId="75E5887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7376A3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GITEA_TOKEN / GITHUB_TOKEN</w:t>
            </w:r>
          </w:p>
        </w:tc>
        <w:tc>
          <w:tcPr>
            <w:vAlign w:val="center"/>
          </w:tcPr>
          <w:p w14:paraId="705A656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可选仓库认证兜底令牌</w:t>
            </w:r>
          </w:p>
        </w:tc>
      </w:tr>
      <w:tr w14:paraId="4500458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1012DB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DEEPSEEK_API_KEY</w:t>
            </w:r>
          </w:p>
        </w:tc>
        <w:tc>
          <w:tcPr>
            <w:vAlign w:val="center"/>
          </w:tcPr>
          <w:p w14:paraId="38331CC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默认模型初始化使用的网关令牌；也可随后在模型界面配置</w:t>
            </w:r>
          </w:p>
        </w:tc>
      </w:tr>
      <w:tr w14:paraId="2008DC1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DB8CDF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AI_BASE_URL</w:t>
            </w:r>
          </w:p>
        </w:tc>
        <w:tc>
          <w:tcPr>
            <w:vAlign w:val="center"/>
          </w:tcPr>
          <w:p w14:paraId="69B5E8F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现场 AI 网关接口根地址，填写方法见第 5 章</w:t>
            </w:r>
          </w:p>
        </w:tc>
      </w:tr>
      <w:tr w14:paraId="62BBDCC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C438F8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AI_MODEL</w:t>
            </w:r>
          </w:p>
        </w:tc>
        <w:tc>
          <w:tcPr>
            <w:vAlign w:val="center"/>
          </w:tcPr>
          <w:p w14:paraId="0672264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现场模型的准确名称</w:t>
            </w:r>
          </w:p>
        </w:tc>
      </w:tr>
    </w:tbl>
    <w:p w14:paraId="43203A46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参数片段示例：</w:t>
      </w:r>
    </w:p>
    <w:p w14:paraId="679956A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APP_PORT=18080</w:t>
      </w:r>
    </w:p>
    <w:p w14:paraId="229908C2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APP_BIND_IP=0.0.0.0</w:t>
      </w:r>
    </w:p>
    <w:p w14:paraId="760327A3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MYSQL_DATABASE=code_review</w:t>
      </w:r>
    </w:p>
    <w:p w14:paraId="13C42CF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MYSQL_USER=codereview</w:t>
      </w:r>
    </w:p>
    <w:p w14:paraId="24B18E65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MYSQL_ROOT_PASSWORD=&lt;现场设置的数据库root密码&gt;</w:t>
      </w:r>
    </w:p>
    <w:p w14:paraId="5EC7B5E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MYSQL_PASSWORD=&lt;现场设置的应用数据库密码&gt;</w:t>
      </w:r>
    </w:p>
    <w:p w14:paraId="79E4A3CF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AI_BASE_URL=https://&lt;网关主机&gt;/v1</w:t>
      </w:r>
    </w:p>
    <w:p w14:paraId="2B25C73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AI_MODEL=&lt;网关提供的模型名&gt;</w:t>
      </w:r>
    </w:p>
    <w:p w14:paraId="532D7FFE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DEEPSEEK_API_KEY=&lt;现场网关令牌&gt;</w:t>
      </w:r>
    </w:p>
    <w:p w14:paraId="3FCC45E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JAVA_OPTS="-Xms1g -Xmx4g -XX:+UseG1GC -XX:-UseTransparentHugePages -Dfile.encoding=UTF-8 -Duser.timezone=Asia/Shanghai"</w:t>
      </w:r>
    </w:p>
    <w:p w14:paraId="7983883A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上面是说明性片段，不应整段覆盖现有 .env。尖括号内容必须替换后使用。</w:t>
      </w:r>
    </w:p>
    <w:p w14:paraId="025928B0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本版本部署脚本用文本替换方式生成运行 YAML。手工填写数据库密码时，使用至少 24 位随机字母和数字，不添加引号；包含 &amp;、|、反斜杠或 YAML 特殊内容的值可能破坏替换或配置解析。若现场口令策略要求特殊字符，应由部署负责人校验并手工设置运行配置后再启动。</w:t>
      </w:r>
    </w:p>
    <w:p w14:paraId="25F09A71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另一种首次初始化方式是不提前建立 .env，直接执行部署脚本，由脚本从模板创建文件并生成两个随机数据库密码。脚本只在 .env 不存在时自动生成密码；手工复制 .env 后留下空密码不会自动补齐。</w:t>
      </w:r>
    </w:p>
    <w:p w14:paraId="5CD4D864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数据库密码仅在 data/mysql 首次初始化时生效。数据库已有数据后，修改 .env 不会同步修改 MySQL 用户密码；确需修改时，应由数据库管理员同步处理数据库账户与应用连接配置。</w:t>
      </w:r>
    </w:p>
    <w:p w14:paraId="42D2149A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3.5 执行部署</w:t>
      </w:r>
    </w:p>
    <w:p w14:paraId="3F4B1832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在离线包根目录执行：</w:t>
      </w:r>
    </w:p>
    <w:p w14:paraId="3AE12D8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scripts/deploy.sh --tag &lt;版本&gt;</w:t>
      </w:r>
    </w:p>
    <w:p w14:paraId="26DAA83F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脚本将建立目录、调整 Git 缓存权限、生成缺失配置、执行前置体检、装载本地镜像、设置应用版本、尝试备份已有数据库、配置网络，然后提示确认启动。核对应用端口、内存限制和项目名后输入 y。</w:t>
      </w:r>
    </w:p>
    <w:p w14:paraId="0318499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脚本在启动确认之前已可能生成文件、装载镜像、修改镜像标签或备份，因此不要把取消启动理解为整个脚本从未写入任何内容。已有数据库备份失败时脚本会警告并继续；升级前应人工确认备份成功。</w:t>
      </w:r>
    </w:p>
    <w:p w14:paraId="7CC5010E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应用启动后，脚本最多等待约 5 分钟检查健康状态。成功会打印访问地址。首次自动生成密码时，结束输出可能显示应用数据库密码；请及时保存到受控凭据管理位置，不要将该行纳入交付截图。</w:t>
      </w:r>
    </w:p>
    <w:p w14:paraId="3F464240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3.6 设置 Gitea 接入</w:t>
      </w:r>
    </w:p>
    <w:p w14:paraId="40732C70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现场 Gitea 主机应加入 config/application.yml 的 git.gitea.hosts。条目填写 host[:port]，不包含协议和路径。以下为配置片段：</w:t>
      </w:r>
    </w:p>
    <w:p w14:paraId="5018D112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git:</w:t>
      </w:r>
    </w:p>
    <w:p w14:paraId="06A00B4F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gitea:</w:t>
      </w:r>
    </w:p>
    <w:p w14:paraId="478FABA5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hosts:</w:t>
      </w:r>
    </w:p>
    <w:p w14:paraId="14E2040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  - &lt;Gitea主机或主机:端口&gt;</w:t>
      </w:r>
    </w:p>
    <w:p w14:paraId="50ACB38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api-base: ""</w:t>
      </w:r>
    </w:p>
    <w:p w14:paraId="75EA609C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token: ${GITEA_TOKEN:}</w:t>
      </w:r>
    </w:p>
    <w:p w14:paraId="5DCB130D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local-clone-enabled: true</w:t>
      </w:r>
    </w:p>
    <w:p w14:paraId="2D1932CD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work-dir: /app/data/git-mirrors</w:t>
      </w:r>
    </w:p>
    <w:p w14:paraId="677D8460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mirror-timeout-seconds: 120</w:t>
      </w:r>
    </w:p>
    <w:p w14:paraId="6CCB6405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  diff-max-bytes: 5242880</w:t>
      </w:r>
    </w:p>
    <w:p w14:paraId="16BEC1A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HTTP(S) 仓库 URL 示例为 http://&lt;Gitea主机&gt;/gitea/&lt;owner&gt;/&lt;repo&gt;。系统保留 /gitea 等站点前缀，推导 API 根为 http://&lt;Gitea主机&gt;/gitea/api/v1。通常保持 api-base 为空；使用 git@host:owner/repo 地址时，因地址没有 HTTP 前缀，须显式设置包含 /api/v1 的 API 根。使用人员优先填写 HTTP(S) 仓库 URL。</w:t>
      </w:r>
    </w:p>
    <w:p w14:paraId="18CD066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local-clone-enabled 和持久化镜像目录用于支持 Gitea 缺少 compare 接口时的本地差异计算。模板中的同步超时单位是秒，默认 120；diff 限制单位是字节，默认 5242880，即 5 MiB。</w:t>
      </w:r>
    </w:p>
    <w:p w14:paraId="1FACC80C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修改运行 YAML 后重启应用：</w:t>
      </w:r>
    </w:p>
    <w:p w14:paraId="78C68CC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 w14:paraId="49291535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3.7 部署完成检查</w:t>
      </w:r>
    </w:p>
    <w:p w14:paraId="3730B091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部署负责人应完成以下检查并记录实际版本和时间：</w:t>
      </w:r>
    </w:p>
    <w:p w14:paraId="2AF1C905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镜像校验通过，版本符合交付要求。</w:t>
      </w:r>
    </w:p>
    <w:p w14:paraId="0E7F9C05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查看 Compose 状态，确认应用和数据库运行及健康状态。</w:t>
      </w:r>
    </w:p>
    <w:p w14:paraId="36C56334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浏览器打开实际访问地址，确认页面显示。</w:t>
      </w:r>
    </w:p>
    <w:p w14:paraId="3A8EDFFF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在“模型”页面执行验证。</w:t>
      </w:r>
    </w:p>
    <w:p w14:paraId="664967CE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接入一项仓库，确认分支、文件树和提交列表可读取。</w:t>
      </w:r>
    </w:p>
    <w:p w14:paraId="36A900D1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执行一条小范围审查，确认结果和记录能够显示。</w:t>
      </w:r>
    </w:p>
    <w:p w14:paraId="48C1D835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应用容器健康检查只访问 / 页面；页面响应不能替代模型、仓库和完整业务流程检查。</w:t>
      </w:r>
    </w:p>
    <w:p w14:paraId="2E950462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采集镜像校验OK、前置体检关键资源检查及Compose ps中的app和mysql健康状态，可合并为子图；标明部署版本与采集时间，遮蔽密码、令牌、内部主机身份等敏感内容，禁止截入首次密码输出行。</w:t>
      </w:r>
    </w:p>
    <w:p w14:paraId="7CB6A7D2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7B5A6783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2 部署检查与服务状态  现场截图预留</w:t>
      </w:r>
    </w:p>
    <w:p w14:paraId="3704DCF8">
      <w:pPr>
        <w:spacing w:after="240"/>
        <w:jc w:val="both"/>
        <w:rPr>
          <w:rFonts w:ascii="宋体" w:hAnsi="宋体" w:eastAsia="宋体" w:cs="宋体"/>
        </w:rPr>
      </w:pPr>
      <w:r>
        <w:br w:type="page"/>
      </w:r>
    </w:p>
    <w:p w14:paraId="2B312DEA">
      <w:pPr>
        <w:pStyle w:val="2"/>
        <w:outlineLvl w:val="0"/>
      </w:pPr>
      <w:bookmarkStart w:id="11" w:name="DeliveryUChapter4"/>
      <w:r>
        <w:rPr>
          <w:rFonts w:ascii="宋体" w:hAnsi="宋体" w:eastAsia="宋体" w:cs="宋体"/>
        </w:rPr>
        <w:t>4 运行维护、升级与回退</w:t>
      </w:r>
      <w:bookmarkEnd w:id="11"/>
    </w:p>
    <w:p w14:paraId="2F6E200D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4.1 常用维护命令</w:t>
      </w:r>
    </w:p>
    <w:p w14:paraId="4472FF73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以下命令均从实际部署包根目录执行。Compose 服务名为 app 和 mysql；固定容器名为 codereview-app 和 codereview-mysql。Compose 的 logs、restart 等服务操作使用服务名。</w:t>
      </w:r>
    </w:p>
    <w:p w14:paraId="24CCC9B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# 服务状态</w:t>
      </w:r>
    </w:p>
    <w:p w14:paraId="159CABA6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ps</w:t>
      </w:r>
    </w:p>
    <w:p w14:paraId="012FC88C">
      <w:pPr>
        <w:spacing w:after="120"/>
        <w:jc w:val="left"/>
        <w:rPr>
          <w:rFonts w:ascii="宋体" w:hAnsi="宋体" w:eastAsia="宋体" w:cs="宋体"/>
        </w:rPr>
      </w:pPr>
    </w:p>
    <w:p w14:paraId="66F2F0D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# 应用最近200行日志</w:t>
      </w:r>
    </w:p>
    <w:p w14:paraId="6D1A1E6C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logs --tail=200 app</w:t>
      </w:r>
    </w:p>
    <w:p w14:paraId="023A7E76">
      <w:pPr>
        <w:spacing w:after="120"/>
        <w:jc w:val="left"/>
        <w:rPr>
          <w:rFonts w:ascii="宋体" w:hAnsi="宋体" w:eastAsia="宋体" w:cs="宋体"/>
        </w:rPr>
      </w:pPr>
    </w:p>
    <w:p w14:paraId="5B639AA6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# 数据库最近200行日志</w:t>
      </w:r>
    </w:p>
    <w:p w14:paraId="3435B888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logs --tail=200 mysql</w:t>
      </w:r>
    </w:p>
    <w:p w14:paraId="3210BDC7">
      <w:pPr>
        <w:spacing w:after="120"/>
        <w:jc w:val="left"/>
        <w:rPr>
          <w:rFonts w:ascii="宋体" w:hAnsi="宋体" w:eastAsia="宋体" w:cs="宋体"/>
        </w:rPr>
      </w:pPr>
    </w:p>
    <w:p w14:paraId="3400B5D8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# 实时应用日志，按 Ctrl+C 结束查看</w:t>
      </w:r>
    </w:p>
    <w:p w14:paraId="229032AE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logs -f app</w:t>
      </w:r>
    </w:p>
    <w:p w14:paraId="56DC893A">
      <w:pPr>
        <w:spacing w:after="120"/>
        <w:jc w:val="left"/>
        <w:rPr>
          <w:rFonts w:ascii="宋体" w:hAnsi="宋体" w:eastAsia="宋体" w:cs="宋体"/>
        </w:rPr>
      </w:pPr>
    </w:p>
    <w:p w14:paraId="00BC8B3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# 停止已有服务</w:t>
      </w:r>
    </w:p>
    <w:p w14:paraId="7EB27DF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stop</w:t>
      </w:r>
    </w:p>
    <w:p w14:paraId="48B9D7F7">
      <w:pPr>
        <w:spacing w:after="120"/>
        <w:jc w:val="left"/>
        <w:rPr>
          <w:rFonts w:ascii="宋体" w:hAnsi="宋体" w:eastAsia="宋体" w:cs="宋体"/>
        </w:rPr>
      </w:pPr>
    </w:p>
    <w:p w14:paraId="2B1070F3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# 启动已有服务</w:t>
      </w:r>
    </w:p>
    <w:p w14:paraId="7E81E66C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start</w:t>
      </w:r>
    </w:p>
    <w:p w14:paraId="1F0C6547">
      <w:pPr>
        <w:spacing w:after="120"/>
        <w:jc w:val="left"/>
        <w:rPr>
          <w:rFonts w:ascii="宋体" w:hAnsi="宋体" w:eastAsia="宋体" w:cs="宋体"/>
        </w:rPr>
      </w:pPr>
    </w:p>
    <w:p w14:paraId="5BC642F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# 运行YAML更新后重启应用</w:t>
      </w:r>
    </w:p>
    <w:p w14:paraId="445D1D36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docker compose -p codereview --env-file .env -f docker-compose.yml restart app</w:t>
      </w:r>
    </w:p>
    <w:p w14:paraId="57156D28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修改 .env 中端口、环境令牌或 JVM 环境参数后，单纯 restart 不会重新创建容器环境。核对配置后可重新执行部署脚本，使 Compose 应用变更。修改模型界面中的配置则保存到数据库，按界面保存并验证即可。</w:t>
      </w:r>
    </w:p>
    <w:p w14:paraId="24748C50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4.2 数据库备份</w:t>
      </w:r>
    </w:p>
    <w:p w14:paraId="18CDD461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执行手工备份：</w:t>
      </w:r>
    </w:p>
    <w:p w14:paraId="0A052DE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scripts/backup.sh</w:t>
      </w:r>
    </w:p>
    <w:p w14:paraId="31BCAAE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备份要求 MySQL 为 healthy，且 .env 中 root 密码有效。脚本使用事务一致性导出选项生成压缩 SQL，同时保存当时的 .env 副本。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56FAF4A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5647D29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备份内容</w:t>
            </w:r>
          </w:p>
        </w:tc>
        <w:tc>
          <w:tcPr>
            <w:shd w:val="clear" w:color="auto" w:fill="F3F3F3"/>
            <w:vAlign w:val="center"/>
          </w:tcPr>
          <w:p w14:paraId="6B907F0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位置</w:t>
            </w:r>
          </w:p>
        </w:tc>
        <w:tc>
          <w:tcPr>
            <w:shd w:val="clear" w:color="auto" w:fill="F3F3F3"/>
            <w:vAlign w:val="center"/>
          </w:tcPr>
          <w:p w14:paraId="4D7C1F8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说明</w:t>
            </w:r>
          </w:p>
        </w:tc>
      </w:tr>
      <w:tr w14:paraId="500311C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6458CF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数据库SQL</w:t>
            </w:r>
          </w:p>
        </w:tc>
        <w:tc>
          <w:tcPr>
            <w:vAlign w:val="center"/>
          </w:tcPr>
          <w:p w14:paraId="1C82437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backups/&lt;数据库名&gt;-&lt;时间&gt;.sql.gz</w:t>
            </w:r>
          </w:p>
        </w:tc>
        <w:tc>
          <w:tcPr>
            <w:vAlign w:val="center"/>
          </w:tcPr>
          <w:p w14:paraId="66309A7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包含例程、触发器和事件</w:t>
            </w:r>
          </w:p>
        </w:tc>
      </w:tr>
      <w:tr w14:paraId="5FDAE94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373C81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部署凭据副本</w:t>
            </w:r>
          </w:p>
        </w:tc>
        <w:tc>
          <w:tcPr>
            <w:vAlign w:val="center"/>
          </w:tcPr>
          <w:p w14:paraId="4D0D7CD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backups/env-&lt;时间&gt;.txt</w:t>
            </w:r>
          </w:p>
        </w:tc>
        <w:tc>
          <w:tcPr>
            <w:vAlign w:val="center"/>
          </w:tcPr>
          <w:p w14:paraId="222AE3C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含密码，应限制访问</w:t>
            </w:r>
          </w:p>
        </w:tc>
      </w:tr>
      <w:tr w14:paraId="6434B90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34A49D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运行配置</w:t>
            </w:r>
          </w:p>
        </w:tc>
        <w:tc>
          <w:tcPr>
            <w:vAlign w:val="center"/>
          </w:tcPr>
          <w:p w14:paraId="1813F56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config/application.yml</w:t>
            </w:r>
          </w:p>
        </w:tc>
        <w:tc>
          <w:tcPr>
            <w:vAlign w:val="center"/>
          </w:tcPr>
          <w:p w14:paraId="25FF3A6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备份脚本未自动复制，应纳入运维备份范围</w:t>
            </w:r>
          </w:p>
        </w:tc>
      </w:tr>
    </w:tbl>
    <w:p w14:paraId="6815A713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脚本每次运行会清理超过 7 天的本项目 SQL 和 env 副本。它不会自动创建每日备份任务。需要每日备份时，由运维在实际部署目录配置，例如：</w:t>
      </w:r>
    </w:p>
    <w:p w14:paraId="6348BD3F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0 2 * * * cd /opt/codereview-offline-&lt;版本&gt; &amp;&amp; bash scripts/backup.sh &gt;&gt; backups/backup.log 2&gt;&amp;1</w:t>
      </w:r>
    </w:p>
    <w:p w14:paraId="09631984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正式备份应确认文件非空、保留执行记录并安排恢复验证。运行中的 data/mysql 目录直接复制不能替代已验证一致性的数据库备份；不要在数据库运行时仅靠复制目录判断备份成功。</w:t>
      </w:r>
    </w:p>
    <w:p w14:paraId="5277CA3D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4.3 应用升级</w:t>
      </w:r>
    </w:p>
    <w:p w14:paraId="0131478F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升级前应独立完成一次备份，并确认能够取得对应凭据和运行配置。将更新包的镜像、脚本、Compose 与模板按交付说明更新到受控部署目录，保留既有 .env、config/application.yml、data/ 和 backups/。新模板参数应与既有运行配置逐项核对，不应直接用模板覆盖现场配置。</w:t>
      </w:r>
    </w:p>
    <w:p w14:paraId="64FE0618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执行：</w:t>
      </w:r>
    </w:p>
    <w:p w14:paraId="4C6B93EA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scripts/deploy.sh --tag &lt;新版本&gt;</w:t>
      </w:r>
    </w:p>
    <w:p w14:paraId="244D4C00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部署成功后重新完成第 3.7 节的业务检查。config/application.yml 只在文件不存在时首次渲染；后续更改 .env 的 AI_BASE_URL 不会自动覆盖已经存在的运行 YAML。已经通过界面保存的模型也不会因 YAML 修改自动更新，应在“模型”页面处理。</w:t>
      </w:r>
    </w:p>
    <w:p w14:paraId="70923B6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4.4 应用镜像回退</w:t>
      </w:r>
    </w:p>
    <w:p w14:paraId="61EC0C83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手工回退命令：</w:t>
      </w:r>
    </w:p>
    <w:p w14:paraId="233DF1E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bash scripts/rollback.sh</w:t>
      </w:r>
    </w:p>
    <w:p w14:paraId="32685A48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回退依赖本机存在 codereview-app:previous 镜像。脚本会尝试备份数据库，提示确认后将 APP_TAG 改为 previous，启动并检查健康。部署健康失败时，如果 previous 存在，部署脚本也会尝试自动回退。首次部署没有上一镜像时无此回退目标。</w:t>
      </w:r>
    </w:p>
    <w:p w14:paraId="6C624EC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previous 来自部署时已有的 latest 镜像标签。人工改标签或前一次启动失败可能影响实际指向，运维应记录版本对应关系，不能只凭标签名称推定它一定是最近成功版本。</w:t>
      </w:r>
    </w:p>
    <w:p w14:paraId="54435EA9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应用镜像回退不恢复数据库数据，也不回退 Flyway 数据库迁移。 需要恢复数据时，应由数据库管理员根据 SQL 备份、凭据和版本兼容性执行恢复并验证。当前部署包没有专门的数据恢复脚本，不应将 rollback.sh 当作数据库恢复操作。</w:t>
      </w:r>
    </w:p>
    <w:p w14:paraId="28620646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4.5 凭据和交付资料保护</w:t>
      </w:r>
    </w:p>
    <w:p w14:paraId="13EE6D2D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.env、运行 YAML、备份凭据副本和数据库包含敏感信息。模型和 API Token 在浏览器接口中采取只写不回读方式，不能据此认为数据库内凭据已经加密。</w:t>
      </w:r>
    </w:p>
    <w:p w14:paraId="34DD8308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运维应限制部署目录与备份访问，保护代码和审查结果。排障截图不应显示 Token、数据库密码或可直接复用的认证值；对外提供配置时应先脱敏。删除项目之前，应保存需要留存的审查结果和报告。</w:t>
      </w:r>
    </w:p>
    <w:p w14:paraId="5CCBF190">
      <w:pPr>
        <w:pStyle w:val="2"/>
        <w:outlineLvl w:val="0"/>
      </w:pPr>
      <w:bookmarkStart w:id="12" w:name="DeliveryUChapter5"/>
      <w:r>
        <w:rPr>
          <w:rFonts w:ascii="宋体" w:hAnsi="宋体" w:eastAsia="宋体" w:cs="宋体"/>
        </w:rPr>
        <w:t>5 AI 大模型接入与验证</w:t>
      </w:r>
      <w:bookmarkEnd w:id="12"/>
    </w:p>
    <w:p w14:paraId="53CBA69F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5.1 新建模型</w:t>
      </w:r>
    </w:p>
    <w:p w14:paraId="0CA004A0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点击左侧“模型”，进入“模型接入”页面，再点击“新建模型”。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4333E30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0FDA956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字段</w:t>
            </w:r>
          </w:p>
        </w:tc>
        <w:tc>
          <w:tcPr>
            <w:shd w:val="clear" w:color="auto" w:fill="F3F3F3"/>
            <w:vAlign w:val="center"/>
          </w:tcPr>
          <w:p w14:paraId="7B64F65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填写方法</w:t>
            </w:r>
          </w:p>
        </w:tc>
      </w:tr>
      <w:tr w14:paraId="07AE568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DAC741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vAlign w:val="center"/>
          </w:tcPr>
          <w:p w14:paraId="1F7FD36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供策略和报告选择的显示名；必填，未删除模型中不得重复</w:t>
            </w:r>
          </w:p>
        </w:tc>
      </w:tr>
      <w:tr w14:paraId="420CF34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E2A108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接口地址</w:t>
            </w:r>
          </w:p>
        </w:tc>
        <w:tc>
          <w:tcPr>
            <w:vAlign w:val="center"/>
          </w:tcPr>
          <w:p w14:paraId="7E984A3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能够在后面直接拼接 /chat/completions 的接口根地址</w:t>
            </w:r>
          </w:p>
        </w:tc>
      </w:tr>
      <w:tr w14:paraId="6DF7453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B8F149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Token</w:t>
            </w:r>
          </w:p>
        </w:tc>
        <w:tc>
          <w:tcPr>
            <w:vAlign w:val="center"/>
          </w:tcPr>
          <w:p w14:paraId="3484C23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网关提供的调用令牌；本版本以 Bearer 认证调用</w:t>
            </w:r>
          </w:p>
        </w:tc>
      </w:tr>
      <w:tr w14:paraId="6593B22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85C4D6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模型名</w:t>
            </w:r>
          </w:p>
        </w:tc>
        <w:tc>
          <w:tcPr>
            <w:vAlign w:val="center"/>
          </w:tcPr>
          <w:p w14:paraId="254701B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现场网关实际提供的准确名称</w:t>
            </w:r>
          </w:p>
        </w:tc>
      </w:tr>
    </w:tbl>
    <w:p w14:paraId="5472845C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保存新建或编辑配置时，系统会执行连通验证。列表还提供“验证”“编辑”“删除”操作。若失败，配置仍会保留为“验证失败”，页面显示失败原因；调整后再次验证。</w:t>
      </w:r>
    </w:p>
    <w:p w14:paraId="52A5A5B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5.2 接口地址填写方法</w:t>
      </w:r>
    </w:p>
    <w:p w14:paraId="16785C6C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本版本实际请求地址为：</w:t>
      </w:r>
    </w:p>
    <w:p w14:paraId="018609DA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&lt;接口地址&gt;/chat/completions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6"/>
        <w:gridCol w:w="4114"/>
      </w:tblGrid>
      <w:tr w14:paraId="1CA1282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tcW w:w="5236" w:type="dxa"/>
            <w:shd w:val="clear" w:color="auto" w:fill="F3F3F3"/>
            <w:vAlign w:val="center"/>
          </w:tcPr>
          <w:p w14:paraId="2B0F7AF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网关实际完整接口</w:t>
            </w:r>
          </w:p>
        </w:tc>
        <w:tc>
          <w:tcPr>
            <w:tcW w:w="4114" w:type="dxa"/>
            <w:shd w:val="clear" w:color="auto" w:fill="F3F3F3"/>
            <w:vAlign w:val="center"/>
          </w:tcPr>
          <w:p w14:paraId="68B62D7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应填写的“接口地址”</w:t>
            </w:r>
          </w:p>
        </w:tc>
      </w:tr>
      <w:tr w14:paraId="303FEC2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5236" w:type="dxa"/>
            <w:vAlign w:val="center"/>
          </w:tcPr>
          <w:p w14:paraId="75AF87B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Consolas" w:hAnsi="Consolas" w:eastAsia="宋体" w:cs="宋体"/>
                <w:b/>
                <w:bCs/>
                <w:sz w:val="18"/>
                <w:szCs w:val="18"/>
              </w:rPr>
              <w:t>https://&lt;网关主机&gt;/v1/chat/completions</w:t>
            </w:r>
          </w:p>
        </w:tc>
        <w:tc>
          <w:tcPr>
            <w:tcW w:w="4114" w:type="dxa"/>
            <w:vAlign w:val="center"/>
          </w:tcPr>
          <w:p w14:paraId="2121824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Consolas" w:hAnsi="Consolas" w:eastAsia="宋体" w:cs="宋体"/>
                <w:sz w:val="18"/>
                <w:szCs w:val="18"/>
              </w:rPr>
              <w:t>https://&lt;网关主机&gt;/v1</w:t>
            </w:r>
          </w:p>
        </w:tc>
      </w:tr>
      <w:tr w14:paraId="50917B0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5236" w:type="dxa"/>
            <w:vAlign w:val="center"/>
          </w:tcPr>
          <w:p w14:paraId="19FEA87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Consolas" w:hAnsi="Consolas" w:eastAsia="宋体" w:cs="宋体"/>
                <w:b/>
                <w:bCs/>
                <w:sz w:val="18"/>
                <w:szCs w:val="18"/>
              </w:rPr>
              <w:t>https://&lt;网关主机&gt;/chat/completions</w:t>
            </w:r>
          </w:p>
        </w:tc>
        <w:tc>
          <w:tcPr>
            <w:tcW w:w="4114" w:type="dxa"/>
            <w:vAlign w:val="center"/>
          </w:tcPr>
          <w:p w14:paraId="6CC0582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Consolas" w:hAnsi="Consolas" w:eastAsia="宋体" w:cs="宋体"/>
                <w:sz w:val="18"/>
                <w:szCs w:val="18"/>
              </w:rPr>
              <w:t>https://&lt;网关主机&gt;</w:t>
            </w:r>
          </w:p>
        </w:tc>
      </w:tr>
      <w:tr w14:paraId="604A54C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5236" w:type="dxa"/>
            <w:vAlign w:val="center"/>
          </w:tcPr>
          <w:p w14:paraId="271946F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Consolas" w:hAnsi="Consolas" w:eastAsia="宋体" w:cs="宋体"/>
                <w:b/>
                <w:bCs/>
                <w:sz w:val="18"/>
                <w:szCs w:val="18"/>
              </w:rPr>
              <w:t>https://&lt;网关主机&gt;/&lt;服务前缀&gt;/v1/chat/completions</w:t>
            </w:r>
          </w:p>
        </w:tc>
        <w:tc>
          <w:tcPr>
            <w:tcW w:w="4114" w:type="dxa"/>
            <w:vAlign w:val="center"/>
          </w:tcPr>
          <w:p w14:paraId="74BC608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Consolas" w:hAnsi="Consolas" w:eastAsia="宋体" w:cs="宋体"/>
                <w:sz w:val="18"/>
                <w:szCs w:val="18"/>
              </w:rPr>
              <w:t>https://&lt;网关主机&gt;/&lt;服务前缀&gt;/v1</w:t>
            </w:r>
          </w:p>
        </w:tc>
      </w:tr>
    </w:tbl>
    <w:p w14:paraId="0683AC9C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不要填写完整的 .../chat/completions，也不要保留末尾斜杠。代码直接拼接路径；重复后缀或双斜杠可能导致网关路由失败。是否需要 /v1 应以现场网关实际接口为准。</w:t>
      </w:r>
    </w:p>
    <w:p w14:paraId="73F1632E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5.3 Token 编辑行为</w:t>
      </w:r>
    </w:p>
    <w:p w14:paraId="79FE9B3E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已经设置的 Token 不回填明文。编辑时显示“••••••••（已配置，留空不修改）”：</w:t>
      </w:r>
    </w:p>
    <w:p w14:paraId="0000006D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40" w:after="0" w:line="240" w:lineRule="auto"/>
        <w:ind w:left="720" w:right="0" w:hanging="36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留空保存：保留原 Token。</w:t>
      </w:r>
    </w:p>
    <w:p w14:paraId="0000006E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输入新 Token：覆盖原值。</w:t>
      </w:r>
    </w:p>
    <w:p w14:paraId="00000071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 w:line="240" w:lineRule="auto"/>
        <w:ind w:left="720" w:right="0" w:hanging="36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勾选“清除 token”：显式删除原值。</w:t>
      </w:r>
    </w:p>
    <w:p w14:paraId="2FA09F99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本版本模型调用不接受空 Token。清除后应重新填写有效令牌再验证。截图保留隐藏状态即可，不需要展示真实值。</w:t>
      </w:r>
    </w:p>
    <w:p w14:paraId="7FBFFBCD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5.4 验证结果与验证范围</w:t>
      </w:r>
    </w:p>
    <w:p w14:paraId="6C55E91F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列表状态显示“未验证”“验证成功”“验证失败”。“验证”发送极简 ping 请求，使用 max_tokens: 1，用于检查当前调用是否得到成功 HTTP 响应。</w:t>
      </w:r>
    </w:p>
    <w:p w14:paraId="28A9410D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该验证不检查长代码上下文能力、JSON 输出能力或分析意见正确率。通过 ping 后仍应执行一条真实小范围审查。数据库尚无模型时，应用会从运行配置生成“DeepSeek(默认)”；此初始化记录虽显示成功状态，但没有实际发起 ping，首次部署也应主动点击“验证”。</w:t>
      </w:r>
    </w:p>
    <w:p w14:paraId="5F51106C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常见失败处理：401/403 检查令牌及授权；404 检查接口根和 /v1 前缀；模型相关错误检查模型名；网络或读超时检查网关状态和应用到网关的可达性。</w:t>
      </w:r>
    </w:p>
    <w:p w14:paraId="0113AAED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5.5 超时和调用参数</w:t>
      </w:r>
    </w:p>
    <w:p w14:paraId="4B993D50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以下设置属于运行 YAML，由部署负责人修改；不是模型表单字段：</w:t>
      </w:r>
    </w:p>
    <w:p w14:paraId="368C5700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deepseek:</w:t>
      </w:r>
    </w:p>
    <w:p w14:paraId="59CA18D2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connect-timeout-ms: 10000</w:t>
      </w:r>
    </w:p>
    <w:p w14:paraId="4E365A0C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read-timeout-ms: 300000</w:t>
      </w:r>
    </w:p>
    <w:p w14:paraId="488602B0">
      <w:pPr>
        <w:spacing w:after="120"/>
        <w:jc w:val="left"/>
        <w:rPr>
          <w:rFonts w:ascii="宋体" w:hAnsi="宋体" w:eastAsia="宋体" w:cs="宋体"/>
        </w:rPr>
      </w:pPr>
    </w:p>
    <w:p w14:paraId="017E8F6C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review:</w:t>
      </w:r>
    </w:p>
    <w:p w14:paraId="55C76F5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concurrency: 4</w:t>
      </w:r>
    </w:p>
    <w:p w14:paraId="33D42AE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chunk-max-chars: 140000</w:t>
      </w:r>
    </w:p>
    <w:p w14:paraId="6108A4D5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retry-max: 3</w:t>
      </w:r>
    </w:p>
    <w:p w14:paraId="6006B3F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retry-base-millis: 1000</w:t>
      </w:r>
    </w:p>
    <w:p w14:paraId="7A2818F9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task-timeout-minutes: 50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690A2B4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384BF9E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参数</w:t>
            </w:r>
          </w:p>
        </w:tc>
        <w:tc>
          <w:tcPr>
            <w:shd w:val="clear" w:color="auto" w:fill="F3F3F3"/>
            <w:vAlign w:val="center"/>
          </w:tcPr>
          <w:p w14:paraId="7C6AA31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单位和含义</w:t>
            </w:r>
          </w:p>
        </w:tc>
      </w:tr>
      <w:tr w14:paraId="36BD033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388E63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connect-timeout-ms</w:t>
            </w:r>
          </w:p>
        </w:tc>
        <w:tc>
          <w:tcPr>
            <w:vAlign w:val="center"/>
          </w:tcPr>
          <w:p w14:paraId="654BF23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毫秒，默认建连等待 10000，即 10 秒</w:t>
            </w:r>
          </w:p>
        </w:tc>
      </w:tr>
      <w:tr w14:paraId="5BB04B3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145408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read-timeout-ms</w:t>
            </w:r>
          </w:p>
        </w:tc>
        <w:tc>
          <w:tcPr>
            <w:vAlign w:val="center"/>
          </w:tcPr>
          <w:p w14:paraId="4B533CB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毫秒，默认读取等待 300000，即 300 秒</w:t>
            </w:r>
          </w:p>
        </w:tc>
      </w:tr>
      <w:tr w14:paraId="5084C31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F64B14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concurrency</w:t>
            </w:r>
          </w:p>
        </w:tc>
        <w:tc>
          <w:tcPr>
            <w:vAlign w:val="center"/>
          </w:tcPr>
          <w:p w14:paraId="3270888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全文 LLM 与 diff 单元池并发数，默认 4；不是所有模型请求的全局限流</w:t>
            </w:r>
          </w:p>
        </w:tc>
      </w:tr>
      <w:tr w14:paraId="68FE63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E3C731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chunk-max-chars</w:t>
            </w:r>
          </w:p>
        </w:tc>
        <w:tc>
          <w:tcPr>
            <w:vAlign w:val="center"/>
          </w:tcPr>
          <w:p w14:paraId="31EDCD2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字符数，默认 140000；不是 token 数</w:t>
            </w:r>
          </w:p>
        </w:tc>
      </w:tr>
      <w:tr w14:paraId="1B8C208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4EBDFD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retry-max</w:t>
            </w:r>
          </w:p>
        </w:tc>
        <w:tc>
          <w:tcPr>
            <w:vAlign w:val="center"/>
          </w:tcPr>
          <w:p w14:paraId="7862B96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最多额外重试 3 次，连同首次调用最多 4 次</w:t>
            </w:r>
          </w:p>
        </w:tc>
      </w:tr>
      <w:tr w14:paraId="7570D1F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C60ACF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retry-base-millis</w:t>
            </w:r>
          </w:p>
        </w:tc>
        <w:tc>
          <w:tcPr>
            <w:vAlign w:val="center"/>
          </w:tcPr>
          <w:p w14:paraId="7B63073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毫秒，默认退避基数 1000</w:t>
            </w:r>
          </w:p>
        </w:tc>
      </w:tr>
      <w:tr w14:paraId="3EB1BF7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A14E24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task-timeout-minutes</w:t>
            </w:r>
          </w:p>
        </w:tc>
        <w:tc>
          <w:tcPr>
            <w:vAlign w:val="center"/>
          </w:tcPr>
          <w:p w14:paraId="757ECCE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分钟，默认单条审查期限预算 50</w:t>
            </w:r>
          </w:p>
        </w:tc>
      </w:tr>
    </w:tbl>
    <w:p w14:paraId="5B29750A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连接和读取超时设置为 0 或负数时会回退到默认有限值。审查期限采取协作式检查，停止后续任务提交并形成失败或部分成功；已在途的 HTTP 请求仍受 HTTP 超时约束，因此不能把 50 分钟解释为精确的强制终止时刻。重审复用原记录的起始时间预算，不会自动重新获得完整 50 分钟。</w:t>
      </w:r>
    </w:p>
    <w:p w14:paraId="51E9AD0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正式模型调用固定使用 temperature: 0。结构化路径使用 response_format: {type: "json_object"}，网关应支持相关语义。正式审查和报告请求不设置 max_tokens，输出限制由网关或模型侧决定；界面没有最大输出 token 或上下文窗口设置项。</w:t>
      </w:r>
    </w:p>
    <w:p w14:paraId="429C82FB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运行 YAML 的 deepseek 参数用于默认模型初始化及兜底调用。策略绑定、报告选择的数据库模型配置用于相应调用；修改 YAML 不会自动覆盖已保存模型。</w:t>
      </w:r>
    </w:p>
    <w:p w14:paraId="0C42F74B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采集真实模型列表及新建或编辑表单，显示名称、接口地址、模型名和验证状态；Token保持密码隐藏，不显示真实令牌，网关地址按交付范围脱敏；说明该图仅证明当次连通验证。</w:t>
      </w:r>
    </w:p>
    <w:p w14:paraId="64BB3A95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083474A1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3 模型接入与连通验证  现场截图预留</w:t>
      </w:r>
    </w:p>
    <w:p w14:paraId="2D34F7A7">
      <w:pPr>
        <w:pStyle w:val="2"/>
        <w:outlineLvl w:val="0"/>
      </w:pPr>
      <w:bookmarkStart w:id="13" w:name="DeliveryUChapter6"/>
      <w:r>
        <w:rPr>
          <w:rFonts w:ascii="宋体" w:hAnsi="宋体" w:eastAsia="宋体" w:cs="宋体"/>
        </w:rPr>
        <w:t>6 提示词管理</w:t>
      </w:r>
      <w:bookmarkEnd w:id="13"/>
    </w:p>
    <w:p w14:paraId="73CBCC6A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6.1 新建和搜索</w:t>
      </w:r>
    </w:p>
    <w:p w14:paraId="51A670FD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点击“提示词”进入“提示词管理”，点击“新建提示词”。填写“名称”和“正文”；“描述”和“标签”按需填写。标签可通过回车、英文逗号或中文逗号添加。完成后保存。</w:t>
      </w:r>
    </w:p>
    <w:p w14:paraId="0D8C1CDB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提示词用于表达业务审查规则。写明审查对象、检查重点、需要的证据及输出形式，避免只有“检查所有问题”这类无法复核的要求。列表可以通过“搜索名称/标签/正文”查找。</w:t>
      </w:r>
    </w:p>
    <w:p w14:paraId="5ECB53D7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业务规则示例：</w:t>
      </w:r>
    </w:p>
    <w:p w14:paraId="40B6BBD1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请检查所给代码的空值处理、输入校验、事务边界和资源释放。</w:t>
      </w:r>
    </w:p>
    <w:p w14:paraId="7769C377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只报告能够从当前材料直接验证的问题。</w:t>
      </w:r>
    </w:p>
    <w:p w14:paraId="71A4F66B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每项结论写明文件、位置、触发条件、影响和修复建议。</w:t>
      </w:r>
    </w:p>
    <w:p w14:paraId="11C85935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当前材料不足以判断的事项列为“待确认”，不要编造其他文件或系统行为。</w:t>
      </w:r>
    </w:p>
    <w:p w14:paraId="1A6FEECC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该示例需根据项目业务规则调整，不代表系统预置规则或已经验证的结果。</w:t>
      </w:r>
    </w:p>
    <w:p w14:paraId="4CC87D30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6.2 编辑与版本保存</w:t>
      </w:r>
    </w:p>
    <w:p w14:paraId="3BDD1DB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点击列表“编辑”，查看当前正文后修改。默认勾选“保存为新版本（不勾选则覆盖当前版本）”。需要保留历史规则时保持勾选；取消勾选会覆盖当前版本。</w:t>
      </w:r>
    </w:p>
    <w:p w14:paraId="55BCB30A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正文较长时，可点击“最大化”，编辑后点击“还原”。等待当前正文加载完成再核对；若加载失败，应重试后确认原内容，不应误将空表单当成原文为空。</w:t>
      </w:r>
    </w:p>
    <w:p w14:paraId="7134CAD0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点击“版本”进入“版本对比”，选择“旧版本”“新版本”，点击“对比”。界面显示差异；两版内容相同时显示“两版内容相同”。</w:t>
      </w:r>
    </w:p>
    <w:p w14:paraId="77DC44DC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6.3 提示词与结果形式</w:t>
      </w:r>
    </w:p>
    <w:p w14:paraId="1A87E0A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策略绑定提示词后，审查触发时使用提示词当前版本，并将实际正文写入审查策略快照。之后修改提示词不会自动改写已有结果。</w:t>
      </w:r>
    </w:p>
    <w:p w14:paraId="699C579F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绑定自定义提示词可能改变结果形式：llm-review、design-pattern 使用自定义规则时可返回普通文本或 Markdown；coupling 会保留确定性指标，并显示自定义解读原文；diff-review 将关注点加入固定的变更审查任务。不要把所有自定义回答都视为已进入结构化问题列表或准确率计数。</w:t>
      </w:r>
    </w:p>
    <w:p w14:paraId="64BE3F01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报告提示词也是可选补充要求，适合约定汇总口径、优先级和无法判断事项。正式报告所需结论必须有选中审查记录支撑。</w:t>
      </w:r>
    </w:p>
    <w:p w14:paraId="42E3EC46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采集提示词编辑中的名称、正文、保存为新版本选项及真实两版差异，可分为a/b子图；使用可公开业务规则，保留真实版本号，不包含生产敏感信息。</w:t>
      </w:r>
    </w:p>
    <w:p w14:paraId="0156EEB1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042E2032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4 提示词正文与版本对比  现场截图预留</w:t>
      </w:r>
    </w:p>
    <w:p w14:paraId="4A366BBC">
      <w:pPr>
        <w:spacing w:after="240"/>
        <w:jc w:val="both"/>
        <w:rPr>
          <w:rFonts w:ascii="宋体" w:hAnsi="宋体" w:eastAsia="宋体" w:cs="宋体"/>
        </w:rPr>
      </w:pPr>
      <w:r>
        <w:br w:type="page"/>
      </w:r>
    </w:p>
    <w:p w14:paraId="7EAE513A">
      <w:pPr>
        <w:pStyle w:val="2"/>
        <w:outlineLvl w:val="0"/>
      </w:pPr>
      <w:bookmarkStart w:id="14" w:name="DeliveryUChapter7"/>
      <w:r>
        <w:rPr>
          <w:rFonts w:ascii="宋体" w:hAnsi="宋体" w:eastAsia="宋体" w:cs="宋体"/>
        </w:rPr>
        <w:t>7 审查策略配置</w:t>
      </w:r>
      <w:bookmarkEnd w:id="14"/>
    </w:p>
    <w:p w14:paraId="2458C76D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7.1 新建策略</w:t>
      </w:r>
    </w:p>
    <w:p w14:paraId="5F74F2C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点击“策略”进入“审查策略”，点击“新建策略”。填写唯一名称，选择“分析器”，再按类型填写参数。编辑现有策略时，界面禁用分析器类型；需要另一种类型时新建策略。</w:t>
      </w:r>
    </w:p>
    <w:p w14:paraId="41047960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策略列表可通过“搜索名称”和“分析器”筛选，点击“搜索”应用条件，点击“重置”恢复。</w:t>
      </w:r>
    </w:p>
    <w:p w14:paraId="22F5905B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7.2 五种分析器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76671EE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65F1D3D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分析器</w:t>
            </w:r>
          </w:p>
        </w:tc>
        <w:tc>
          <w:tcPr>
            <w:shd w:val="clear" w:color="auto" w:fill="F3F3F3"/>
            <w:vAlign w:val="center"/>
          </w:tcPr>
          <w:p w14:paraId="6D4D12D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适用操作</w:t>
            </w:r>
          </w:p>
        </w:tc>
        <w:tc>
          <w:tcPr>
            <w:shd w:val="clear" w:color="auto" w:fill="F3F3F3"/>
            <w:vAlign w:val="center"/>
          </w:tcPr>
          <w:p w14:paraId="5EAEC1E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配置内容</w:t>
            </w:r>
          </w:p>
        </w:tc>
      </w:tr>
      <w:tr w14:paraId="2285DE6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16949D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llm-review</w:t>
            </w:r>
          </w:p>
        </w:tc>
        <w:tc>
          <w:tcPr>
            <w:vAlign w:val="center"/>
          </w:tcPr>
          <w:p w14:paraId="5245612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全文/选定文件审查；可按需合并多文件</w:t>
            </w:r>
          </w:p>
        </w:tc>
        <w:tc>
          <w:tcPr>
            <w:vAlign w:val="center"/>
          </w:tcPr>
          <w:p w14:paraId="389CE71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模型必选；关注点提示词可选</w:t>
            </w:r>
          </w:p>
        </w:tc>
      </w:tr>
      <w:tr w14:paraId="0A90B1F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76BA6F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coupling</w:t>
            </w:r>
          </w:p>
        </w:tc>
        <w:tc>
          <w:tcPr>
            <w:vAlign w:val="center"/>
          </w:tcPr>
          <w:p w14:paraId="34899B3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Java import 依赖和耦合度分析</w:t>
            </w:r>
          </w:p>
        </w:tc>
        <w:tc>
          <w:tcPr>
            <w:vAlign w:val="center"/>
          </w:tcPr>
          <w:p w14:paraId="2B8DEA1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模型必选；提示词可选；类扇出阈值默认 10</w:t>
            </w:r>
          </w:p>
        </w:tc>
      </w:tr>
      <w:tr w14:paraId="36F3716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8FD0BF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design-pattern</w:t>
            </w:r>
          </w:p>
        </w:tc>
        <w:tc>
          <w:tcPr>
            <w:vAlign w:val="center"/>
          </w:tcPr>
          <w:p w14:paraId="432DEE5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根据 Java 结构材料识别设计模式和疑似误用</w:t>
            </w:r>
          </w:p>
        </w:tc>
        <w:tc>
          <w:tcPr>
            <w:vAlign w:val="center"/>
          </w:tcPr>
          <w:p w14:paraId="618C9D4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模型必选；提示词可选</w:t>
            </w:r>
          </w:p>
        </w:tc>
      </w:tr>
      <w:tr w14:paraId="495F2D3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02E988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api-review</w:t>
            </w:r>
          </w:p>
        </w:tc>
        <w:tc>
          <w:tcPr>
            <w:vAlign w:val="center"/>
          </w:tcPr>
          <w:p w14:paraId="443AC4D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触发外部 API，并可查询外部分析结果</w:t>
            </w:r>
          </w:p>
        </w:tc>
        <w:tc>
          <w:tcPr>
            <w:vAlign w:val="center"/>
          </w:tcPr>
          <w:p w14:paraId="22DD644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调用 API、结果展示地址必填；查询地址和 Token 可选</w:t>
            </w:r>
          </w:p>
        </w:tc>
      </w:tr>
      <w:tr w14:paraId="35F71DC7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725059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diff-review</w:t>
            </w:r>
          </w:p>
        </w:tc>
        <w:tc>
          <w:tcPr>
            <w:vAlign w:val="center"/>
          </w:tcPr>
          <w:p w14:paraId="7222897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单次提交变更审查与提交意图判定</w:t>
            </w:r>
          </w:p>
        </w:tc>
        <w:tc>
          <w:tcPr>
            <w:vAlign w:val="center"/>
          </w:tcPr>
          <w:p w14:paraId="2430900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模型必选；提示词可选；方法体窗口默认 60 行</w:t>
            </w:r>
          </w:p>
        </w:tc>
      </w:tr>
    </w:tbl>
    <w:p w14:paraId="1EF2E655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“结构视图”选择非 diff 策略，“提交视图”选择 diff-review 策略。系统能够列出其他语言文本，不表示 Java 结构分析对所有语言具有同样支持能力；coupling 和 design-pattern 主要使用 JavaParser 提取的 Java 材料。</w:t>
      </w:r>
    </w:p>
    <w:p w14:paraId="77B3821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非 API 策略保存时会检查所选模型存在，但不会强制要求其状态为“验证成功”。使用人员应先完成模型验证，再将其绑定到正式策略。</w:t>
      </w:r>
    </w:p>
    <w:p w14:paraId="34767FA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7.3 耦合度阈值</w:t>
      </w:r>
    </w:p>
    <w:p w14:paraId="2C058E0D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coupling 字段为“高耦合阈值（扇出超过即标记）”，默认 10。它控制类的高扇出标记：类依赖数量严格超过阈值才标记。</w:t>
      </w:r>
    </w:p>
    <w:p w14:paraId="3D6B7EA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模块指标采用独立规则，不使用此字段。模块高耦合条件为 Ce &gt; 3 且 I ≥ 0.8。审阅结果时，应区分类级阈值与模块指标，避免把两个层级当成同一种告警。</w:t>
      </w:r>
    </w:p>
    <w:p w14:paraId="140AFB8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7.4 方法体窗口</w:t>
      </w:r>
    </w:p>
    <w:p w14:paraId="06AD45B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diff-review 字段为“方法体窗口（变更行 ± N 行，超长方法体按此截断）”，默认 60，必须填写正整数。它用于变更方法体过长时保留变更附近上下文。</w:t>
      </w:r>
    </w:p>
    <w:p w14:paraId="26CE68E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后端实际窗口最小为 10 行；输入 1 至 9 时内部按 10 行处理。</w:t>
      </w:r>
    </w:p>
    <w:p w14:paraId="54135E9A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窗口更大意味着送入更多上下文，但仍应遵守网关实际能力。结果出现“方法体已截断”时，应结合完整方法源码复核，不能把局部窗口作为全方法不存在问题的依据。</w:t>
      </w:r>
    </w:p>
    <w:p w14:paraId="24E2D354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7.5 外部 API 策略</w:t>
      </w:r>
    </w:p>
    <w:p w14:paraId="5F650FE9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api-review 的字段如下：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7DE7CD3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2B1BA12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字段</w:t>
            </w:r>
          </w:p>
        </w:tc>
        <w:tc>
          <w:tcPr>
            <w:shd w:val="clear" w:color="auto" w:fill="F3F3F3"/>
            <w:vAlign w:val="center"/>
          </w:tcPr>
          <w:p w14:paraId="27CCF9E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含义</w:t>
            </w:r>
          </w:p>
        </w:tc>
      </w:tr>
      <w:tr w14:paraId="49E9529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05CF7F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调用 API</w:t>
            </w:r>
          </w:p>
        </w:tc>
        <w:tc>
          <w:tcPr>
            <w:vAlign w:val="center"/>
          </w:tcPr>
          <w:p w14:paraId="20B4549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触发外部流水线的接口，必填</w:t>
            </w:r>
          </w:p>
        </w:tc>
      </w:tr>
      <w:tr w14:paraId="0237C39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D2E605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结果展示地址</w:t>
            </w:r>
          </w:p>
        </w:tc>
        <w:tc>
          <w:tcPr>
            <w:vAlign w:val="center"/>
          </w:tcPr>
          <w:p w14:paraId="646FC80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供用户打开的结果页面，必填</w:t>
            </w:r>
          </w:p>
        </w:tc>
      </w:tr>
      <w:tr w14:paraId="5B45E56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ED1C55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查询具体结果地址</w:t>
            </w:r>
          </w:p>
        </w:tc>
        <w:tc>
          <w:tcPr>
            <w:vAlign w:val="center"/>
          </w:tcPr>
          <w:p w14:paraId="1A275D7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可选 GET 结果接口</w:t>
            </w:r>
          </w:p>
        </w:tc>
      </w:tr>
      <w:tr w14:paraId="3BBCCAC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B0FC53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Token</w:t>
            </w:r>
          </w:p>
        </w:tc>
        <w:tc>
          <w:tcPr>
            <w:vAlign w:val="center"/>
          </w:tcPr>
          <w:p w14:paraId="6A16A90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可选认证值；本版本发送 Bearer 认证</w:t>
            </w:r>
          </w:p>
        </w:tc>
      </w:tr>
    </w:tbl>
    <w:p w14:paraId="7F4B3AC2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调用 API 收到 POST 空 JSON {}，不会自动携带当前项目、分支或其他动态流水线参数。配置查询地址后，系统随后执行一次 GET，并读取返回 JSON 的 issues 数组；当前没有等待外部流水线完成的轮询。因此现场接口需按该约定适配，不能只填写任意流水线接口就假定可用。</w:t>
      </w:r>
    </w:p>
    <w:p w14:paraId="05801691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触发失败记为失败；触发成功而结果查询失败记为部分成功。不配置查询地址时，系统可以显示“已触发”和“查看 SonarQube 结果”链接，但没有本地查询的问题清单。是否完成外部分析，仍应在外部结果页面确认。</w:t>
      </w:r>
    </w:p>
    <w:p w14:paraId="6793B519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API Token 同样采用留空不修改、重填覆盖、“清除 token”清除的编辑方式。</w:t>
      </w:r>
    </w:p>
    <w:p w14:paraId="6A6AE6DA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采集真实策略表单，显示分析器、模型、关注点提示词及diff方法体窗口或coupling阈值；如展示API策略，保留真实字段标签并隐藏Token，外部地址按要求脱敏。</w:t>
      </w:r>
    </w:p>
    <w:p w14:paraId="0AA98162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1FFFCEA2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5 审查策略与类型参数  现场截图预留</w:t>
      </w:r>
    </w:p>
    <w:p w14:paraId="3FC14911">
      <w:pPr>
        <w:pStyle w:val="2"/>
        <w:outlineLvl w:val="0"/>
      </w:pPr>
      <w:bookmarkStart w:id="15" w:name="DeliveryUChapter8"/>
      <w:r>
        <w:rPr>
          <w:rFonts w:ascii="宋体" w:hAnsi="宋体" w:eastAsia="宋体" w:cs="宋体"/>
        </w:rPr>
        <w:t>8 项目接入和范围准备</w:t>
      </w:r>
      <w:bookmarkEnd w:id="15"/>
    </w:p>
    <w:p w14:paraId="76774C4A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8.1 新建项目</w:t>
      </w:r>
    </w:p>
    <w:p w14:paraId="65C7FA5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点击“项目”进入“项目管理”，点击“新建项目”。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2C97383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23362F2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字段</w:t>
            </w:r>
          </w:p>
        </w:tc>
        <w:tc>
          <w:tcPr>
            <w:shd w:val="clear" w:color="auto" w:fill="F3F3F3"/>
            <w:vAlign w:val="center"/>
          </w:tcPr>
          <w:p w14:paraId="62567E5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说明</w:t>
            </w:r>
          </w:p>
        </w:tc>
      </w:tr>
      <w:tr w14:paraId="7DBFD4F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884CB9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vAlign w:val="center"/>
          </w:tcPr>
          <w:p w14:paraId="42FF9EB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项目显示名，必填</w:t>
            </w:r>
          </w:p>
        </w:tc>
      </w:tr>
      <w:tr w14:paraId="2B99C6E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DD72DB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仓库地址</w:t>
            </w:r>
          </w:p>
        </w:tc>
        <w:tc>
          <w:tcPr>
            <w:vAlign w:val="center"/>
          </w:tcPr>
          <w:p w14:paraId="579DC32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HTTP(S) 仓库地址，必填；填写仓库地址，不填 API 根</w:t>
            </w:r>
          </w:p>
        </w:tc>
      </w:tr>
      <w:tr w14:paraId="27A55D84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51AB5F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访问令牌（可选）</w:t>
            </w:r>
          </w:p>
        </w:tc>
        <w:tc>
          <w:tcPr>
            <w:vAlign w:val="center"/>
          </w:tcPr>
          <w:p w14:paraId="51F5B2F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用于访问仓库；私有仓库通常需要，公共仓库填写可减少限流</w:t>
            </w:r>
          </w:p>
        </w:tc>
      </w:tr>
    </w:tbl>
    <w:p w14:paraId="3134CB3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保存时系统先读取远端分支进行连通验证，成功后创建项目。同一个仓库地址不能重复创建未删除项目。若出现“仓库连通验证失败”，检查 URL、网络、令牌权限和 Gitea 宿主配置。</w:t>
      </w:r>
    </w:p>
    <w:p w14:paraId="7CFA693C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项目级访问令牌优先于部署配置的 GITEA_TOKEN 或 GITHUB_TOKEN 兜底令牌。本页面没有项目编辑入口，应在创建前核对地址和凭据。</w:t>
      </w:r>
    </w:p>
    <w:p w14:paraId="737B684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8.2 选择项目和分支</w:t>
      </w:r>
    </w:p>
    <w:p w14:paraId="778B02B4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点击列表项目名称进入详情，可通过“返回项目列表”返回。每次审查首先核对“分支”下拉框。</w:t>
      </w:r>
    </w:p>
    <w:p w14:paraId="51434AC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项目列表“当前分支”初始值为 main；详情页初次选择远端返回的第一个分支。不要仅凭列表值推定本次审查分支。切换详情分支会清空结构选择、提交选择及变更文件选择并重新加载。</w:t>
      </w:r>
    </w:p>
    <w:p w14:paraId="6DC38929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8.3 文件范围与查看</w:t>
      </w:r>
    </w:p>
    <w:p w14:paraId="1706FD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可审查文件由后台扩展名白名单统一判断。常见源码、配置和文档文本包括 Java、JS、TS、Vue、Python、SQL、XML、YAML、JSON、Markdown 等。二进制文件和无扩展名文件不在名单内，例如 Dockerfile、Makefile；勾选后会提示跳过。</w:t>
      </w:r>
    </w:p>
    <w:p w14:paraId="6E8A40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文件树支持目录批量勾选。搜索只改变显示与当前全选范围，已经勾选而暂时隐藏的文件仍会保留。发起审查前应核对已选总数；需要重新选范围时先点击“清空”。</w:t>
      </w:r>
    </w:p>
    <w:p w14:paraId="24D978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结构视图点击可查看文件名可打开文本；提交视图点击可查看文件名可打开该提交差异。查看文件与勾选审查范围是两个操作。</w:t>
      </w:r>
    </w:p>
    <w:p w14:paraId="18D64775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8.4 删除项目</w:t>
      </w:r>
    </w:p>
    <w:p w14:paraId="31A625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点击“删除”前，系统会取得影响范围，提示该项目下将删除的审查记录数和报告数。有创建时间距当前不足默认 60 分钟的排队或执行中记录时，系统阻止删除。</w:t>
      </w:r>
    </w:p>
    <w:p w14:paraId="4D6017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删除后界面不能恢复相关记录和报告。需要留存的报告应先下载，并按项目档案要求保存。不要用删除项目处理模型连接或暂时加载失败问题。</w:t>
      </w:r>
    </w:p>
    <w:p w14:paraId="53415454">
      <w:pPr>
        <w:pStyle w:val="2"/>
        <w:outlineLvl w:val="0"/>
      </w:pPr>
      <w:bookmarkStart w:id="16" w:name="DeliveryUChapter9"/>
      <w:r>
        <w:rPr>
          <w:rFonts w:ascii="宋体" w:hAnsi="宋体" w:eastAsia="宋体" w:cs="宋体"/>
        </w:rPr>
        <w:t>9 结构视图审查</w:t>
      </w:r>
      <w:bookmarkEnd w:id="16"/>
    </w:p>
    <w:p w14:paraId="3FB8788B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9.1 操作步骤</w:t>
      </w:r>
    </w:p>
    <w:p w14:paraId="508EE9B5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进入项目详情“代码审查”，核对“分支”。</w:t>
      </w:r>
    </w:p>
    <w:p w14:paraId="3AFD874D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选择“结构视图”，从“策略”选择非 diff 策略。</w:t>
      </w:r>
    </w:p>
    <w:p w14:paraId="31F3C2BD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用“展开全部”“收起全部”浏览目录，或在“按路径搜索”中查找文件。</w:t>
      </w:r>
    </w:p>
    <w:p w14:paraId="032C962E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勾选文件或目录；需要只全选当前显示结果时使用“全选筛选结果”。</w:t>
      </w:r>
    </w:p>
    <w:p w14:paraId="03AD59F9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llm-review 如需跨文件整体上下文，可勾选“多文件合并审查”。</w:t>
      </w:r>
    </w:p>
    <w:p w14:paraId="4C60B0A4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点击“开始审查”，核对“确认触发审查”中的分支、审查范围、策略、预估单元数和跳过提示，再确认。</w:t>
      </w:r>
    </w:p>
    <w:p w14:paraId="7F543E5E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在右侧“审查结果”观察状态、进度、耗时、单元结果和失败原因。</w:t>
      </w:r>
    </w:p>
    <w:p w14:paraId="3B56EFB1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若没有可审查文件，页面提示“所选文件中没有可审查的文件，请改选后再试”，不会发起任务。</w:t>
      </w:r>
    </w:p>
    <w:p w14:paraId="47C9BC8F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9.2 分块和合并</w:t>
      </w:r>
    </w:p>
    <w:p w14:paraId="16AF33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默认按单文件审查；过长内容可能按 Java 方法边界或行边界切分。“多文件合并审查”仅出现在 llm-review，选中多文件时将材料组合到一次模型调用，应控制范围以适应网关上下文能力。</w:t>
      </w:r>
    </w:p>
    <w:p w14:paraId="43D582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确认框“预估单元数”实际按可审查文件计数，不能作为最终调用次数证明。一个长文件可能切成多个单元，多文件合并也可能形成一个单元。最终应以实际结果单元及执行日志核对工作量。</w:t>
      </w:r>
    </w:p>
    <w:p w14:paraId="62864F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确认框会显示超过 50 的提示，但后端明确的 50 单元硬上限位于 diff-review。不要将此提示当成所有分析器统一的文件数上限；结构审查仍建议按明确范围分批进行。</w:t>
      </w:r>
    </w:p>
    <w:p w14:paraId="4CD5640F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9.3 范围完整性</w:t>
      </w:r>
    </w:p>
    <w:p w14:paraId="73EC7067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llm-review、coupling 和 design-pattern 触发时尝试解析当前分支 HEAD 为提交 SHA，以稳定所读取的材料。HEAD 解析失败时可能按分支读取；api-review 不绑定提交 SHA。正式记录应核对实际 SHA 和范围，防止活动分支移动影响结论。</w:t>
      </w:r>
    </w:p>
    <w:p w14:paraId="375DAF7E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Java 结构分析的材料提取会跳过拉取失败或无法解析的文件。结果成功状态不能独立证明勾选范围全被纳入结构分析。正式报告应核对显示的类、模块和范围是否符合预期，必要时先逐个查看相关源码。</w:t>
      </w:r>
    </w:p>
    <w:p w14:paraId="2147D580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采集项目详情结构视图，显示分支、策略、范围勾选与确认触发审查窗口；明确可审查与跳过文件数，使用可公开代码路径，勿将前端估算文件数说明为真实调用单元数。</w:t>
      </w:r>
    </w:p>
    <w:p w14:paraId="14049F21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2A99282D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6 结构审查配置与触发确认  现场截图预留</w:t>
      </w:r>
    </w:p>
    <w:p w14:paraId="3BCD9252">
      <w:pPr>
        <w:pStyle w:val="2"/>
        <w:outlineLvl w:val="0"/>
      </w:pPr>
      <w:bookmarkStart w:id="17" w:name="DeliveryUChapter10"/>
      <w:r>
        <w:rPr>
          <w:rFonts w:ascii="宋体" w:hAnsi="宋体" w:eastAsia="宋体" w:cs="宋体"/>
        </w:rPr>
        <w:t>10 单次提交与多个提交审查</w:t>
      </w:r>
      <w:bookmarkEnd w:id="17"/>
    </w:p>
    <w:p w14:paraId="6BB224A9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10.1 单次提交操作</w:t>
      </w:r>
    </w:p>
    <w:p w14:paraId="7B3189D0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进入项目详情“代码审查”，选择正确分支后切换“提交视图”。</w:t>
      </w:r>
    </w:p>
    <w:p w14:paraId="74962012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选择 diff-review 策略。</w:t>
      </w:r>
    </w:p>
    <w:p w14:paraId="231357E5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在提交列表中核对 SHA、提交信息、作者和时间，点击目标提交行。默认选择最新一条。</w:t>
      </w:r>
    </w:p>
    <w:p w14:paraId="749DF249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需要更早记录时滚动到底或点击“加载更多”。</w:t>
      </w:r>
    </w:p>
    <w:p w14:paraId="48D4491F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核对提交对应的变更文件。列表默认勾选全部文件，可以用“按路径搜索”及“全部状态”“新增”“修改”“删除”“重命名”筛选，再调整勾选。</w:t>
      </w:r>
    </w:p>
    <w:p w14:paraId="4042EC8F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点击文件名查看差异，确认范围后点击“开始审查”。</w:t>
      </w:r>
    </w:p>
    <w:p w14:paraId="7EE5361A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在“确认触发审查”里核对分支、提交短 SHA、提交信息、文件范围和策略，再确认。</w:t>
      </w:r>
    </w:p>
    <w:p w14:paraId="6812A3E3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8. 查看右侧提交元信息、比较基线、单元状态、意图判断和问题建议。</w:t>
      </w:r>
    </w:p>
    <w:p w14:paraId="1E43208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筛选不会取消已勾选但隐藏的文件。“清空”后可以只选择当前需要的文件；筛选后重新全选不会自动清掉筛选外已有选择，开始前应核对总数。</w:t>
      </w:r>
    </w:p>
    <w:p w14:paraId="55C6B458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10.2 比较基线和范围限制</w:t>
      </w:r>
    </w:p>
    <w:p w14:paraId="10AA76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单次提交比较的是第一父提交到当前提交。merge 提交也按第一父提交，并在“比较基线”标注“merge 提交”；根提交没有父 SHA。该入口不提供任意起止 SHA、跨分支或 PR 全量差异选择。</w:t>
      </w:r>
    </w:p>
    <w:p w14:paraId="3B0823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Java 变更尽量补全方法体；其他材料可按变更块审查。方法过长时按配置窗口截断；无可用 diff 时部分情况会回退全文。结果中的“方法体已截断”“文件列表可能不完整”和无可用差异提示都应保留在复核记录中。</w:t>
      </w:r>
    </w:p>
    <w:p w14:paraId="0E2E95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宿主只返回部分变更文件时，页面提示“该提交变更文件较多，宿主只返回了第一页，列表可能不完整”。Gitea 差异超过配置字节限制时也可能没有完整 patch。此时不应将当前显示范围描述为整次提交已全面审查。</w:t>
      </w:r>
    </w:p>
    <w:p w14:paraId="24CB0E4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diff-review 实际构建的单元数超过 50 会失败并提示减少文件或分批。一个文件可能产生多个单元，所以选择不足 50 个文件仍可能达到限制。</w:t>
      </w:r>
    </w:p>
    <w:p w14:paraId="359256A8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10.3 意图判断</w:t>
      </w:r>
    </w:p>
    <w:p w14:paraId="325EEEC0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diff 结果可显示“符合”“部分符合”“不符”“无法判断”。它表示模型根据提交信息和当前变更材料对目的达成情况的判断。审查人员应检查提交说明是否明确、相关调用方是否在材料范围内，以及模型是否具有足够证据。</w:t>
      </w:r>
    </w:p>
    <w:p w14:paraId="66AF5AFC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提交信息空泛或相关代码未进入范围时，应保留“无法判断”事项，补充材料后再形成项目结论。</w:t>
      </w:r>
    </w:p>
    <w:p w14:paraId="130DCD65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10.4 多个提交的处理方式</w:t>
      </w:r>
    </w:p>
    <w:p w14:paraId="5D807AAD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当前提交视图一次只能选择一个提交，没有多提交勾选、起止提交范围或批量自动触发入口。审查多个提交时，应按单次提交步骤逐次执行，每次保留实际 SHA、策略、范围和结果。</w:t>
      </w:r>
    </w:p>
    <w:p w14:paraId="7934930A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完成后可在“报告生成”勾选这些记录汇总。该操作汇总已有审查结论，不会计算多个提交的净差异，也不会重新执行多提交审查。报告中应说明各记录之间的版本关系，防止将已经后续修复的问题当作当前仍存在的问题。</w:t>
      </w:r>
    </w:p>
    <w:p w14:paraId="1F62D047">
      <w:pPr>
        <w:keepNext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采集真实提交列表选中行、SHA与提交信息、变更文件状态和勾选范围；必要时附确认窗口，保留基线与不完整列表提示，采用可公开验收提交并遮蔽作者个人信息。</w:t>
      </w:r>
    </w:p>
    <w:p w14:paraId="09F1E507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066988AA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7 单次提交选择与变更范围  现场截图预留</w:t>
      </w:r>
    </w:p>
    <w:p w14:paraId="5028BB40">
      <w:pPr>
        <w:spacing w:after="240"/>
        <w:jc w:val="both"/>
        <w:rPr>
          <w:rFonts w:ascii="宋体" w:hAnsi="宋体" w:eastAsia="宋体" w:cs="宋体"/>
        </w:rPr>
      </w:pPr>
      <w:r>
        <w:br w:type="page"/>
      </w:r>
    </w:p>
    <w:p w14:paraId="5B638D6D">
      <w:pPr>
        <w:pStyle w:val="2"/>
        <w:outlineLvl w:val="0"/>
      </w:pPr>
      <w:bookmarkStart w:id="18" w:name="DeliveryUChapter11"/>
      <w:r>
        <w:rPr>
          <w:rFonts w:ascii="宋体" w:hAnsi="宋体" w:eastAsia="宋体" w:cs="宋体"/>
        </w:rPr>
        <w:t>11 审查结果、人工复核与准确率</w:t>
      </w:r>
      <w:bookmarkEnd w:id="18"/>
    </w:p>
    <w:p w14:paraId="35BD9AE3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11.1 状态与失败处理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79E9BDB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2B364D5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状态</w:t>
            </w:r>
          </w:p>
        </w:tc>
        <w:tc>
          <w:tcPr>
            <w:shd w:val="clear" w:color="auto" w:fill="F3F3F3"/>
            <w:vAlign w:val="center"/>
          </w:tcPr>
          <w:p w14:paraId="5CC1F8F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含义</w:t>
            </w:r>
          </w:p>
        </w:tc>
        <w:tc>
          <w:tcPr>
            <w:shd w:val="clear" w:color="auto" w:fill="F3F3F3"/>
            <w:vAlign w:val="center"/>
          </w:tcPr>
          <w:p w14:paraId="347BE06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使用人员处理</w:t>
            </w:r>
          </w:p>
        </w:tc>
      </w:tr>
      <w:tr w14:paraId="4B5AC0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975EEC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排队 / 排队中</w:t>
            </w:r>
          </w:p>
        </w:tc>
        <w:tc>
          <w:tcPr>
            <w:vAlign w:val="center"/>
          </w:tcPr>
          <w:p w14:paraId="704AB42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记录已提交，等待执行</w:t>
            </w:r>
          </w:p>
        </w:tc>
        <w:tc>
          <w:tcPr>
            <w:vAlign w:val="center"/>
          </w:tcPr>
          <w:p w14:paraId="2E8B76C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继续等待，不重复触发同一范围</w:t>
            </w:r>
          </w:p>
        </w:tc>
      </w:tr>
      <w:tr w14:paraId="77FF0BC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22841A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执行中</w:t>
            </w:r>
          </w:p>
        </w:tc>
        <w:tc>
          <w:tcPr>
            <w:vAlign w:val="center"/>
          </w:tcPr>
          <w:p w14:paraId="249F6A6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正在审查</w:t>
            </w:r>
          </w:p>
        </w:tc>
        <w:tc>
          <w:tcPr>
            <w:vAlign w:val="center"/>
          </w:tcPr>
          <w:p w14:paraId="7BD6F6B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观察进度和已耗时</w:t>
            </w:r>
          </w:p>
        </w:tc>
      </w:tr>
      <w:tr w14:paraId="546E962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DB895F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成功</w:t>
            </w:r>
          </w:p>
        </w:tc>
        <w:tc>
          <w:tcPr>
            <w:vAlign w:val="center"/>
          </w:tcPr>
          <w:p w14:paraId="3BC43BA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分析任务完成</w:t>
            </w:r>
          </w:p>
        </w:tc>
        <w:tc>
          <w:tcPr>
            <w:vAlign w:val="center"/>
          </w:tcPr>
          <w:p w14:paraId="1C68FE9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检查结果、范围及意见正确性</w:t>
            </w:r>
          </w:p>
        </w:tc>
      </w:tr>
      <w:tr w14:paraId="340E7AE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E50D6A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失败</w:t>
            </w:r>
          </w:p>
        </w:tc>
        <w:tc>
          <w:tcPr>
            <w:vAlign w:val="center"/>
          </w:tcPr>
          <w:p w14:paraId="010CD66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本次任务失败</w:t>
            </w:r>
          </w:p>
        </w:tc>
        <w:tc>
          <w:tcPr>
            <w:vAlign w:val="center"/>
          </w:tcPr>
          <w:p w14:paraId="390ADF0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查看“失败原因”，处理连接、配置或材料问题</w:t>
            </w:r>
          </w:p>
        </w:tc>
      </w:tr>
      <w:tr w14:paraId="3BDE92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1235C7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部分成功</w:t>
            </w:r>
          </w:p>
        </w:tc>
        <w:tc>
          <w:tcPr>
            <w:vAlign w:val="center"/>
          </w:tcPr>
          <w:p w14:paraId="28023E2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部分调用或结果未完成</w:t>
            </w:r>
          </w:p>
        </w:tc>
        <w:tc>
          <w:tcPr>
            <w:vAlign w:val="center"/>
          </w:tcPr>
          <w:p w14:paraId="4D7398F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确认失败范围，必要时重审或分批重新审查</w:t>
            </w:r>
          </w:p>
        </w:tc>
      </w:tr>
    </w:tbl>
    <w:p w14:paraId="5970BC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审查进度约每 2 秒更新。连续三次获取失败后，页面显示“进度获取失败”及“继续等待”；检查后端恢复后点击该按钮以恢复状态轮询。它不会重新提交审查任务。</w:t>
      </w:r>
    </w:p>
    <w:p w14:paraId="7F34211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耗时从任务实际开始到结束计算，不包含排队。评估总体交付时间时还应计入排队、复核、失败处理、报告生成等步骤。</w:t>
      </w:r>
    </w:p>
    <w:p w14:paraId="260D2395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11.2 各类结果阅读方法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65BCAFF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01652C8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结果类型</w:t>
            </w:r>
          </w:p>
        </w:tc>
        <w:tc>
          <w:tcPr>
            <w:shd w:val="clear" w:color="auto" w:fill="F3F3F3"/>
            <w:vAlign w:val="center"/>
          </w:tcPr>
          <w:p w14:paraId="3866047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重点阅读内容</w:t>
            </w:r>
          </w:p>
        </w:tc>
        <w:tc>
          <w:tcPr>
            <w:shd w:val="clear" w:color="auto" w:fill="F3F3F3"/>
            <w:vAlign w:val="center"/>
          </w:tcPr>
          <w:p w14:paraId="29ECBE1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复核要点</w:t>
            </w:r>
          </w:p>
        </w:tc>
      </w:tr>
      <w:tr w14:paraId="7139F92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4B30F1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LLM 审查</w:t>
            </w:r>
          </w:p>
        </w:tc>
        <w:tc>
          <w:tcPr>
            <w:vAlign w:val="center"/>
          </w:tcPr>
          <w:p w14:paraId="21CE9A6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单元、级别、行、文件、问题、建议，或自定义正文</w:t>
            </w:r>
          </w:p>
        </w:tc>
        <w:tc>
          <w:tcPr>
            <w:vAlign w:val="center"/>
          </w:tcPr>
          <w:p w14:paraId="3703F8B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对照实际代码和触发条件；原文不等于结构化问题</w:t>
            </w:r>
          </w:p>
        </w:tc>
      </w:tr>
      <w:tr w14:paraId="61002EB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BEEC02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diff 变更审查</w:t>
            </w:r>
          </w:p>
        </w:tc>
        <w:tc>
          <w:tcPr>
            <w:vAlign w:val="center"/>
          </w:tcPr>
          <w:p w14:paraId="10C38A5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提交、比较基线、意图判断、问题行和建议</w:t>
            </w:r>
          </w:p>
        </w:tc>
        <w:tc>
          <w:tcPr>
            <w:vAlign w:val="center"/>
          </w:tcPr>
          <w:p w14:paraId="3F45CBF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检查当前改动是否引入问题，保留截断和范围限制</w:t>
            </w:r>
          </w:p>
        </w:tc>
      </w:tr>
      <w:tr w14:paraId="46FA88C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219261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耦合度</w:t>
            </w:r>
          </w:p>
        </w:tc>
        <w:tc>
          <w:tcPr>
            <w:vAlign w:val="center"/>
          </w:tcPr>
          <w:p w14:paraId="1BC4D98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模块表、类依赖图、高耦合类、循环依赖、建议</w:t>
            </w:r>
          </w:p>
        </w:tc>
        <w:tc>
          <w:tcPr>
            <w:vAlign w:val="center"/>
          </w:tcPr>
          <w:p w14:paraId="4165CEB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确定性指标与模型解读分开判断</w:t>
            </w:r>
          </w:p>
        </w:tc>
      </w:tr>
      <w:tr w14:paraId="2C02142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6B9862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设计模式</w:t>
            </w:r>
          </w:p>
        </w:tc>
        <w:tc>
          <w:tcPr>
            <w:vAlign w:val="center"/>
          </w:tcPr>
          <w:p w14:paraId="7DF6208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模式名、置信度、参与类、依据、疑似误用、建议</w:t>
            </w:r>
          </w:p>
        </w:tc>
        <w:tc>
          <w:tcPr>
            <w:vAlign w:val="center"/>
          </w:tcPr>
          <w:p w14:paraId="6A97E2C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结合结构和实现复核；未识别不等于代码不存在任何模式</w:t>
            </w:r>
          </w:p>
        </w:tc>
      </w:tr>
      <w:tr w14:paraId="252C082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F06D4D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API 审查</w:t>
            </w:r>
          </w:p>
        </w:tc>
        <w:tc>
          <w:tcPr>
            <w:vAlign w:val="center"/>
          </w:tcPr>
          <w:p w14:paraId="4B4568E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已触发状态、SonarQube链接、可选问题列表</w:t>
            </w:r>
          </w:p>
        </w:tc>
        <w:tc>
          <w:tcPr>
            <w:vAlign w:val="center"/>
          </w:tcPr>
          <w:p w14:paraId="6D35348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在外部页面确认流水线完成和结果时效</w:t>
            </w:r>
          </w:p>
        </w:tc>
      </w:tr>
    </w:tbl>
    <w:p w14:paraId="76505A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问题级别保留英文。悬停可查看中文解释：BLOCKER 为阻断（必须改），CRITICAL 为严重，MAJOR 为重要，MINOR 为次要，INFO 为提示。具体修复优先级仍由项目结合影响和业务安排确定。</w:t>
      </w:r>
    </w:p>
    <w:p w14:paraId="62A578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coupling 中模块按 Java 包聚合：Ca 表示被其他模块依赖数量，Ce 表示对其他模块的依赖数量，I 为 Ce/(Ca+Ce)。依赖按 import 统计，不包含继承、反射和同包引用。图展示类级依赖，表展示模块级指标。</w:t>
      </w:r>
    </w:p>
    <w:p w14:paraId="2E1B61B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80" w:firstLineChars="200"/>
        <w:jc w:val="both"/>
        <w:textAlignment w:val="auto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coupling 的模型解读失败时可以保留确定性结果，摘要会说明“LLM 解读失败，仅确定性结论”；不能据成功状态宣称模型建议已生成。</w:t>
      </w:r>
    </w:p>
    <w:p w14:paraId="726D0305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11.3 人工标记</w:t>
      </w:r>
    </w:p>
    <w:p w14:paraId="799EC7E6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在“代码审查”当前 diff 结果中，对能够定位到新文件行的行内问题可以点击：</w:t>
      </w:r>
    </w:p>
    <w:p w14:paraId="08DA0BCE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240" w:after="0" w:line="240" w:lineRule="auto"/>
        <w:ind w:left="720" w:right="0" w:hanging="36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“误报”：经复核认为问题不成立。</w:t>
      </w:r>
    </w:p>
    <w:p w14:paraId="7085C3AE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720" w:right="0" w:hanging="36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“已采纳”：经复核接受该问题或建议。</w:t>
      </w:r>
    </w:p>
    <w:p w14:paraId="594636E4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240" w:line="240" w:lineRule="auto"/>
        <w:ind w:left="720" w:right="0" w:hanging="36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“撤销”：清除当前标记。</w:t>
      </w:r>
    </w:p>
    <w:p w14:paraId="09AFDBDD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标记后准确率汇总会刷新。“已采纳”表示人工接受判断，不表示代码已经修改或修复已验证；修复情况应通过后续提交和复验记录说明。</w:t>
      </w:r>
    </w:p>
    <w:p w14:paraId="43A6527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历史记录查看窗口是只读，标记按钮置灰。当前普通 LLM 问题表、耦合度、设计模式和 API 表没有通用的同类标记按钮；diff 中无法定位新文件行的问题也可能退化为普通表。需要补充复核时，应在项目评审记录中保存结论，不要假定所有分析器都能在页面逐条打标。</w:t>
      </w:r>
    </w:p>
    <w:p w14:paraId="386EF874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11.4 准确率的实际含义</w:t>
      </w:r>
    </w:p>
    <w:p w14:paraId="335BDD2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“审查记录”顶部按分析器展示“整体准确率”“已复核准确率”“复核覆盖率”，并显示问题总数、已标记数、误报数和已采纳数。</w:t>
      </w:r>
    </w:p>
    <w:tbl>
      <w:tblPr>
        <w:tblStyle w:val="17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23"/>
        <w:gridCol w:w="2693"/>
        <w:gridCol w:w="2834"/>
      </w:tblGrid>
      <w:tr w14:paraId="00CA2C1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3690E61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指标</w:t>
            </w:r>
          </w:p>
        </w:tc>
        <w:tc>
          <w:tcPr>
            <w:shd w:val="clear" w:color="auto" w:fill="F3F3F3"/>
            <w:vAlign w:val="center"/>
          </w:tcPr>
          <w:p w14:paraId="6F6853A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当前公式</w:t>
            </w:r>
          </w:p>
        </w:tc>
        <w:tc>
          <w:tcPr>
            <w:shd w:val="clear" w:color="auto" w:fill="F3F3F3"/>
            <w:vAlign w:val="center"/>
          </w:tcPr>
          <w:p w14:paraId="1F6493A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解释</w:t>
            </w:r>
          </w:p>
        </w:tc>
      </w:tr>
      <w:tr w14:paraId="23E0409B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C2E5FB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整体准确率</w:t>
            </w:r>
          </w:p>
        </w:tc>
        <w:tc>
          <w:tcPr>
            <w:vAlign w:val="center"/>
          </w:tcPr>
          <w:p w14:paraId="4EF6CAB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(问题总数 − 误报数) / 问题总数</w:t>
            </w:r>
          </w:p>
        </w:tc>
        <w:tc>
          <w:tcPr>
            <w:vAlign w:val="center"/>
          </w:tcPr>
          <w:p w14:paraId="5CB5602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未标记问题暂按非误报计入，覆盖率低时可能偏高</w:t>
            </w:r>
          </w:p>
        </w:tc>
      </w:tr>
      <w:tr w14:paraId="72CA74A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8C83E5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已复核准确率</w:t>
            </w:r>
          </w:p>
        </w:tc>
        <w:tc>
          <w:tcPr>
            <w:vAlign w:val="center"/>
          </w:tcPr>
          <w:p w14:paraId="57ADC68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已采纳数 / 已标记数</w:t>
            </w:r>
          </w:p>
        </w:tc>
        <w:tc>
          <w:tcPr>
            <w:vAlign w:val="center"/>
          </w:tcPr>
          <w:p w14:paraId="0AD191A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仅反映已标记问题的接受比例</w:t>
            </w:r>
          </w:p>
        </w:tc>
      </w:tr>
      <w:tr w14:paraId="6C0F907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4A4430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复核覆盖率</w:t>
            </w:r>
          </w:p>
        </w:tc>
        <w:tc>
          <w:tcPr>
            <w:vAlign w:val="center"/>
          </w:tcPr>
          <w:p w14:paraId="5966963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已标记数 / 问题总数</w:t>
            </w:r>
          </w:p>
        </w:tc>
        <w:tc>
          <w:tcPr>
            <w:vAlign w:val="center"/>
          </w:tcPr>
          <w:p w14:paraId="54A9F31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说明人工复核覆盖程度</w:t>
            </w:r>
          </w:p>
        </w:tc>
      </w:tr>
    </w:tbl>
    <w:p w14:paraId="3722D79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分母为零时显示“—”，不能据此认定为 100% 正确。页面的 70% 配色门槛是显示规则，不是项目已经完成验收的证据。正式评价应同时提供问题总数、样本范围、复核覆盖率和人工判定依据。</w:t>
      </w:r>
    </w:p>
    <w:p w14:paraId="0429FFE5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当前后台问题计数读取结构化 units[].issues。耦合度建议、设计模式 patterns、API 根级 issues 和普通 Markdown 不一定进入同一计数口径。分类中 api-review 标为基础静态规则，其余分析器标为 AI 规则，但不能仅凭分类标签证明两类规则均已获得完整人工复核统计。</w:t>
      </w:r>
    </w:p>
    <w:p w14:paraId="21C295EE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采集真实diff行内问题、意图标签、误报或已采纳操作，以及审查记录准确率卡片；保留问题分母、标记数和覆盖率，必要时加子图显示耦合指标或模式依据；不伪造问题、状态、百分比或完整范围。</w:t>
      </w:r>
    </w:p>
    <w:p w14:paraId="24C121B9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24A52727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8 结果复核与统计口径  现场截图预留</w:t>
      </w:r>
    </w:p>
    <w:p w14:paraId="1A6BF39E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11.5 重审</w:t>
      </w:r>
    </w:p>
    <w:p w14:paraId="70C12172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结果区提供“重审失败单元”，记录列表提供“重审”。仅失败或部分成功记录可操作；成功和执行中记录不能重审。确认窗口说明重审会再次调用模型、消耗调用额度并覆盖结果，核对目标记录后点击“确认重审”。</w:t>
      </w:r>
    </w:p>
    <w:p w14:paraId="6C344E6A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LLM 重审按失败文件路径重新处理，diff 重审按失败单元处理；其他分析器可能整体重新执行。已执行过的范围和原有标记需要重新核对，不应承诺重审对所有类型都仅重跑一个问题。</w:t>
      </w:r>
    </w:p>
    <w:p w14:paraId="19C577C6">
      <w:pPr>
        <w:pStyle w:val="2"/>
        <w:outlineLvl w:val="0"/>
      </w:pPr>
      <w:bookmarkStart w:id="19" w:name="DeliveryUChapter12"/>
      <w:r>
        <w:rPr>
          <w:rFonts w:ascii="宋体" w:hAnsi="宋体" w:eastAsia="宋体" w:cs="宋体"/>
        </w:rPr>
        <w:t>12 历史记录查看与报告生成</w:t>
      </w:r>
      <w:bookmarkEnd w:id="19"/>
    </w:p>
    <w:p w14:paraId="59226ACD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12.1 查看历史审查记录</w:t>
      </w:r>
    </w:p>
    <w:p w14:paraId="2590F0EE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进入项目详情“审查记录”，列表包含时间、耗时、分支、提交、策略、状态和进度。点击“查看”打开全屏历史快照，可以展开范围树并阅读结果。</w:t>
      </w:r>
    </w:p>
    <w:p w14:paraId="4EBB33C4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快照的分支、策略、审查配置和触发按钮为禁用状态。它用于回看已有结果，不用于调整范围并启动新审查。需要新的范围或策略时回到“代码审查”操作；需要失败记录重审时使用记录列表的“重审”。</w:t>
      </w:r>
    </w:p>
    <w:p w14:paraId="505D6E90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12.2 选择报告材料</w:t>
      </w:r>
    </w:p>
    <w:p w14:paraId="77F21055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进入“报告生成”，左侧为“选择审查记录（已完成）”，右侧为“生成报告”。按目标范围勾选左侧记录，可跨页保留选择；“清空”取消全部选择。</w:t>
      </w:r>
    </w:p>
    <w:p w14:paraId="1702D49E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“已完成”包括成功、失败和部分成功，不表示全部记录都拥有完整结果。正式报告优先选择范围完整、已经复核的成功记录；采用部分成功记录时应说明缺失范围。对不同提交记录，应确认问题是否已在后续版本修复。</w:t>
      </w:r>
    </w:p>
    <w:p w14:paraId="13DD9DC3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建议将同一代码范围的业务规则审查、耦合度和设计模式结果作为一组材料。缺少相关分析结果时，报告中的对应章节没有充分数据支撑，应要求模型明确写“材料不足”，并由人员审阅。</w:t>
      </w:r>
    </w:p>
    <w:p w14:paraId="1B7BD6A2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12.3 生成与查看</w:t>
      </w:r>
    </w:p>
    <w:p w14:paraId="68F3CA22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1. 在左侧勾选本次需要的审查记录。</w:t>
      </w:r>
    </w:p>
    <w:p w14:paraId="6BEAEF92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2. 填写“报告名称”，留空时默认“综合报告”。</w:t>
      </w:r>
    </w:p>
    <w:p w14:paraId="3146BD53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3. 选择“模型”，按需选择“报告提示词（可选）”。</w:t>
      </w:r>
    </w:p>
    <w:p w14:paraId="108D4446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4. 点击“生成报告”。未选模型或未选记录时按钮会提示原因。</w:t>
      </w:r>
    </w:p>
    <w:p w14:paraId="56CF8D2A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5. 阅读“生成报告前，请确认勾选的审查记录”，核对代码一致性和材料类型，点击“确认生成”。</w:t>
      </w:r>
    </w:p>
    <w:p w14:paraId="54CB01E1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6. 在“报告列表”等待排队、生成中转为成功或失败；列表约每 5 秒刷新待完成报告。</w:t>
      </w:r>
    </w:p>
    <w:p w14:paraId="350D9038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7. 成功后点击“查看”，审阅正文，再点击“下载 Markdown”。</w:t>
      </w:r>
    </w:p>
    <w:p w14:paraId="48AAC4A8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生成前提醒不强制校验代码一致性，也不强制检查每种材料齐全。“不再提示”只保存浏览器偏好，后续可通过“重新开启生成前提示”恢复。</w:t>
      </w:r>
    </w:p>
    <w:p w14:paraId="39D86BA5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报告默认要求“概述”“问题列表”“修复方案”“设计模式”“模块耦合度”章节。结果为模型综合生成内容，发布前应核对引用材料、结论与修复建议。</w:t>
      </w:r>
    </w:p>
    <w:p w14:paraId="31613165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12.4 输入预算、失败与输出格式</w:t>
      </w:r>
    </w:p>
    <w:p w14:paraId="7AE7CD7E">
      <w:pPr>
        <w:keepNext/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运行配置中的默认报告预算为：</w:t>
      </w:r>
    </w:p>
    <w:p w14:paraId="5C1F1F6A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>report:</w:t>
      </w:r>
    </w:p>
    <w:p w14:paraId="534EAB2D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prompt-max-chars: 140000</w:t>
      </w:r>
    </w:p>
    <w:p w14:paraId="33D40625">
      <w:pPr>
        <w:spacing w:after="120"/>
        <w:jc w:val="left"/>
        <w:rPr>
          <w:rFonts w:ascii="宋体" w:hAnsi="宋体" w:eastAsia="宋体" w:cs="宋体"/>
        </w:rPr>
      </w:pPr>
      <w:r>
        <w:rPr>
          <w:rFonts w:ascii="Consolas" w:hAnsi="Consolas" w:eastAsia="宋体" w:cs="宋体"/>
          <w:sz w:val="20"/>
          <w:szCs w:val="20"/>
        </w:rPr>
        <w:t xml:space="preserve">  record-max-chars: 20000</w:t>
      </w:r>
    </w:p>
    <w:p w14:paraId="64B68B0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单位为字符，不是 token。记录聚合超过预算时会裁剪；正式报告应检查材料是否被截断，必要时减少记录、分批生成。无法验证的结论不得因报告格式完整就直接作为最终结果。</w:t>
      </w:r>
    </w:p>
    <w:p w14:paraId="78ED5C26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失败报告详情会提示“该报告生成失败”，可返回选择器重新勾选并再次生成。详细原因由运维检查应用日志。</w:t>
      </w:r>
    </w:p>
    <w:p w14:paraId="576F78B7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当前系统提供“下载 Markdown”，没有内建 Word 导出按钮。报告可保存为 .md 再按交付流程转换和编辑。</w:t>
      </w:r>
    </w:p>
    <w:p w14:paraId="09725753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采集已完成记录选择、模型与报告提示词字段，以及生成前提醒；使用同项目相关记录，保留真实状态与提交信息，标注材料范围，遮蔽生产敏感内容。</w:t>
      </w:r>
    </w:p>
    <w:p w14:paraId="73421EE7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06D8C143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9 报告材料选择与生成确认  现场截图预留</w:t>
      </w:r>
    </w:p>
    <w:p w14:paraId="63EFA8D2">
      <w:pPr>
        <w:keepNext/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截图采集说明  采集真实生成报告的正文、状态、耗时及下载Markdown按钮；保留章节和必要范围说明，遮蔽敏感代码，完整Markdown另行保存，截图不能代替完整结果。</w:t>
      </w:r>
    </w:p>
    <w:p w14:paraId="61197B87">
      <w:pPr>
        <w:keepNext/>
        <w:spacing w:after="0" w:line="3402" w:lineRule="exact"/>
        <w:jc w:val="both"/>
        <w:rPr>
          <w:rFonts w:ascii="宋体" w:hAnsi="宋体" w:eastAsia="宋体" w:cs="宋体"/>
        </w:rPr>
      </w:pPr>
    </w:p>
    <w:p w14:paraId="550D3E90">
      <w:pPr>
        <w:spacing w:after="160"/>
        <w:jc w:val="center"/>
        <w:rPr>
          <w:rFonts w:ascii="宋体" w:hAnsi="宋体" w:eastAsia="宋体" w:cs="宋体"/>
        </w:rPr>
      </w:pPr>
      <w:r>
        <w:rPr>
          <w:rFonts w:hint="eastAsia" w:cs="宋体"/>
          <w:sz w:val="20"/>
          <w:szCs w:val="20"/>
          <w:lang w:eastAsia="zh-CN"/>
        </w:rPr>
        <w:t>图</w:t>
      </w:r>
      <w:r>
        <w:rPr>
          <w:rFonts w:ascii="宋体" w:hAnsi="宋体" w:eastAsia="宋体" w:cs="宋体"/>
          <w:sz w:val="20"/>
          <w:szCs w:val="20"/>
        </w:rPr>
        <w:t>10 报告查看与Markdown下载  现场截图预留</w:t>
      </w:r>
    </w:p>
    <w:p w14:paraId="5740C69F">
      <w:pPr>
        <w:pStyle w:val="2"/>
        <w:outlineLvl w:val="0"/>
      </w:pPr>
      <w:bookmarkStart w:id="20" w:name="DeliveryUChapter13"/>
      <w:r>
        <w:rPr>
          <w:rFonts w:ascii="宋体" w:hAnsi="宋体" w:eastAsia="宋体" w:cs="宋体"/>
        </w:rPr>
        <w:t>13 常见故障与交付留存</w:t>
      </w:r>
      <w:bookmarkEnd w:id="20"/>
    </w:p>
    <w:p w14:paraId="62332D1E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13.1 故障处理表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402AAA2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6CD328A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现象</w:t>
            </w:r>
          </w:p>
        </w:tc>
        <w:tc>
          <w:tcPr>
            <w:shd w:val="clear" w:color="auto" w:fill="F3F3F3"/>
            <w:vAlign w:val="center"/>
          </w:tcPr>
          <w:p w14:paraId="56A4E74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检查与处理</w:t>
            </w:r>
          </w:p>
        </w:tc>
      </w:tr>
      <w:tr w14:paraId="2273AE8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37D0C9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页面无法访问</w:t>
            </w:r>
          </w:p>
        </w:tc>
        <w:tc>
          <w:tcPr>
            <w:vAlign w:val="center"/>
          </w:tcPr>
          <w:p w14:paraId="2E87192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核对实际 IP/APP_PORT、Compose 状态和网络访问范围；检查 app 日志</w:t>
            </w:r>
          </w:p>
        </w:tc>
      </w:tr>
      <w:tr w14:paraId="1A968E9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98760E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体检空间或内存不足</w:t>
            </w:r>
          </w:p>
        </w:tc>
        <w:tc>
          <w:tcPr>
            <w:vAlign w:val="center"/>
          </w:tcPr>
          <w:p w14:paraId="250DA07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按实际分区和可用内存补足资源；避免清理其他业务数据</w:t>
            </w:r>
          </w:p>
        </w:tc>
      </w:tr>
      <w:tr w14:paraId="4FCF6E5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138596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端口被占用</w:t>
            </w:r>
          </w:p>
        </w:tc>
        <w:tc>
          <w:tcPr>
            <w:vAlign w:val="center"/>
          </w:tcPr>
          <w:p w14:paraId="76BFD6C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在 .env 修改 APP_PORT，核对现场开放范围后重新部署</w:t>
            </w:r>
          </w:p>
        </w:tc>
      </w:tr>
      <w:tr w14:paraId="79397B51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9225D0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MySQL 初始化失败</w:t>
            </w:r>
          </w:p>
        </w:tc>
        <w:tc>
          <w:tcPr>
            <w:vAlign w:val="center"/>
          </w:tcPr>
          <w:p w14:paraId="1068D81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检查 Linux 原生文件系统、数据目录权限、密码和 mysql 日志</w:t>
            </w:r>
          </w:p>
        </w:tc>
      </w:tr>
      <w:tr w14:paraId="46534B43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06C9BE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模型验证失败</w:t>
            </w:r>
          </w:p>
        </w:tc>
        <w:tc>
          <w:tcPr>
            <w:vAlign w:val="center"/>
          </w:tcPr>
          <w:p w14:paraId="0EC53C1A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检查接口根拼接、Token、模型名和网关网络；根据401/403/404或超时原因处理</w:t>
            </w:r>
          </w:p>
        </w:tc>
      </w:tr>
      <w:tr w14:paraId="1CEF54C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9A135E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ping 成功但真实审查失败</w:t>
            </w:r>
          </w:p>
        </w:tc>
        <w:tc>
          <w:tcPr>
            <w:vAlign w:val="center"/>
          </w:tcPr>
          <w:p w14:paraId="0DED16B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检查 JSON 模式、长输入能力、HTTP超时和当前失败记录</w:t>
            </w:r>
          </w:p>
        </w:tc>
      </w:tr>
      <w:tr w14:paraId="5176D2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746AE998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仓库接入失败</w:t>
            </w:r>
          </w:p>
        </w:tc>
        <w:tc>
          <w:tcPr>
            <w:vAlign w:val="center"/>
          </w:tcPr>
          <w:p w14:paraId="5143F34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检查 URL、令牌读取权限、宿主白名单、站点前缀及网络</w:t>
            </w:r>
          </w:p>
        </w:tc>
      </w:tr>
      <w:tr w14:paraId="065D650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FF31E1F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分支或文件树显示加载失败</w:t>
            </w:r>
          </w:p>
        </w:tc>
        <w:tc>
          <w:tcPr>
            <w:vAlign w:val="center"/>
          </w:tcPr>
          <w:p w14:paraId="21E9DC57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点击相应重试；核对后端和仓库状态，不能直接视为仓库为空</w:t>
            </w:r>
          </w:p>
        </w:tc>
      </w:tr>
      <w:tr w14:paraId="2ACE1E2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794BDA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所选文件全部不可审查</w:t>
            </w:r>
          </w:p>
        </w:tc>
        <w:tc>
          <w:tcPr>
            <w:vAlign w:val="center"/>
          </w:tcPr>
          <w:p w14:paraId="282E6AA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改选白名单中的文本源码；无扩展名和二进制会被跳过</w:t>
            </w:r>
          </w:p>
        </w:tc>
      </w:tr>
      <w:tr w14:paraId="7D73ED62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4B06E5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diff 单元数超过50</w:t>
            </w:r>
          </w:p>
        </w:tc>
        <w:tc>
          <w:tcPr>
            <w:vAlign w:val="center"/>
          </w:tcPr>
          <w:p w14:paraId="2DAB4A4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缩小文件范围、分批审查；单文件可能产生多个单元</w:t>
            </w:r>
          </w:p>
        </w:tc>
      </w:tr>
      <w:tr w14:paraId="5E86587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8C8CF61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变更文件列表不完整</w:t>
            </w:r>
          </w:p>
        </w:tc>
        <w:tc>
          <w:tcPr>
            <w:vAlign w:val="center"/>
          </w:tcPr>
          <w:p w14:paraId="07742FF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保留提示，缩小范围或分批，避免将第一页视为全量</w:t>
            </w:r>
          </w:p>
        </w:tc>
      </w:tr>
      <w:tr w14:paraId="68B0640F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29F643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审查部分成功</w:t>
            </w:r>
          </w:p>
        </w:tc>
        <w:tc>
          <w:tcPr>
            <w:vAlign w:val="center"/>
          </w:tcPr>
          <w:p w14:paraId="314D3CE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展开失败原因，修复依赖后重审，并在报告说明范围缺口</w:t>
            </w:r>
          </w:p>
        </w:tc>
      </w:tr>
      <w:tr w14:paraId="41EC5B5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3261DE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进度获取失败</w:t>
            </w:r>
          </w:p>
        </w:tc>
        <w:tc>
          <w:tcPr>
            <w:vAlign w:val="center"/>
          </w:tcPr>
          <w:p w14:paraId="350C99A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恢复后端可达后点击继续等待，恢复轮询</w:t>
            </w:r>
          </w:p>
        </w:tc>
      </w:tr>
      <w:tr w14:paraId="78C715F5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BA1C0F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报告生成失败</w:t>
            </w:r>
          </w:p>
        </w:tc>
        <w:tc>
          <w:tcPr>
            <w:vAlign w:val="center"/>
          </w:tcPr>
          <w:p w14:paraId="4E4E527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重选相关且已完成记录，检查模型与输入预算，查询 app 日志</w:t>
            </w:r>
          </w:p>
        </w:tc>
      </w:tr>
      <w:tr w14:paraId="33F28D96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66D470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回退后仍不健康</w:t>
            </w:r>
          </w:p>
        </w:tc>
        <w:tc>
          <w:tcPr>
            <w:vAlign w:val="center"/>
          </w:tcPr>
          <w:p w14:paraId="4D188BDD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保留状态与日志，由运维核对镜像版本、运行配置和数据库兼容性</w:t>
            </w:r>
          </w:p>
        </w:tc>
      </w:tr>
    </w:tbl>
    <w:p w14:paraId="3D1449D8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13.2 排障材料</w:t>
      </w:r>
    </w:p>
    <w:p w14:paraId="512A6E1A">
      <w:pPr>
        <w:spacing w:after="240"/>
        <w:ind w:firstLine="480" w:firstLineChars="20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向部署或维护负责人提供问题时，应保存：实际包版本、发生时间、对应项目及记录 ID、分支与 SHA、界面错误提示、Compose 状态、app/mysql 日志和环境报告。提供前遮蔽凭据及不需公开的内部信息。</w:t>
      </w:r>
    </w:p>
    <w:p w14:paraId="345DB7FF">
      <w:pPr>
        <w:spacing w:after="240"/>
        <w:jc w:val="both"/>
        <w:rPr>
          <w:rFonts w:ascii="宋体" w:hAnsi="宋体" w:eastAsia="宋体" w:cs="宋体"/>
        </w:rPr>
      </w:pPr>
      <w:r>
        <w:rPr>
          <w:rFonts w:ascii="宋体" w:hAnsi="宋体" w:eastAsia="宋体" w:cs="宋体"/>
        </w:rPr>
        <w:t>不要用重复触发审查替代问题定位。模型或仓库不可达时先处理连接；范围错误时重新选范围；部分成功时明确失败单元；回退时分清应用镜像和数据库恢复。</w:t>
      </w:r>
    </w:p>
    <w:p w14:paraId="31E79339">
      <w:pPr>
        <w:pStyle w:val="3"/>
        <w:rPr>
          <w:color w:val="1A703A"/>
        </w:rPr>
      </w:pPr>
      <w:r>
        <w:rPr>
          <w:rFonts w:ascii="宋体" w:hAnsi="宋体" w:eastAsia="宋体" w:cs="宋体"/>
          <w:color w:val="1A703A"/>
        </w:rPr>
        <w:t>13.3 交付资料留存</w:t>
      </w:r>
    </w:p>
    <w:tbl>
      <w:tblPr>
        <w:tblStyle w:val="15"/>
        <w:tblW w:w="9350" w:type="dxa"/>
        <w:tblInd w:w="0" w:type="dxa"/>
        <w:tblBorders>
          <w:top w:val="single" w:color="999999" w:sz="4" w:space="0"/>
          <w:left w:val="single" w:color="999999" w:sz="4" w:space="0"/>
          <w:bottom w:val="single" w:color="999999" w:sz="4" w:space="0"/>
          <w:right w:val="single" w:color="999999" w:sz="4" w:space="0"/>
          <w:insideH w:val="single" w:color="999999" w:sz="4" w:space="0"/>
          <w:insideV w:val="single" w:color="99999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47"/>
        <w:gridCol w:w="6803"/>
      </w:tblGrid>
      <w:tr w14:paraId="041CBB9D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  <w:tblHeader/>
        </w:trPr>
        <w:tc>
          <w:tcPr>
            <w:shd w:val="clear" w:color="auto" w:fill="F3F3F3"/>
            <w:vAlign w:val="center"/>
          </w:tcPr>
          <w:p w14:paraId="700A1BC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资料</w:t>
            </w:r>
          </w:p>
        </w:tc>
        <w:tc>
          <w:tcPr>
            <w:shd w:val="clear" w:color="auto" w:fill="F3F3F3"/>
            <w:vAlign w:val="center"/>
          </w:tcPr>
          <w:p w14:paraId="52DA0F1E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color w:val="105128"/>
                <w:sz w:val="20"/>
                <w:szCs w:val="20"/>
              </w:rPr>
              <w:t>用途</w:t>
            </w:r>
          </w:p>
        </w:tc>
      </w:tr>
      <w:tr w14:paraId="1D652E4A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2A42E9E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离线包版本及对应源码 SHA</w:t>
            </w:r>
          </w:p>
        </w:tc>
        <w:tc>
          <w:tcPr>
            <w:vAlign w:val="center"/>
          </w:tcPr>
          <w:p w14:paraId="69B162E0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确认部署对象和后续回溯</w:t>
            </w:r>
          </w:p>
        </w:tc>
      </w:tr>
      <w:tr w14:paraId="22FCC620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8D4914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环境报告与部署检查记录</w:t>
            </w:r>
          </w:p>
        </w:tc>
        <w:tc>
          <w:tcPr>
            <w:vAlign w:val="center"/>
          </w:tcPr>
          <w:p w14:paraId="2138076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确认资源、运行环境和部署结果</w:t>
            </w:r>
          </w:p>
        </w:tc>
      </w:tr>
      <w:tr w14:paraId="4531A3EE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3B287764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模型名称和脱敏接口根</w:t>
            </w:r>
          </w:p>
        </w:tc>
        <w:tc>
          <w:tcPr>
            <w:vAlign w:val="center"/>
          </w:tcPr>
          <w:p w14:paraId="511F518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说明实际采用的模型，不留明文Token</w:t>
            </w:r>
          </w:p>
        </w:tc>
      </w:tr>
      <w:tr w14:paraId="69DA863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405779BC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策略名称、分析器与提示词版本</w:t>
            </w:r>
          </w:p>
        </w:tc>
        <w:tc>
          <w:tcPr>
            <w:vAlign w:val="center"/>
          </w:tcPr>
          <w:p w14:paraId="0C43060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明确审查方法和规则</w:t>
            </w:r>
          </w:p>
        </w:tc>
      </w:tr>
      <w:tr w14:paraId="0B302B7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54C0FE0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审查记录 ID、分支、SHA、范围和状态</w:t>
            </w:r>
          </w:p>
        </w:tc>
        <w:tc>
          <w:tcPr>
            <w:vAlign w:val="center"/>
          </w:tcPr>
          <w:p w14:paraId="26858C6B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确认实际审查对象及完整性</w:t>
            </w:r>
          </w:p>
        </w:tc>
      </w:tr>
      <w:tr w14:paraId="11D36BFC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09061A5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人工复核结论与覆盖率</w:t>
            </w:r>
          </w:p>
        </w:tc>
        <w:tc>
          <w:tcPr>
            <w:vAlign w:val="center"/>
          </w:tcPr>
          <w:p w14:paraId="1C6D18C5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支持准确率和问题处置判断</w:t>
            </w:r>
          </w:p>
        </w:tc>
      </w:tr>
      <w:tr w14:paraId="6E5139E8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63233462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完整报告 Markdown</w:t>
            </w:r>
          </w:p>
        </w:tc>
        <w:tc>
          <w:tcPr>
            <w:vAlign w:val="center"/>
          </w:tcPr>
          <w:p w14:paraId="07A55073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留存最终内容，不仅保存截图</w:t>
            </w:r>
          </w:p>
        </w:tc>
      </w:tr>
      <w:tr w14:paraId="3267EB79">
        <w:tblPrEx>
          <w:tblBorders>
            <w:top w:val="single" w:color="999999" w:sz="4" w:space="0"/>
            <w:left w:val="single" w:color="999999" w:sz="4" w:space="0"/>
            <w:bottom w:val="single" w:color="999999" w:sz="4" w:space="0"/>
            <w:right w:val="single" w:color="999999" w:sz="4" w:space="0"/>
            <w:insideH w:val="single" w:color="999999" w:sz="4" w:space="0"/>
            <w:insideV w:val="single" w:color="99999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vAlign w:val="center"/>
          </w:tcPr>
          <w:p w14:paraId="15276629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b/>
                <w:bCs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z w:val="20"/>
                <w:szCs w:val="20"/>
              </w:rPr>
              <w:t>备份及恢复验证记录</w:t>
            </w:r>
          </w:p>
        </w:tc>
        <w:tc>
          <w:tcPr>
            <w:vAlign w:val="center"/>
          </w:tcPr>
          <w:p w14:paraId="3D643F86">
            <w:pPr>
              <w:keepNext w:val="0"/>
              <w:keepLines/>
              <w:spacing w:after="0" w:line="240" w:lineRule="auto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支持后续运维与数据恢复</w:t>
            </w:r>
          </w:p>
        </w:tc>
      </w:tr>
    </w:tbl>
    <w:p w14:paraId="75B8C280">
      <w:bookmarkStart w:id="21" w:name="_GoBack"/>
      <w:bookmarkEnd w:id="21"/>
    </w:p>
    <w:sectPr>
      <w:headerReference r:id="rId3" w:type="default"/>
      <w:footerReference r:id="rId4" w:type="default"/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4FEC8BEF-7E7F-4337-B4D5-428781F994BC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A7A92984-79AC-415A-9B9E-6A72D8E2C8CB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7AD96C9D-DC5C-41B2-A1AB-04AC50AEED96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56FFF7E2-47BC-40F7-869B-3551AAAAB90B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A2B43EBB-2FFA-49E9-8328-9C821FE6C71A}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  <w:embedRegular r:id="rId6" w:fontKey="{5D25AF1C-CBD2-451F-A0C2-9E9B8151A314}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5677CEBD-905B-4E00-A1C0-360DD1EA6FD5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5746D873-B9D2-42FB-951F-F3EB56ED45CE}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9" w:fontKey="{7BE9C13F-4B9D-4471-957A-6F733713596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6">
    <w:pPr>
      <w:rPr>
        <w:color w:val="002715"/>
      </w:rPr>
    </w:pPr>
  </w:p>
  <w:tbl>
    <w:tblPr>
      <w:tblStyle w:val="22"/>
      <w:tblW w:w="9360" w:type="dxa"/>
      <w:tblInd w:w="0" w:type="dxa"/>
      <w:tblLayout w:type="fixed"/>
      <w:tblCellMar>
        <w:top w:w="100" w:type="dxa"/>
        <w:left w:w="100" w:type="dxa"/>
        <w:bottom w:w="100" w:type="dxa"/>
        <w:right w:w="100" w:type="dxa"/>
      </w:tblCellMar>
    </w:tblPr>
    <w:tblGrid>
      <w:gridCol w:w="4680"/>
      <w:gridCol w:w="4680"/>
    </w:tblGrid>
    <w:tr w14:paraId="66643A67">
      <w:tblPrEx>
        <w:tblCellMar>
          <w:top w:w="100" w:type="dxa"/>
          <w:left w:w="100" w:type="dxa"/>
          <w:bottom w:w="100" w:type="dxa"/>
          <w:right w:w="100" w:type="dxa"/>
        </w:tblCellMar>
      </w:tblPrEx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7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left"/>
            <w:rPr>
              <w:rFonts w:ascii="宋体" w:hAnsi="宋体" w:eastAsia="宋体" w:cs="宋体"/>
              <w:color w:val="105128"/>
              <w:sz w:val="18"/>
              <w:szCs w:val="18"/>
            </w:rPr>
          </w:pPr>
          <w:r>
            <w:rPr>
              <w:rFonts w:ascii="宋体" w:hAnsi="宋体" w:eastAsia="宋体" w:cs="宋体"/>
              <w:color w:val="105128"/>
              <w:sz w:val="18"/>
              <w:szCs w:val="18"/>
              <w:rtl w:val="0"/>
            </w:rPr>
            <w:t>基于AI的智能代码分析工具 用户手册</w:t>
          </w:r>
        </w:p>
      </w:tc>
      <w:tc>
        <w:tcPr>
          <w:tcBorders>
            <w:top w:val="nil"/>
            <w:left w:val="nil"/>
            <w:bottom w:val="nil"/>
            <w:right w:val="nil"/>
          </w:tcBorders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  <w:vAlign w:val="top"/>
        </w:tcPr>
        <w:p w14:paraId="00000118">
          <w:pPr>
            <w:keepNext w:val="0"/>
            <w:keepLines w:val="0"/>
            <w:widowControl w:val="0"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right"/>
            <w:rPr>
              <w:rFonts w:ascii="宋体" w:hAnsi="宋体" w:eastAsia="宋体" w:cs="宋体"/>
              <w:color w:val="105128"/>
              <w:sz w:val="18"/>
              <w:szCs w:val="18"/>
            </w:rPr>
          </w:pP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begin"/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instrText xml:space="preserve">PAGE</w:instrText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separate"/>
          </w:r>
          <w:r>
            <w:rPr>
              <w:rFonts w:ascii="宋体" w:hAnsi="宋体" w:eastAsia="宋体" w:cs="宋体"/>
              <w:color w:val="105128"/>
              <w:sz w:val="18"/>
              <w:szCs w:val="18"/>
            </w:rPr>
            <w:fldChar w:fldCharType="end"/>
          </w:r>
        </w:p>
      </w:tc>
    </w:tr>
  </w:tbl>
  <w:p w14:paraId="00000119">
    <w:pPr>
      <w:rPr>
        <w:color w:val="002715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11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33480BF"/>
    <w:multiLevelType w:val="multilevel"/>
    <w:tmpl w:val="333480BF"/>
    <w:lvl w:ilvl="0" w:tentative="0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180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396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120" w:hanging="360"/>
      </w:pPr>
      <w:rPr>
        <w:rFonts w:ascii="Noto Sans Symbols" w:hAnsi="Noto Sans Symbols" w:eastAsia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TrueTypeFonts/>
  <w:documentProtection w:enforcement="0"/>
  <w:defaultTabStop w:val="720"/>
  <w:compat>
    <w:useFELayout/>
    <w:compatSetting w:name="compatibilityMode" w:uri="http://schemas.microsoft.com/office/word" w:val="15"/>
  </w:compat>
  <w:rsids>
    <w:rsidRoot w:val="00000000"/>
    <w:rsid w:val="0C9B1028"/>
    <w:rsid w:val="11A75487"/>
    <w:rsid w:val="235D7669"/>
    <w:rsid w:val="2F981491"/>
    <w:rsid w:val="64B42061"/>
    <w:rsid w:val="7B772D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宋体" w:hAnsi="宋体" w:eastAsia="宋体" w:cs="宋体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宋体" w:hAnsi="宋体" w:eastAsia="宋体" w:cs="宋体"/>
      <w:sz w:val="24"/>
      <w:szCs w:val="24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60" w:after="80"/>
    </w:pPr>
    <w:rPr>
      <w:rFonts w:ascii="宋体" w:hAnsi="宋体" w:eastAsia="宋体" w:cs="宋体"/>
      <w:b/>
      <w:bCs/>
      <w:color w:val="1A703A"/>
      <w:sz w:val="36"/>
      <w:szCs w:val="36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160"/>
      <w:jc w:val="left"/>
      <w:outlineLvl w:val="1"/>
    </w:pPr>
    <w:rPr>
      <w:color w:val="592382"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160"/>
      <w:jc w:val="center"/>
    </w:pPr>
    <w:rPr>
      <w:rFonts w:ascii="宋体" w:hAnsi="宋体" w:eastAsia="宋体" w:cs="宋体"/>
      <w:color w:val="59238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80" w:after="40"/>
    </w:pPr>
    <w:rPr>
      <w:i/>
      <w:iCs/>
      <w:color w:val="37233F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80" w:after="40"/>
    </w:pPr>
    <w:rPr>
      <w:color w:val="37233F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40"/>
    </w:pPr>
    <w:rPr>
      <w:i/>
      <w:iCs/>
      <w:color w:val="595959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1"/>
    <w:basedOn w:val="1"/>
    <w:uiPriority w:val="0"/>
    <w:pPr>
      <w:tabs>
        <w:tab w:val="right" w:leader="dot" w:pos="9360"/>
      </w:tabs>
      <w:spacing w:before="0" w:after="120" w:line="260" w:lineRule="auto"/>
      <w:outlineLvl w:val="9"/>
    </w:pPr>
    <w:rPr>
      <w:rFonts w:ascii="宋体" w:hAnsi="宋体" w:eastAsia="宋体" w:cs="宋体"/>
      <w:color w:val="000000"/>
      <w:sz w:val="21"/>
      <w:szCs w:val="21"/>
    </w:rPr>
  </w:style>
  <w:style w:type="paragraph" w:styleId="9">
    <w:name w:val="Subtitle"/>
    <w:basedOn w:val="1"/>
    <w:next w:val="1"/>
    <w:qFormat/>
    <w:uiPriority w:val="0"/>
    <w:rPr>
      <w:color w:val="595959"/>
      <w:sz w:val="28"/>
      <w:szCs w:val="28"/>
    </w:rPr>
  </w:style>
  <w:style w:type="paragraph" w:styleId="10">
    <w:name w:val="Title"/>
    <w:basedOn w:val="1"/>
    <w:next w:val="1"/>
    <w:qFormat/>
    <w:uiPriority w:val="0"/>
    <w:pPr>
      <w:spacing w:after="80"/>
      <w:jc w:val="center"/>
    </w:pPr>
    <w:rPr>
      <w:b/>
      <w:bCs/>
      <w:color w:val="4A2E5F"/>
      <w:sz w:val="80"/>
      <w:szCs w:val="80"/>
    </w:rPr>
  </w:style>
  <w:style w:type="table" w:customStyle="1" w:styleId="13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4">
    <w:name w:val="_Style 10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1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_Style 12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_Style 13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_Style 14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_Style 15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_Style 16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_Style 17"/>
    <w:basedOn w:val="13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_Style 18"/>
    <w:basedOn w:val="13"/>
    <w:qFormat/>
    <w:uiPriority w:val="0"/>
  </w:style>
  <w:style w:type="paragraph" w:customStyle="1" w:styleId="23">
    <w:name w:val="目录标题"/>
    <w:basedOn w:val="1"/>
    <w:uiPriority w:val="0"/>
    <w:pPr>
      <w:keepNext/>
      <w:spacing w:before="0" w:after="120" w:line="260" w:lineRule="auto"/>
      <w:outlineLvl w:val="9"/>
    </w:pPr>
    <w:rPr>
      <w:rFonts w:ascii="宋体" w:hAnsi="宋体" w:eastAsia="宋体" w:cs="宋体"/>
      <w:color w:val="1A703A"/>
      <w:sz w:val="36"/>
      <w:szCs w:val="3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36</Pages>
  <Words>16592</Words>
  <Characters>21293</Characters>
  <TotalTime>12</TotalTime>
  <ScaleCrop>false</ScaleCrop>
  <LinksUpToDate>false</LinksUpToDate>
  <CharactersWithSpaces>22433</CharactersWithSpaces>
  <Application>WPS Office_12.1.0.28505_F1E327BC-269C-435d-A152-05C5408002CA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2026-10-14T07:48:00Z</dcterms:created>
  <dc:creator>ysx</dc:creator>
  <cp:lastModifiedBy>化け物</cp:lastModifiedBy>
  <dcterms:modified xsi:type="dcterms:W3CDTF">2026-10-14T08:18:00Z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eyJoZGlkIjoiZGJmOTZhYzk5N2JkMzJmMWY3NmFmMTk3Yjc3NGNjM2EiLCJ1c2VySWQiOiIxMzc4NDgzODQ0In0=</vt:lpwstr>
  </property>
  <property fmtid="{D5CDD505-2E9C-101B-9397-08002B2CF9AE}" pid="3" name="KSOProductBuildVer">
    <vt:lpwstr>2052-12.1.0.28505</vt:lpwstr>
  </property>
  <property fmtid="{D5CDD505-2E9C-101B-9397-08002B2CF9AE}" pid="4" name="ICV">
    <vt:lpwstr>FA01FB4C227E435CB52C529694B5BF6D_12</vt:lpwstr>
  </property>
</Properties>
</file>