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ОТЧЕТ ЭМГ: ПАЦИЕНТ №18</w:t>
      </w:r>
    </w:p>
    <w:p>
      <w:pPr>
        <w:pStyle w:val="Heading1"/>
      </w:pPr>
      <w:r>
        <w:t>АНАЛИЗ ПРОБЫ №1</w:t>
      </w:r>
    </w:p>
    <w:p>
      <w:pPr>
        <w:pStyle w:val="Heading2"/>
      </w:pPr>
      <w:r>
        <w:t>1. Временной анализ</w:t>
      </w:r>
    </w:p>
    <w:p>
      <w:r>
        <w:t>• Средняя амплитуда (M+STD): 864.12 мкВ</w:t>
        <w:br/>
      </w:r>
      <w:r>
        <w:t>• Медианная амплитуда: 692.07 мкВ</w:t>
        <w:br/>
      </w:r>
      <w:r>
        <w:t>• RMS (мощность сигнала): 288.81 мкВ</w:t>
        <w:br/>
      </w:r>
      <w:r>
        <w:t>• iEMG (интегральная активность): 3185646.45 мкВ*с</w:t>
        <w:br/>
      </w:r>
      <w:r>
        <w:t>• ZCR (частота пересеч. нуля): 483.61 Гц</w:t>
        <w:br/>
      </w:r>
      <w:r>
        <w:t>• Амплитуда от пика до пика (P-P): 2448.01 мкВ</w:t>
        <w:br/>
      </w:r>
      <w:r>
        <w:t>• Максимальная амплитуда: 1335.03 мкВ</w:t>
        <w:br/>
      </w:r>
      <w:r>
        <w:t>• Минимальная амплитуда: -1112.98 мкВ</w:t>
      </w:r>
    </w:p>
    <w:p>
      <w:r>
        <w:drawing>
          <wp:inline xmlns:a="http://schemas.openxmlformats.org/drawingml/2006/main" xmlns:pic="http://schemas.openxmlformats.org/drawingml/2006/picture">
            <wp:extent cx="5486400" cy="23666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666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438246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24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 Частотный анализ</w:t>
      </w:r>
    </w:p>
    <w:p>
      <w:r>
        <w:t>• Медианная частота (MDF): 210.38 Гц</w:t>
        <w:br/>
      </w:r>
      <w:r>
        <w:t>• Средняя частота (MNF): 229.48 Гц</w:t>
        <w:br/>
      </w:r>
      <w:r>
        <w:t>• Пиковая частота: 180.93 Гц</w:t>
        <w:br/>
      </w:r>
      <w:r>
        <w:t>• Коэффициент H/L (баланс): 12.986</w:t>
        <w:br/>
      </w:r>
      <w:r>
        <w:t>• Спектральная энтропия: 7.492</w:t>
        <w:br/>
      </w:r>
      <w:r>
        <w:t>• Утомление (Slope): -3.42 Гц/сек</w:t>
        <w:br/>
      </w:r>
      <w:r>
        <w:t>• Падение MDF за пробу: -4.9 %</w:t>
      </w:r>
    </w:p>
    <w:p>
      <w:r>
        <w:drawing>
          <wp:inline xmlns:a="http://schemas.openxmlformats.org/drawingml/2006/main" xmlns:pic="http://schemas.openxmlformats.org/drawingml/2006/picture">
            <wp:extent cx="5486400" cy="294918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491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1242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24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АНАЛИЗ ПРОБЫ №2</w:t>
      </w:r>
    </w:p>
    <w:p>
      <w:pPr>
        <w:pStyle w:val="Heading2"/>
      </w:pPr>
      <w:r>
        <w:t>1. Временной анализ</w:t>
      </w:r>
    </w:p>
    <w:p>
      <w:r>
        <w:t>• Средняя амплитуда (M+STD): 882.78 мкВ</w:t>
        <w:br/>
      </w:r>
      <w:r>
        <w:t>• Медианная амплитуда: 733.35 мкВ</w:t>
        <w:br/>
      </w:r>
      <w:r>
        <w:t>• RMS (мощность сигнала): 284.33 мкВ</w:t>
        <w:br/>
      </w:r>
      <w:r>
        <w:t>• iEMG (интегральная активность): 3262802.70 мкВ*с</w:t>
        <w:br/>
      </w:r>
      <w:r>
        <w:t>• ZCR (частота пересеч. нуля): 484.35 Гц</w:t>
        <w:br/>
      </w:r>
      <w:r>
        <w:t>• Амплитуда от пика до пика (P-P): 2738.30 мкВ</w:t>
        <w:br/>
      </w:r>
      <w:r>
        <w:t>• Максимальная амплитуда: 1421.76 мкВ</w:t>
        <w:br/>
      </w:r>
      <w:r>
        <w:t>• Минимальная амплитуда: -1316.54 мкВ</w:t>
      </w:r>
    </w:p>
    <w:p>
      <w:r>
        <w:drawing>
          <wp:inline xmlns:a="http://schemas.openxmlformats.org/drawingml/2006/main" xmlns:pic="http://schemas.openxmlformats.org/drawingml/2006/picture">
            <wp:extent cx="5486400" cy="236668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666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438246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24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 Частотный анализ</w:t>
      </w:r>
    </w:p>
    <w:p>
      <w:r>
        <w:t>• Медианная частота (MDF): 210.15 Гц</w:t>
        <w:br/>
      </w:r>
      <w:r>
        <w:t>• Средняя частота (MNF): 228.14 Гц</w:t>
        <w:br/>
      </w:r>
      <w:r>
        <w:t>• Пиковая частота: 208.14 Гц</w:t>
        <w:br/>
      </w:r>
      <w:r>
        <w:t>• Коэффициент H/L (баланс): 12.629</w:t>
        <w:br/>
      </w:r>
      <w:r>
        <w:t>• Спектральная энтропия: 7.571</w:t>
        <w:br/>
      </w:r>
      <w:r>
        <w:t>• Утомление (Slope): -0.42 Гц/сек</w:t>
        <w:br/>
      </w:r>
      <w:r>
        <w:t>• Падение MDF за пробу: 8.5 %</w:t>
      </w:r>
    </w:p>
    <w:p>
      <w:r>
        <w:drawing>
          <wp:inline xmlns:a="http://schemas.openxmlformats.org/drawingml/2006/main" xmlns:pic="http://schemas.openxmlformats.org/drawingml/2006/picture">
            <wp:extent cx="5486400" cy="294918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491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1242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24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АНАЛИЗ ПРОБЫ №3</w:t>
      </w:r>
    </w:p>
    <w:p>
      <w:pPr>
        <w:pStyle w:val="Heading2"/>
      </w:pPr>
      <w:r>
        <w:t>1. Временной анализ</w:t>
      </w:r>
    </w:p>
    <w:p>
      <w:r>
        <w:t>• Средняя амплитуда (M+STD): 902.68 мкВ</w:t>
        <w:br/>
      </w:r>
      <w:r>
        <w:t>• Медианная амплитуда: 730.92 мкВ</w:t>
        <w:br/>
      </w:r>
      <w:r>
        <w:t>• RMS (мощность сигнала): 298.98 мкВ</w:t>
        <w:br/>
      </w:r>
      <w:r>
        <w:t>• iEMG (интегральная активность): 3312415.69 мкВ*с</w:t>
        <w:br/>
      </w:r>
      <w:r>
        <w:t>• ZCR (частота пересеч. нуля): 476.63 Гц</w:t>
        <w:br/>
      </w:r>
      <w:r>
        <w:t>• Амплитуда от пика до пика (P-P): 2952.72 мкВ</w:t>
        <w:br/>
      </w:r>
      <w:r>
        <w:t>• Максимальная амплитуда: 1557.22 мкВ</w:t>
        <w:br/>
      </w:r>
      <w:r>
        <w:t>• Минимальная амплитуда: -1395.50 мкВ</w:t>
      </w:r>
    </w:p>
    <w:p>
      <w:r>
        <w:drawing>
          <wp:inline xmlns:a="http://schemas.openxmlformats.org/drawingml/2006/main" xmlns:pic="http://schemas.openxmlformats.org/drawingml/2006/picture">
            <wp:extent cx="5486400" cy="236668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666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438246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24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 Частотный анализ</w:t>
      </w:r>
    </w:p>
    <w:p>
      <w:r>
        <w:t>• Медианная частота (MDF): 209.68 Гц</w:t>
        <w:br/>
      </w:r>
      <w:r>
        <w:t>• Средняя частота (MNF): 225.59 Гц</w:t>
        <w:br/>
      </w:r>
      <w:r>
        <w:t>• Пиковая частота: 221.89 Гц</w:t>
        <w:br/>
      </w:r>
      <w:r>
        <w:t>• Коэффициент H/L (баланс): 12.166</w:t>
        <w:br/>
      </w:r>
      <w:r>
        <w:t>• Спектральная энтропия: 7.514</w:t>
        <w:br/>
      </w:r>
      <w:r>
        <w:t>• Утомление (Slope): -0.26 Гц/сек</w:t>
        <w:br/>
      </w:r>
      <w:r>
        <w:t>• Падение MDF за пробу: -6.3 %</w:t>
      </w:r>
    </w:p>
    <w:p>
      <w:r>
        <w:drawing>
          <wp:inline xmlns:a="http://schemas.openxmlformats.org/drawingml/2006/main" xmlns:pic="http://schemas.openxmlformats.org/drawingml/2006/picture">
            <wp:extent cx="5486400" cy="294918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491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1242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24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АНАЛИЗ ПРОБЫ №4</w:t>
      </w:r>
    </w:p>
    <w:p>
      <w:pPr>
        <w:pStyle w:val="Heading1"/>
      </w:pPr>
      <w:r>
        <w:t>АНАЛИЗ ПРОБЫ №5</w:t>
      </w:r>
    </w:p>
    <w:p>
      <w:pPr>
        <w:pStyle w:val="Heading1"/>
      </w:pPr>
      <w:r>
        <w:t>АНАЛИЗ ПРОБЫ №6</w:t>
      </w:r>
    </w:p>
    <w:p>
      <w:pPr>
        <w:pStyle w:val="Heading1"/>
      </w:pPr>
      <w:r>
        <w:t>АНАЛИЗ ПРОБЫ №7</w:t>
      </w:r>
    </w:p>
    <w:p>
      <w:pPr>
        <w:pStyle w:val="Heading1"/>
      </w:pPr>
      <w:r>
        <w:t>АНАЛИЗ ПРОБЫ №8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